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9"/>
        <w:jc w:val="center"/>
      </w:pPr>
    </w:p>
    <w:p>
      <w:pPr>
        <w:pStyle w:val="39"/>
        <w:jc w:val="center"/>
      </w:pPr>
    </w:p>
    <w:p>
      <w:pPr>
        <w:pStyle w:val="39"/>
        <w:jc w:val="center"/>
        <w:rPr>
          <w:b/>
          <w:bCs/>
          <w:sz w:val="72"/>
          <w:szCs w:val="72"/>
        </w:rPr>
      </w:pPr>
      <w:r>
        <w:rPr>
          <w:rFonts w:hint="eastAsia"/>
          <w:b/>
          <w:bCs/>
          <w:sz w:val="72"/>
          <w:szCs w:val="72"/>
        </w:rPr>
        <w:t>建设项目环境影响报告书</w:t>
      </w:r>
    </w:p>
    <w:p>
      <w:pPr>
        <w:pStyle w:val="39"/>
        <w:jc w:val="center"/>
        <w:rPr>
          <w:sz w:val="32"/>
          <w:szCs w:val="32"/>
        </w:rPr>
      </w:pPr>
      <w:r>
        <w:rPr>
          <w:rFonts w:hint="eastAsia"/>
          <w:sz w:val="32"/>
          <w:szCs w:val="32"/>
        </w:rPr>
        <w:t>（送审稿）</w:t>
      </w:r>
    </w:p>
    <w:p>
      <w:pPr>
        <w:pStyle w:val="39"/>
        <w:jc w:val="center"/>
      </w:pPr>
    </w:p>
    <w:p>
      <w:pPr>
        <w:pStyle w:val="39"/>
        <w:jc w:val="center"/>
      </w:pPr>
    </w:p>
    <w:p>
      <w:pPr>
        <w:pStyle w:val="39"/>
        <w:jc w:val="center"/>
      </w:pPr>
    </w:p>
    <w:p>
      <w:pPr>
        <w:pStyle w:val="39"/>
        <w:jc w:val="center"/>
      </w:pPr>
    </w:p>
    <w:p>
      <w:pPr>
        <w:pStyle w:val="39"/>
        <w:jc w:val="center"/>
      </w:pPr>
    </w:p>
    <w:p>
      <w:pPr>
        <w:pStyle w:val="39"/>
        <w:jc w:val="center"/>
      </w:pPr>
    </w:p>
    <w:p>
      <w:pPr>
        <w:pStyle w:val="39"/>
        <w:jc w:val="center"/>
      </w:pPr>
    </w:p>
    <w:p>
      <w:pPr>
        <w:pStyle w:val="39"/>
        <w:jc w:val="center"/>
      </w:pPr>
    </w:p>
    <w:p>
      <w:pPr>
        <w:pStyle w:val="39"/>
        <w:jc w:val="center"/>
      </w:pPr>
    </w:p>
    <w:p>
      <w:pPr>
        <w:pStyle w:val="39"/>
        <w:jc w:val="center"/>
      </w:pPr>
    </w:p>
    <w:p>
      <w:pPr>
        <w:pStyle w:val="39"/>
        <w:rPr>
          <w:sz w:val="28"/>
          <w:szCs w:val="28"/>
        </w:rPr>
      </w:pPr>
      <w:r>
        <w:rPr>
          <w:rFonts w:hint="eastAsia"/>
          <w:sz w:val="28"/>
          <w:szCs w:val="28"/>
        </w:rPr>
        <w:t>项目名称：</w:t>
      </w:r>
      <w:r>
        <w:rPr>
          <w:rFonts w:hint="eastAsia"/>
          <w:sz w:val="28"/>
          <w:szCs w:val="28"/>
          <w:u w:val="single"/>
          <w:lang w:eastAsia="zh-CN"/>
        </w:rPr>
        <w:t>年印染</w:t>
      </w:r>
      <w:r>
        <w:rPr>
          <w:rFonts w:hint="eastAsia"/>
          <w:sz w:val="28"/>
          <w:szCs w:val="28"/>
          <w:u w:val="single"/>
          <w:lang w:val="en-US" w:eastAsia="zh-CN"/>
        </w:rPr>
        <w:t>1920万m面料</w:t>
      </w:r>
      <w:r>
        <w:rPr>
          <w:rFonts w:hint="eastAsia"/>
          <w:sz w:val="28"/>
          <w:szCs w:val="28"/>
          <w:u w:val="single"/>
        </w:rPr>
        <w:t>技技术改造项目</w:t>
      </w:r>
    </w:p>
    <w:p>
      <w:pPr>
        <w:pStyle w:val="39"/>
        <w:rPr>
          <w:sz w:val="28"/>
          <w:szCs w:val="28"/>
          <w:u w:val="single"/>
        </w:rPr>
      </w:pPr>
      <w:r>
        <w:rPr>
          <w:rFonts w:hint="eastAsia"/>
          <w:sz w:val="28"/>
          <w:szCs w:val="28"/>
        </w:rPr>
        <w:t>建设单位（盖章）：</w:t>
      </w:r>
      <w:r>
        <w:rPr>
          <w:rFonts w:hint="eastAsia"/>
          <w:sz w:val="28"/>
          <w:szCs w:val="28"/>
          <w:u w:val="single"/>
        </w:rPr>
        <w:t>湖南德科纺织印染有限公司</w:t>
      </w:r>
    </w:p>
    <w:p>
      <w:pPr>
        <w:pStyle w:val="39"/>
        <w:rPr>
          <w:sz w:val="28"/>
          <w:szCs w:val="28"/>
          <w:u w:val="single"/>
        </w:rPr>
      </w:pPr>
    </w:p>
    <w:p>
      <w:pPr>
        <w:pStyle w:val="39"/>
        <w:jc w:val="center"/>
        <w:rPr>
          <w:sz w:val="28"/>
          <w:szCs w:val="28"/>
        </w:rPr>
      </w:pPr>
      <w:r>
        <w:rPr>
          <w:rFonts w:hint="eastAsia"/>
          <w:sz w:val="28"/>
          <w:szCs w:val="28"/>
        </w:rPr>
        <w:t>二〇一七年八月</w:t>
      </w:r>
    </w:p>
    <w:p>
      <w:pPr>
        <w:pStyle w:val="39"/>
        <w:jc w:val="center"/>
      </w:pPr>
    </w:p>
    <w:p>
      <w:pPr>
        <w:pStyle w:val="39"/>
        <w:jc w:val="center"/>
        <w:sectPr>
          <w:headerReference r:id="rId5" w:type="first"/>
          <w:footerReference r:id="rId8" w:type="first"/>
          <w:headerReference r:id="rId3" w:type="default"/>
          <w:footerReference r:id="rId6" w:type="default"/>
          <w:headerReference r:id="rId4" w:type="even"/>
          <w:footerReference r:id="rId7" w:type="even"/>
          <w:pgSz w:w="11906" w:h="16838"/>
          <w:pgMar w:top="1440" w:right="1417" w:bottom="1440" w:left="1417" w:header="851" w:footer="992" w:gutter="0"/>
          <w:cols w:space="0" w:num="1"/>
          <w:docGrid w:type="lines" w:linePitch="332" w:charSpace="0"/>
        </w:sectPr>
      </w:pPr>
    </w:p>
    <w:p>
      <w:pPr>
        <w:ind w:firstLine="0" w:firstLineChars="0"/>
        <w:jc w:val="center"/>
      </w:pPr>
      <w:r>
        <w:rPr>
          <w:rFonts w:hint="eastAsia"/>
        </w:rPr>
        <w:t>目录</w:t>
      </w:r>
    </w:p>
    <w:p>
      <w:pPr>
        <w:pStyle w:val="17"/>
        <w:tabs>
          <w:tab w:val="right" w:leader="dot" w:pos="9072"/>
        </w:tabs>
      </w:pPr>
      <w:r>
        <w:fldChar w:fldCharType="begin"/>
      </w:r>
      <w:r>
        <w:instrText xml:space="preserve">TOC \o "1-2" \h \u </w:instrText>
      </w:r>
      <w:r>
        <w:fldChar w:fldCharType="separate"/>
      </w:r>
      <w:r>
        <w:fldChar w:fldCharType="begin"/>
      </w:r>
      <w:r>
        <w:instrText xml:space="preserve"> HYPERLINK \l "_Toc26399" </w:instrText>
      </w:r>
      <w:r>
        <w:fldChar w:fldCharType="separate"/>
      </w:r>
      <w:r>
        <w:rPr>
          <w:rFonts w:hint="eastAsia" w:cs="+????"/>
        </w:rPr>
        <w:t xml:space="preserve">1 </w:t>
      </w:r>
      <w:r>
        <w:rPr>
          <w:rFonts w:hint="eastAsia"/>
        </w:rPr>
        <w:t>概述</w:t>
      </w:r>
      <w:r>
        <w:tab/>
      </w:r>
      <w:r>
        <w:fldChar w:fldCharType="begin"/>
      </w:r>
      <w:r>
        <w:instrText xml:space="preserve"> PAGEREF _Toc26399 </w:instrText>
      </w:r>
      <w:r>
        <w:fldChar w:fldCharType="separate"/>
      </w:r>
      <w:r>
        <w:t>1</w:t>
      </w:r>
      <w:r>
        <w:fldChar w:fldCharType="end"/>
      </w:r>
      <w:r>
        <w:fldChar w:fldCharType="end"/>
      </w:r>
    </w:p>
    <w:p>
      <w:pPr>
        <w:pStyle w:val="18"/>
        <w:tabs>
          <w:tab w:val="right" w:leader="dot" w:pos="9072"/>
        </w:tabs>
        <w:ind w:firstLine="480"/>
      </w:pPr>
      <w:r>
        <w:fldChar w:fldCharType="begin"/>
      </w:r>
      <w:r>
        <w:instrText xml:space="preserve"> HYPERLINK \l "_Toc6365" </w:instrText>
      </w:r>
      <w:r>
        <w:fldChar w:fldCharType="separate"/>
      </w:r>
      <w:r>
        <w:rPr>
          <w:rFonts w:hint="eastAsia" w:cs="+????"/>
        </w:rPr>
        <w:t xml:space="preserve">1.1 </w:t>
      </w:r>
      <w:r>
        <w:rPr>
          <w:rFonts w:hint="eastAsia"/>
        </w:rPr>
        <w:t>项目由来</w:t>
      </w:r>
      <w:r>
        <w:tab/>
      </w:r>
      <w:r>
        <w:fldChar w:fldCharType="begin"/>
      </w:r>
      <w:r>
        <w:instrText xml:space="preserve"> PAGEREF _Toc6365 </w:instrText>
      </w:r>
      <w:r>
        <w:fldChar w:fldCharType="separate"/>
      </w:r>
      <w:r>
        <w:t>1</w:t>
      </w:r>
      <w:r>
        <w:fldChar w:fldCharType="end"/>
      </w:r>
      <w:r>
        <w:fldChar w:fldCharType="end"/>
      </w:r>
    </w:p>
    <w:p>
      <w:pPr>
        <w:pStyle w:val="18"/>
        <w:tabs>
          <w:tab w:val="right" w:leader="dot" w:pos="9072"/>
        </w:tabs>
        <w:ind w:firstLine="480"/>
      </w:pPr>
      <w:r>
        <w:fldChar w:fldCharType="begin"/>
      </w:r>
      <w:r>
        <w:instrText xml:space="preserve"> HYPERLINK \l "_Toc21519" </w:instrText>
      </w:r>
      <w:r>
        <w:fldChar w:fldCharType="separate"/>
      </w:r>
      <w:r>
        <w:rPr>
          <w:rFonts w:hint="eastAsia" w:cs="+????"/>
        </w:rPr>
        <w:t xml:space="preserve">1.2 </w:t>
      </w:r>
      <w:r>
        <w:rPr>
          <w:rFonts w:hint="eastAsia"/>
        </w:rPr>
        <w:t>环境影响评价工作过程</w:t>
      </w:r>
      <w:r>
        <w:tab/>
      </w:r>
      <w:r>
        <w:fldChar w:fldCharType="begin"/>
      </w:r>
      <w:r>
        <w:instrText xml:space="preserve"> PAGEREF _Toc21519 </w:instrText>
      </w:r>
      <w:r>
        <w:fldChar w:fldCharType="separate"/>
      </w:r>
      <w:r>
        <w:t>2</w:t>
      </w:r>
      <w:r>
        <w:fldChar w:fldCharType="end"/>
      </w:r>
      <w:r>
        <w:fldChar w:fldCharType="end"/>
      </w:r>
    </w:p>
    <w:p>
      <w:pPr>
        <w:pStyle w:val="18"/>
        <w:tabs>
          <w:tab w:val="right" w:leader="dot" w:pos="9072"/>
        </w:tabs>
        <w:ind w:firstLine="480"/>
      </w:pPr>
      <w:r>
        <w:fldChar w:fldCharType="begin"/>
      </w:r>
      <w:r>
        <w:instrText xml:space="preserve"> HYPERLINK \l "_Toc12838" </w:instrText>
      </w:r>
      <w:r>
        <w:fldChar w:fldCharType="separate"/>
      </w:r>
      <w:r>
        <w:rPr>
          <w:rFonts w:hint="eastAsia" w:cs="+????"/>
        </w:rPr>
        <w:t xml:space="preserve">1.3 </w:t>
      </w:r>
      <w:r>
        <w:rPr>
          <w:rFonts w:hint="eastAsia"/>
        </w:rPr>
        <w:t>项目特点</w:t>
      </w:r>
      <w:r>
        <w:tab/>
      </w:r>
      <w:r>
        <w:fldChar w:fldCharType="begin"/>
      </w:r>
      <w:r>
        <w:instrText xml:space="preserve"> PAGEREF _Toc12838 </w:instrText>
      </w:r>
      <w:r>
        <w:fldChar w:fldCharType="separate"/>
      </w:r>
      <w:r>
        <w:t>3</w:t>
      </w:r>
      <w:r>
        <w:fldChar w:fldCharType="end"/>
      </w:r>
      <w:r>
        <w:fldChar w:fldCharType="end"/>
      </w:r>
    </w:p>
    <w:p>
      <w:pPr>
        <w:pStyle w:val="18"/>
        <w:tabs>
          <w:tab w:val="right" w:leader="dot" w:pos="9072"/>
        </w:tabs>
        <w:ind w:firstLine="480"/>
      </w:pPr>
      <w:r>
        <w:fldChar w:fldCharType="begin"/>
      </w:r>
      <w:r>
        <w:instrText xml:space="preserve"> HYPERLINK \l "_Toc9736" </w:instrText>
      </w:r>
      <w:r>
        <w:fldChar w:fldCharType="separate"/>
      </w:r>
      <w:r>
        <w:rPr>
          <w:rFonts w:hint="eastAsia" w:cs="+????"/>
        </w:rPr>
        <w:t xml:space="preserve">1.4 </w:t>
      </w:r>
      <w:r>
        <w:rPr>
          <w:rFonts w:hint="eastAsia"/>
        </w:rPr>
        <w:t>重点关注问题</w:t>
      </w:r>
      <w:r>
        <w:tab/>
      </w:r>
      <w:r>
        <w:fldChar w:fldCharType="begin"/>
      </w:r>
      <w:r>
        <w:instrText xml:space="preserve"> PAGEREF _Toc9736 </w:instrText>
      </w:r>
      <w:r>
        <w:fldChar w:fldCharType="separate"/>
      </w:r>
      <w:r>
        <w:t>4</w:t>
      </w:r>
      <w:r>
        <w:fldChar w:fldCharType="end"/>
      </w:r>
      <w:r>
        <w:fldChar w:fldCharType="end"/>
      </w:r>
    </w:p>
    <w:p>
      <w:pPr>
        <w:pStyle w:val="18"/>
        <w:tabs>
          <w:tab w:val="right" w:leader="dot" w:pos="9072"/>
        </w:tabs>
        <w:ind w:firstLine="480"/>
      </w:pPr>
      <w:r>
        <w:fldChar w:fldCharType="begin"/>
      </w:r>
      <w:r>
        <w:instrText xml:space="preserve"> HYPERLINK \l "_Toc10333" </w:instrText>
      </w:r>
      <w:r>
        <w:fldChar w:fldCharType="separate"/>
      </w:r>
      <w:r>
        <w:rPr>
          <w:rFonts w:hint="eastAsia" w:cs="+????"/>
        </w:rPr>
        <w:t xml:space="preserve">1.5 </w:t>
      </w:r>
      <w:r>
        <w:rPr>
          <w:rFonts w:hint="eastAsia"/>
        </w:rPr>
        <w:t>主要结论</w:t>
      </w:r>
      <w:r>
        <w:tab/>
      </w:r>
      <w:r>
        <w:fldChar w:fldCharType="begin"/>
      </w:r>
      <w:r>
        <w:instrText xml:space="preserve"> PAGEREF _Toc10333 </w:instrText>
      </w:r>
      <w:r>
        <w:fldChar w:fldCharType="separate"/>
      </w:r>
      <w:r>
        <w:t>4</w:t>
      </w:r>
      <w:r>
        <w:fldChar w:fldCharType="end"/>
      </w:r>
      <w:r>
        <w:fldChar w:fldCharType="end"/>
      </w:r>
    </w:p>
    <w:p>
      <w:pPr>
        <w:pStyle w:val="17"/>
        <w:tabs>
          <w:tab w:val="right" w:leader="dot" w:pos="9072"/>
        </w:tabs>
      </w:pPr>
      <w:r>
        <w:fldChar w:fldCharType="begin"/>
      </w:r>
      <w:r>
        <w:instrText xml:space="preserve"> HYPERLINK \l "_Toc11807" </w:instrText>
      </w:r>
      <w:r>
        <w:fldChar w:fldCharType="separate"/>
      </w:r>
      <w:r>
        <w:rPr>
          <w:rFonts w:hint="eastAsia" w:cs="+????"/>
        </w:rPr>
        <w:t xml:space="preserve">2 </w:t>
      </w:r>
      <w:r>
        <w:rPr>
          <w:rFonts w:hint="eastAsia"/>
        </w:rPr>
        <w:t>总则</w:t>
      </w:r>
      <w:r>
        <w:tab/>
      </w:r>
      <w:r>
        <w:fldChar w:fldCharType="begin"/>
      </w:r>
      <w:r>
        <w:instrText xml:space="preserve"> PAGEREF _Toc11807 </w:instrText>
      </w:r>
      <w:r>
        <w:fldChar w:fldCharType="separate"/>
      </w:r>
      <w:r>
        <w:t>5</w:t>
      </w:r>
      <w:r>
        <w:fldChar w:fldCharType="end"/>
      </w:r>
      <w:r>
        <w:fldChar w:fldCharType="end"/>
      </w:r>
    </w:p>
    <w:p>
      <w:pPr>
        <w:pStyle w:val="18"/>
        <w:tabs>
          <w:tab w:val="right" w:leader="dot" w:pos="9072"/>
        </w:tabs>
        <w:ind w:firstLine="480"/>
      </w:pPr>
      <w:r>
        <w:fldChar w:fldCharType="begin"/>
      </w:r>
      <w:r>
        <w:instrText xml:space="preserve"> HYPERLINK \l "_Toc17027" </w:instrText>
      </w:r>
      <w:r>
        <w:fldChar w:fldCharType="separate"/>
      </w:r>
      <w:r>
        <w:rPr>
          <w:rFonts w:hint="eastAsia" w:cs="+????"/>
        </w:rPr>
        <w:t xml:space="preserve">2.1 </w:t>
      </w:r>
      <w:r>
        <w:rPr>
          <w:rFonts w:hint="eastAsia"/>
        </w:rPr>
        <w:t>编制依据</w:t>
      </w:r>
      <w:r>
        <w:tab/>
      </w:r>
      <w:r>
        <w:fldChar w:fldCharType="begin"/>
      </w:r>
      <w:r>
        <w:instrText xml:space="preserve"> PAGEREF _Toc17027 </w:instrText>
      </w:r>
      <w:r>
        <w:fldChar w:fldCharType="separate"/>
      </w:r>
      <w:r>
        <w:t>5</w:t>
      </w:r>
      <w:r>
        <w:fldChar w:fldCharType="end"/>
      </w:r>
      <w:r>
        <w:fldChar w:fldCharType="end"/>
      </w:r>
    </w:p>
    <w:p>
      <w:pPr>
        <w:pStyle w:val="18"/>
        <w:tabs>
          <w:tab w:val="right" w:leader="dot" w:pos="9072"/>
        </w:tabs>
        <w:ind w:firstLine="480"/>
      </w:pPr>
      <w:r>
        <w:fldChar w:fldCharType="begin"/>
      </w:r>
      <w:r>
        <w:instrText xml:space="preserve"> HYPERLINK \l "_Toc28812" </w:instrText>
      </w:r>
      <w:r>
        <w:fldChar w:fldCharType="separate"/>
      </w:r>
      <w:r>
        <w:rPr>
          <w:rFonts w:hint="eastAsia" w:cs="+????"/>
        </w:rPr>
        <w:t xml:space="preserve">2.2 </w:t>
      </w:r>
      <w:r>
        <w:rPr>
          <w:rFonts w:hint="eastAsia"/>
        </w:rPr>
        <w:t>评价目的与原则</w:t>
      </w:r>
      <w:r>
        <w:tab/>
      </w:r>
      <w:r>
        <w:fldChar w:fldCharType="begin"/>
      </w:r>
      <w:r>
        <w:instrText xml:space="preserve"> PAGEREF _Toc28812 </w:instrText>
      </w:r>
      <w:r>
        <w:fldChar w:fldCharType="separate"/>
      </w:r>
      <w:r>
        <w:t>7</w:t>
      </w:r>
      <w:r>
        <w:fldChar w:fldCharType="end"/>
      </w:r>
      <w:r>
        <w:fldChar w:fldCharType="end"/>
      </w:r>
    </w:p>
    <w:p>
      <w:pPr>
        <w:pStyle w:val="18"/>
        <w:tabs>
          <w:tab w:val="right" w:leader="dot" w:pos="9072"/>
        </w:tabs>
        <w:ind w:firstLine="480"/>
      </w:pPr>
      <w:r>
        <w:fldChar w:fldCharType="begin"/>
      </w:r>
      <w:r>
        <w:instrText xml:space="preserve"> HYPERLINK \l "_Toc20548" </w:instrText>
      </w:r>
      <w:r>
        <w:fldChar w:fldCharType="separate"/>
      </w:r>
      <w:r>
        <w:rPr>
          <w:rFonts w:hint="eastAsia" w:cs="+????"/>
        </w:rPr>
        <w:t xml:space="preserve">2.3 </w:t>
      </w:r>
      <w:r>
        <w:rPr>
          <w:rFonts w:hint="eastAsia"/>
        </w:rPr>
        <w:t>评价标准</w:t>
      </w:r>
      <w:r>
        <w:tab/>
      </w:r>
      <w:r>
        <w:fldChar w:fldCharType="begin"/>
      </w:r>
      <w:r>
        <w:instrText xml:space="preserve"> PAGEREF _Toc20548 </w:instrText>
      </w:r>
      <w:r>
        <w:fldChar w:fldCharType="separate"/>
      </w:r>
      <w:r>
        <w:t>8</w:t>
      </w:r>
      <w:r>
        <w:fldChar w:fldCharType="end"/>
      </w:r>
      <w:r>
        <w:fldChar w:fldCharType="end"/>
      </w:r>
    </w:p>
    <w:p>
      <w:pPr>
        <w:pStyle w:val="18"/>
        <w:tabs>
          <w:tab w:val="right" w:leader="dot" w:pos="9072"/>
        </w:tabs>
        <w:ind w:firstLine="480"/>
      </w:pPr>
      <w:r>
        <w:fldChar w:fldCharType="begin"/>
      </w:r>
      <w:r>
        <w:instrText xml:space="preserve"> HYPERLINK \l "_Toc12625" </w:instrText>
      </w:r>
      <w:r>
        <w:fldChar w:fldCharType="separate"/>
      </w:r>
      <w:r>
        <w:rPr>
          <w:rFonts w:hint="eastAsia" w:cs="+????"/>
        </w:rPr>
        <w:t xml:space="preserve">2.4 </w:t>
      </w:r>
      <w:r>
        <w:rPr>
          <w:rFonts w:hint="eastAsia"/>
        </w:rPr>
        <w:t>评价工作等级与评价范围</w:t>
      </w:r>
      <w:r>
        <w:tab/>
      </w:r>
      <w:r>
        <w:fldChar w:fldCharType="begin"/>
      </w:r>
      <w:r>
        <w:instrText xml:space="preserve"> PAGEREF _Toc12625 </w:instrText>
      </w:r>
      <w:r>
        <w:fldChar w:fldCharType="separate"/>
      </w:r>
      <w:r>
        <w:t>12</w:t>
      </w:r>
      <w:r>
        <w:fldChar w:fldCharType="end"/>
      </w:r>
      <w:r>
        <w:fldChar w:fldCharType="end"/>
      </w:r>
    </w:p>
    <w:p>
      <w:pPr>
        <w:pStyle w:val="18"/>
        <w:tabs>
          <w:tab w:val="right" w:leader="dot" w:pos="9072"/>
        </w:tabs>
        <w:ind w:firstLine="480"/>
      </w:pPr>
      <w:r>
        <w:fldChar w:fldCharType="begin"/>
      </w:r>
      <w:r>
        <w:instrText xml:space="preserve"> HYPERLINK \l "_Toc5245" </w:instrText>
      </w:r>
      <w:r>
        <w:fldChar w:fldCharType="separate"/>
      </w:r>
      <w:r>
        <w:rPr>
          <w:rFonts w:hint="eastAsia" w:cs="+????"/>
        </w:rPr>
        <w:t xml:space="preserve">2.5 </w:t>
      </w:r>
      <w:r>
        <w:rPr>
          <w:rFonts w:hint="eastAsia"/>
        </w:rPr>
        <w:t>评价因子</w:t>
      </w:r>
      <w:r>
        <w:tab/>
      </w:r>
      <w:r>
        <w:fldChar w:fldCharType="begin"/>
      </w:r>
      <w:r>
        <w:instrText xml:space="preserve"> PAGEREF _Toc5245 </w:instrText>
      </w:r>
      <w:r>
        <w:fldChar w:fldCharType="separate"/>
      </w:r>
      <w:r>
        <w:t>15</w:t>
      </w:r>
      <w:r>
        <w:fldChar w:fldCharType="end"/>
      </w:r>
      <w:r>
        <w:fldChar w:fldCharType="end"/>
      </w:r>
    </w:p>
    <w:p>
      <w:pPr>
        <w:pStyle w:val="18"/>
        <w:tabs>
          <w:tab w:val="right" w:leader="dot" w:pos="9072"/>
        </w:tabs>
        <w:ind w:firstLine="480"/>
      </w:pPr>
      <w:r>
        <w:fldChar w:fldCharType="begin"/>
      </w:r>
      <w:r>
        <w:instrText xml:space="preserve"> HYPERLINK \l "_Toc822" </w:instrText>
      </w:r>
      <w:r>
        <w:fldChar w:fldCharType="separate"/>
      </w:r>
      <w:r>
        <w:rPr>
          <w:rFonts w:hint="eastAsia" w:cs="+????"/>
        </w:rPr>
        <w:t xml:space="preserve">2.6 </w:t>
      </w:r>
      <w:r>
        <w:rPr>
          <w:rFonts w:hint="eastAsia"/>
        </w:rPr>
        <w:t>相关规划及环境功能区划</w:t>
      </w:r>
      <w:r>
        <w:tab/>
      </w:r>
      <w:r>
        <w:fldChar w:fldCharType="begin"/>
      </w:r>
      <w:r>
        <w:instrText xml:space="preserve"> PAGEREF _Toc822 </w:instrText>
      </w:r>
      <w:r>
        <w:fldChar w:fldCharType="separate"/>
      </w:r>
      <w:r>
        <w:t>16</w:t>
      </w:r>
      <w:r>
        <w:fldChar w:fldCharType="end"/>
      </w:r>
      <w:r>
        <w:fldChar w:fldCharType="end"/>
      </w:r>
    </w:p>
    <w:p>
      <w:pPr>
        <w:pStyle w:val="18"/>
        <w:tabs>
          <w:tab w:val="right" w:leader="dot" w:pos="9072"/>
        </w:tabs>
        <w:ind w:firstLine="480"/>
      </w:pPr>
      <w:r>
        <w:fldChar w:fldCharType="begin"/>
      </w:r>
      <w:r>
        <w:instrText xml:space="preserve"> HYPERLINK \l "_Toc11459" </w:instrText>
      </w:r>
      <w:r>
        <w:fldChar w:fldCharType="separate"/>
      </w:r>
      <w:r>
        <w:rPr>
          <w:rFonts w:hint="eastAsia" w:cs="+????"/>
        </w:rPr>
        <w:t xml:space="preserve">2.7 </w:t>
      </w:r>
      <w:r>
        <w:rPr>
          <w:rFonts w:hint="eastAsia"/>
        </w:rPr>
        <w:t>环境保护目标</w:t>
      </w:r>
      <w:r>
        <w:tab/>
      </w:r>
      <w:r>
        <w:fldChar w:fldCharType="begin"/>
      </w:r>
      <w:r>
        <w:instrText xml:space="preserve"> PAGEREF _Toc11459 </w:instrText>
      </w:r>
      <w:r>
        <w:fldChar w:fldCharType="separate"/>
      </w:r>
      <w:r>
        <w:t>17</w:t>
      </w:r>
      <w:r>
        <w:fldChar w:fldCharType="end"/>
      </w:r>
      <w:r>
        <w:fldChar w:fldCharType="end"/>
      </w:r>
    </w:p>
    <w:p>
      <w:pPr>
        <w:pStyle w:val="17"/>
        <w:tabs>
          <w:tab w:val="right" w:leader="dot" w:pos="9072"/>
        </w:tabs>
      </w:pPr>
      <w:r>
        <w:fldChar w:fldCharType="begin"/>
      </w:r>
      <w:r>
        <w:instrText xml:space="preserve"> HYPERLINK \l "_Toc21407" </w:instrText>
      </w:r>
      <w:r>
        <w:fldChar w:fldCharType="separate"/>
      </w:r>
      <w:r>
        <w:rPr>
          <w:rFonts w:hint="eastAsia" w:cs="+????"/>
        </w:rPr>
        <w:t xml:space="preserve">3 </w:t>
      </w:r>
      <w:r>
        <w:rPr>
          <w:rFonts w:hint="eastAsia"/>
        </w:rPr>
        <w:t>现有项目基本情况及工程分析</w:t>
      </w:r>
      <w:r>
        <w:tab/>
      </w:r>
      <w:r>
        <w:fldChar w:fldCharType="begin"/>
      </w:r>
      <w:r>
        <w:instrText xml:space="preserve"> PAGEREF _Toc21407 </w:instrText>
      </w:r>
      <w:r>
        <w:fldChar w:fldCharType="separate"/>
      </w:r>
      <w:r>
        <w:t>18</w:t>
      </w:r>
      <w:r>
        <w:fldChar w:fldCharType="end"/>
      </w:r>
      <w:r>
        <w:fldChar w:fldCharType="end"/>
      </w:r>
    </w:p>
    <w:p>
      <w:pPr>
        <w:pStyle w:val="18"/>
        <w:tabs>
          <w:tab w:val="right" w:leader="dot" w:pos="9072"/>
        </w:tabs>
        <w:ind w:firstLine="480"/>
      </w:pPr>
      <w:r>
        <w:fldChar w:fldCharType="begin"/>
      </w:r>
      <w:r>
        <w:instrText xml:space="preserve"> HYPERLINK \l "_Toc9840" </w:instrText>
      </w:r>
      <w:r>
        <w:fldChar w:fldCharType="separate"/>
      </w:r>
      <w:r>
        <w:rPr>
          <w:rFonts w:hint="eastAsia" w:cs="+????"/>
        </w:rPr>
        <w:t xml:space="preserve">3.1 </w:t>
      </w:r>
      <w:r>
        <w:rPr>
          <w:rFonts w:hint="eastAsia"/>
        </w:rPr>
        <w:t>现有企业概况</w:t>
      </w:r>
      <w:r>
        <w:tab/>
      </w:r>
      <w:r>
        <w:fldChar w:fldCharType="begin"/>
      </w:r>
      <w:r>
        <w:instrText xml:space="preserve"> PAGEREF _Toc9840 </w:instrText>
      </w:r>
      <w:r>
        <w:fldChar w:fldCharType="separate"/>
      </w:r>
      <w:r>
        <w:t>18</w:t>
      </w:r>
      <w:r>
        <w:fldChar w:fldCharType="end"/>
      </w:r>
      <w:r>
        <w:fldChar w:fldCharType="end"/>
      </w:r>
    </w:p>
    <w:p>
      <w:pPr>
        <w:pStyle w:val="18"/>
        <w:tabs>
          <w:tab w:val="right" w:leader="dot" w:pos="9072"/>
        </w:tabs>
        <w:ind w:firstLine="480"/>
      </w:pPr>
      <w:r>
        <w:fldChar w:fldCharType="begin"/>
      </w:r>
      <w:r>
        <w:instrText xml:space="preserve"> HYPERLINK \l "_Toc512" </w:instrText>
      </w:r>
      <w:r>
        <w:fldChar w:fldCharType="separate"/>
      </w:r>
      <w:r>
        <w:rPr>
          <w:rFonts w:hint="eastAsia" w:cs="+????"/>
        </w:rPr>
        <w:t xml:space="preserve">3.2 </w:t>
      </w:r>
      <w:r>
        <w:rPr>
          <w:rFonts w:hint="eastAsia"/>
        </w:rPr>
        <w:t>现有工程基本情况</w:t>
      </w:r>
      <w:r>
        <w:tab/>
      </w:r>
      <w:r>
        <w:fldChar w:fldCharType="begin"/>
      </w:r>
      <w:r>
        <w:instrText xml:space="preserve"> PAGEREF _Toc512 </w:instrText>
      </w:r>
      <w:r>
        <w:fldChar w:fldCharType="separate"/>
      </w:r>
      <w:r>
        <w:t>18</w:t>
      </w:r>
      <w:r>
        <w:fldChar w:fldCharType="end"/>
      </w:r>
      <w:r>
        <w:fldChar w:fldCharType="end"/>
      </w:r>
    </w:p>
    <w:p>
      <w:pPr>
        <w:pStyle w:val="18"/>
        <w:tabs>
          <w:tab w:val="right" w:leader="dot" w:pos="9072"/>
        </w:tabs>
        <w:ind w:firstLine="480"/>
      </w:pPr>
      <w:r>
        <w:fldChar w:fldCharType="begin"/>
      </w:r>
      <w:r>
        <w:instrText xml:space="preserve"> HYPERLINK \l "_Toc13499" </w:instrText>
      </w:r>
      <w:r>
        <w:fldChar w:fldCharType="separate"/>
      </w:r>
      <w:r>
        <w:rPr>
          <w:rFonts w:hint="eastAsia" w:cs="+????"/>
        </w:rPr>
        <w:t xml:space="preserve">3.3 </w:t>
      </w:r>
      <w:r>
        <w:rPr>
          <w:rFonts w:hint="eastAsia"/>
        </w:rPr>
        <w:t>现有工程存在的主要问题及拟采取“以新带老”的措施</w:t>
      </w:r>
      <w:r>
        <w:tab/>
      </w:r>
      <w:r>
        <w:fldChar w:fldCharType="begin"/>
      </w:r>
      <w:r>
        <w:instrText xml:space="preserve"> PAGEREF _Toc13499 </w:instrText>
      </w:r>
      <w:r>
        <w:fldChar w:fldCharType="separate"/>
      </w:r>
      <w:r>
        <w:t>36</w:t>
      </w:r>
      <w:r>
        <w:fldChar w:fldCharType="end"/>
      </w:r>
      <w:r>
        <w:fldChar w:fldCharType="end"/>
      </w:r>
    </w:p>
    <w:p>
      <w:pPr>
        <w:pStyle w:val="17"/>
        <w:tabs>
          <w:tab w:val="right" w:leader="dot" w:pos="9072"/>
        </w:tabs>
      </w:pPr>
      <w:r>
        <w:fldChar w:fldCharType="begin"/>
      </w:r>
      <w:r>
        <w:instrText xml:space="preserve"> HYPERLINK \l "_Toc18425" </w:instrText>
      </w:r>
      <w:r>
        <w:fldChar w:fldCharType="separate"/>
      </w:r>
      <w:r>
        <w:rPr>
          <w:rFonts w:hint="eastAsia" w:cs="+????"/>
        </w:rPr>
        <w:t xml:space="preserve">4 </w:t>
      </w:r>
      <w:r>
        <w:rPr>
          <w:rFonts w:hint="eastAsia"/>
        </w:rPr>
        <w:t>技改工程概况及工程分析</w:t>
      </w:r>
      <w:r>
        <w:tab/>
      </w:r>
      <w:r>
        <w:fldChar w:fldCharType="begin"/>
      </w:r>
      <w:r>
        <w:instrText xml:space="preserve"> PAGEREF _Toc18425 </w:instrText>
      </w:r>
      <w:r>
        <w:fldChar w:fldCharType="separate"/>
      </w:r>
      <w:r>
        <w:t>38</w:t>
      </w:r>
      <w:r>
        <w:fldChar w:fldCharType="end"/>
      </w:r>
      <w:r>
        <w:fldChar w:fldCharType="end"/>
      </w:r>
    </w:p>
    <w:p>
      <w:pPr>
        <w:pStyle w:val="18"/>
        <w:tabs>
          <w:tab w:val="right" w:leader="dot" w:pos="9072"/>
        </w:tabs>
        <w:ind w:firstLine="480"/>
      </w:pPr>
      <w:r>
        <w:fldChar w:fldCharType="begin"/>
      </w:r>
      <w:r>
        <w:instrText xml:space="preserve"> HYPERLINK \l "_Toc22754" </w:instrText>
      </w:r>
      <w:r>
        <w:fldChar w:fldCharType="separate"/>
      </w:r>
      <w:r>
        <w:rPr>
          <w:rFonts w:hint="eastAsia" w:cs="+????"/>
        </w:rPr>
        <w:t xml:space="preserve">4.1 </w:t>
      </w:r>
      <w:r>
        <w:rPr>
          <w:rFonts w:hint="eastAsia"/>
        </w:rPr>
        <w:t>技改工程概况</w:t>
      </w:r>
      <w:r>
        <w:tab/>
      </w:r>
      <w:r>
        <w:fldChar w:fldCharType="begin"/>
      </w:r>
      <w:r>
        <w:instrText xml:space="preserve"> PAGEREF _Toc22754 </w:instrText>
      </w:r>
      <w:r>
        <w:fldChar w:fldCharType="separate"/>
      </w:r>
      <w:r>
        <w:t>38</w:t>
      </w:r>
      <w:r>
        <w:fldChar w:fldCharType="end"/>
      </w:r>
      <w:r>
        <w:fldChar w:fldCharType="end"/>
      </w:r>
    </w:p>
    <w:p>
      <w:pPr>
        <w:pStyle w:val="18"/>
        <w:tabs>
          <w:tab w:val="right" w:leader="dot" w:pos="9072"/>
        </w:tabs>
        <w:ind w:firstLine="480"/>
      </w:pPr>
      <w:r>
        <w:fldChar w:fldCharType="begin"/>
      </w:r>
      <w:r>
        <w:instrText xml:space="preserve"> HYPERLINK \l "_Toc8041" </w:instrText>
      </w:r>
      <w:r>
        <w:fldChar w:fldCharType="separate"/>
      </w:r>
      <w:r>
        <w:rPr>
          <w:rFonts w:hint="eastAsia" w:cs="+????"/>
        </w:rPr>
        <w:t xml:space="preserve">4.2 </w:t>
      </w:r>
      <w:r>
        <w:rPr>
          <w:rFonts w:hint="eastAsia"/>
        </w:rPr>
        <w:t>技改后工艺流程</w:t>
      </w:r>
      <w:r>
        <w:tab/>
      </w:r>
      <w:r>
        <w:fldChar w:fldCharType="begin"/>
      </w:r>
      <w:r>
        <w:instrText xml:space="preserve"> PAGEREF _Toc8041 </w:instrText>
      </w:r>
      <w:r>
        <w:fldChar w:fldCharType="separate"/>
      </w:r>
      <w:r>
        <w:t>48</w:t>
      </w:r>
      <w:r>
        <w:fldChar w:fldCharType="end"/>
      </w:r>
      <w:r>
        <w:fldChar w:fldCharType="end"/>
      </w:r>
    </w:p>
    <w:p>
      <w:pPr>
        <w:pStyle w:val="18"/>
        <w:tabs>
          <w:tab w:val="right" w:leader="dot" w:pos="9072"/>
        </w:tabs>
        <w:ind w:firstLine="480"/>
      </w:pPr>
      <w:r>
        <w:fldChar w:fldCharType="begin"/>
      </w:r>
      <w:r>
        <w:instrText xml:space="preserve"> HYPERLINK \l "_Toc5246" </w:instrText>
      </w:r>
      <w:r>
        <w:fldChar w:fldCharType="separate"/>
      </w:r>
      <w:r>
        <w:rPr>
          <w:rFonts w:hint="eastAsia" w:cs="+????"/>
        </w:rPr>
        <w:t xml:space="preserve">4.3 </w:t>
      </w:r>
      <w:r>
        <w:rPr>
          <w:rFonts w:hint="eastAsia"/>
        </w:rPr>
        <w:t>技改后平衡图</w:t>
      </w:r>
      <w:r>
        <w:tab/>
      </w:r>
      <w:r>
        <w:fldChar w:fldCharType="begin"/>
      </w:r>
      <w:r>
        <w:instrText xml:space="preserve"> PAGEREF _Toc5246 </w:instrText>
      </w:r>
      <w:r>
        <w:fldChar w:fldCharType="separate"/>
      </w:r>
      <w:r>
        <w:t>49</w:t>
      </w:r>
      <w:r>
        <w:fldChar w:fldCharType="end"/>
      </w:r>
      <w:r>
        <w:fldChar w:fldCharType="end"/>
      </w:r>
    </w:p>
    <w:p>
      <w:pPr>
        <w:pStyle w:val="18"/>
        <w:tabs>
          <w:tab w:val="right" w:leader="dot" w:pos="9072"/>
        </w:tabs>
        <w:ind w:firstLine="480"/>
      </w:pPr>
      <w:r>
        <w:fldChar w:fldCharType="begin"/>
      </w:r>
      <w:r>
        <w:instrText xml:space="preserve"> HYPERLINK \l "_Toc32242" </w:instrText>
      </w:r>
      <w:r>
        <w:fldChar w:fldCharType="separate"/>
      </w:r>
      <w:r>
        <w:rPr>
          <w:rFonts w:hint="eastAsia" w:cs="+????"/>
        </w:rPr>
        <w:t xml:space="preserve">4.4 </w:t>
      </w:r>
      <w:r>
        <w:rPr>
          <w:rFonts w:hint="eastAsia"/>
        </w:rPr>
        <w:t>技改后污染源强分析</w:t>
      </w:r>
      <w:r>
        <w:tab/>
      </w:r>
      <w:r>
        <w:fldChar w:fldCharType="begin"/>
      </w:r>
      <w:r>
        <w:instrText xml:space="preserve"> PAGEREF _Toc32242 </w:instrText>
      </w:r>
      <w:r>
        <w:fldChar w:fldCharType="separate"/>
      </w:r>
      <w:r>
        <w:t>52</w:t>
      </w:r>
      <w:r>
        <w:fldChar w:fldCharType="end"/>
      </w:r>
      <w:r>
        <w:fldChar w:fldCharType="end"/>
      </w:r>
    </w:p>
    <w:p>
      <w:pPr>
        <w:pStyle w:val="18"/>
        <w:tabs>
          <w:tab w:val="right" w:leader="dot" w:pos="9072"/>
        </w:tabs>
        <w:ind w:firstLine="480"/>
      </w:pPr>
      <w:r>
        <w:fldChar w:fldCharType="begin"/>
      </w:r>
      <w:r>
        <w:instrText xml:space="preserve"> HYPERLINK \l "_Toc16231" </w:instrText>
      </w:r>
      <w:r>
        <w:fldChar w:fldCharType="separate"/>
      </w:r>
      <w:r>
        <w:rPr>
          <w:rFonts w:hint="eastAsia" w:cs="+????"/>
        </w:rPr>
        <w:t xml:space="preserve">4.5 </w:t>
      </w:r>
      <w:r>
        <w:rPr>
          <w:rFonts w:hint="eastAsia"/>
        </w:rPr>
        <w:t>污染源强汇总</w:t>
      </w:r>
      <w:r>
        <w:tab/>
      </w:r>
      <w:r>
        <w:fldChar w:fldCharType="begin"/>
      </w:r>
      <w:r>
        <w:instrText xml:space="preserve"> PAGEREF _Toc16231 </w:instrText>
      </w:r>
      <w:r>
        <w:fldChar w:fldCharType="separate"/>
      </w:r>
      <w:r>
        <w:t>62</w:t>
      </w:r>
      <w:r>
        <w:fldChar w:fldCharType="end"/>
      </w:r>
      <w:r>
        <w:fldChar w:fldCharType="end"/>
      </w:r>
    </w:p>
    <w:p>
      <w:pPr>
        <w:pStyle w:val="18"/>
        <w:tabs>
          <w:tab w:val="right" w:leader="dot" w:pos="9072"/>
        </w:tabs>
        <w:ind w:firstLine="480"/>
      </w:pPr>
      <w:r>
        <w:fldChar w:fldCharType="begin"/>
      </w:r>
      <w:r>
        <w:instrText xml:space="preserve"> HYPERLINK \l "_Toc14791" </w:instrText>
      </w:r>
      <w:r>
        <w:fldChar w:fldCharType="separate"/>
      </w:r>
      <w:r>
        <w:rPr>
          <w:rFonts w:hint="eastAsia" w:cs="+????"/>
        </w:rPr>
        <w:t xml:space="preserve">4.6 </w:t>
      </w:r>
      <w:r>
        <w:rPr>
          <w:rFonts w:hint="eastAsia"/>
        </w:rPr>
        <w:t>本次技改“以新带老”工程</w:t>
      </w:r>
      <w:r>
        <w:tab/>
      </w:r>
      <w:r>
        <w:fldChar w:fldCharType="begin"/>
      </w:r>
      <w:r>
        <w:instrText xml:space="preserve"> PAGEREF _Toc14791 </w:instrText>
      </w:r>
      <w:r>
        <w:fldChar w:fldCharType="separate"/>
      </w:r>
      <w:r>
        <w:t>64</w:t>
      </w:r>
      <w:r>
        <w:fldChar w:fldCharType="end"/>
      </w:r>
      <w:r>
        <w:fldChar w:fldCharType="end"/>
      </w:r>
    </w:p>
    <w:p>
      <w:pPr>
        <w:pStyle w:val="18"/>
        <w:tabs>
          <w:tab w:val="right" w:leader="dot" w:pos="9072"/>
        </w:tabs>
        <w:ind w:firstLine="480"/>
      </w:pPr>
      <w:r>
        <w:fldChar w:fldCharType="begin"/>
      </w:r>
      <w:r>
        <w:instrText xml:space="preserve"> HYPERLINK \l "_Toc9690" </w:instrText>
      </w:r>
      <w:r>
        <w:fldChar w:fldCharType="separate"/>
      </w:r>
      <w:r>
        <w:rPr>
          <w:rFonts w:hint="eastAsia" w:cs="+????"/>
        </w:rPr>
        <w:t xml:space="preserve">4.7 </w:t>
      </w:r>
      <w:r>
        <w:rPr>
          <w:rFonts w:hint="eastAsia"/>
        </w:rPr>
        <w:t>总量控制</w:t>
      </w:r>
      <w:r>
        <w:tab/>
      </w:r>
      <w:r>
        <w:fldChar w:fldCharType="begin"/>
      </w:r>
      <w:r>
        <w:instrText xml:space="preserve"> PAGEREF _Toc9690 </w:instrText>
      </w:r>
      <w:r>
        <w:fldChar w:fldCharType="separate"/>
      </w:r>
      <w:r>
        <w:t>65</w:t>
      </w:r>
      <w:r>
        <w:fldChar w:fldCharType="end"/>
      </w:r>
      <w:r>
        <w:fldChar w:fldCharType="end"/>
      </w:r>
    </w:p>
    <w:p>
      <w:pPr>
        <w:pStyle w:val="17"/>
        <w:tabs>
          <w:tab w:val="right" w:leader="dot" w:pos="9072"/>
        </w:tabs>
      </w:pPr>
      <w:r>
        <w:fldChar w:fldCharType="begin"/>
      </w:r>
      <w:r>
        <w:instrText xml:space="preserve"> HYPERLINK \l "_Toc18874" </w:instrText>
      </w:r>
      <w:r>
        <w:fldChar w:fldCharType="separate"/>
      </w:r>
      <w:r>
        <w:rPr>
          <w:rFonts w:hint="eastAsia" w:cs="+????"/>
        </w:rPr>
        <w:t xml:space="preserve">5 </w:t>
      </w:r>
      <w:r>
        <w:rPr>
          <w:rFonts w:hint="eastAsia"/>
        </w:rPr>
        <w:t>环境现状调查与评价</w:t>
      </w:r>
      <w:r>
        <w:tab/>
      </w:r>
      <w:r>
        <w:fldChar w:fldCharType="begin"/>
      </w:r>
      <w:r>
        <w:instrText xml:space="preserve"> PAGEREF _Toc18874 </w:instrText>
      </w:r>
      <w:r>
        <w:fldChar w:fldCharType="separate"/>
      </w:r>
      <w:r>
        <w:t>67</w:t>
      </w:r>
      <w:r>
        <w:fldChar w:fldCharType="end"/>
      </w:r>
      <w:r>
        <w:fldChar w:fldCharType="end"/>
      </w:r>
    </w:p>
    <w:p>
      <w:pPr>
        <w:pStyle w:val="18"/>
        <w:tabs>
          <w:tab w:val="right" w:leader="dot" w:pos="9072"/>
        </w:tabs>
        <w:ind w:firstLine="480"/>
      </w:pPr>
      <w:r>
        <w:fldChar w:fldCharType="begin"/>
      </w:r>
      <w:r>
        <w:instrText xml:space="preserve"> HYPERLINK \l "_Toc30915" </w:instrText>
      </w:r>
      <w:r>
        <w:fldChar w:fldCharType="separate"/>
      </w:r>
      <w:r>
        <w:rPr>
          <w:rFonts w:hint="eastAsia" w:cs="+????"/>
        </w:rPr>
        <w:t xml:space="preserve">5.1 </w:t>
      </w:r>
      <w:r>
        <w:rPr>
          <w:rFonts w:hint="eastAsia"/>
        </w:rPr>
        <w:t>自然环境现状调查与评价</w:t>
      </w:r>
      <w:r>
        <w:tab/>
      </w:r>
      <w:r>
        <w:fldChar w:fldCharType="begin"/>
      </w:r>
      <w:r>
        <w:instrText xml:space="preserve"> PAGEREF _Toc30915 </w:instrText>
      </w:r>
      <w:r>
        <w:fldChar w:fldCharType="separate"/>
      </w:r>
      <w:r>
        <w:t>67</w:t>
      </w:r>
      <w:r>
        <w:fldChar w:fldCharType="end"/>
      </w:r>
      <w:r>
        <w:fldChar w:fldCharType="end"/>
      </w:r>
    </w:p>
    <w:p>
      <w:pPr>
        <w:pStyle w:val="18"/>
        <w:tabs>
          <w:tab w:val="right" w:leader="dot" w:pos="9072"/>
        </w:tabs>
        <w:ind w:firstLine="480"/>
      </w:pPr>
      <w:r>
        <w:fldChar w:fldCharType="begin"/>
      </w:r>
      <w:r>
        <w:instrText xml:space="preserve"> HYPERLINK \l "_Toc25311" </w:instrText>
      </w:r>
      <w:r>
        <w:fldChar w:fldCharType="separate"/>
      </w:r>
      <w:r>
        <w:rPr>
          <w:rFonts w:hint="eastAsia" w:cs="+????"/>
        </w:rPr>
        <w:t xml:space="preserve">5.2 </w:t>
      </w:r>
      <w:r>
        <w:rPr>
          <w:rFonts w:hint="eastAsia"/>
        </w:rPr>
        <w:t>环境质量现状调查与评价</w:t>
      </w:r>
      <w:r>
        <w:tab/>
      </w:r>
      <w:r>
        <w:fldChar w:fldCharType="begin"/>
      </w:r>
      <w:r>
        <w:instrText xml:space="preserve"> PAGEREF _Toc25311 </w:instrText>
      </w:r>
      <w:r>
        <w:fldChar w:fldCharType="separate"/>
      </w:r>
      <w:r>
        <w:t>70</w:t>
      </w:r>
      <w:r>
        <w:fldChar w:fldCharType="end"/>
      </w:r>
      <w:r>
        <w:fldChar w:fldCharType="end"/>
      </w:r>
    </w:p>
    <w:p>
      <w:pPr>
        <w:pStyle w:val="17"/>
        <w:tabs>
          <w:tab w:val="right" w:leader="dot" w:pos="9072"/>
        </w:tabs>
      </w:pPr>
      <w:r>
        <w:fldChar w:fldCharType="begin"/>
      </w:r>
      <w:r>
        <w:instrText xml:space="preserve"> HYPERLINK \l "_Toc10580" </w:instrText>
      </w:r>
      <w:r>
        <w:fldChar w:fldCharType="separate"/>
      </w:r>
      <w:r>
        <w:rPr>
          <w:rFonts w:hint="eastAsia" w:cs="+????"/>
        </w:rPr>
        <w:t xml:space="preserve">6 </w:t>
      </w:r>
      <w:r>
        <w:rPr>
          <w:rFonts w:hint="eastAsia"/>
        </w:rPr>
        <w:t>技改后环境影响分析</w:t>
      </w:r>
      <w:r>
        <w:tab/>
      </w:r>
      <w:r>
        <w:fldChar w:fldCharType="begin"/>
      </w:r>
      <w:r>
        <w:instrText xml:space="preserve"> PAGEREF _Toc10580 </w:instrText>
      </w:r>
      <w:r>
        <w:fldChar w:fldCharType="separate"/>
      </w:r>
      <w:r>
        <w:t>77</w:t>
      </w:r>
      <w:r>
        <w:fldChar w:fldCharType="end"/>
      </w:r>
      <w:r>
        <w:fldChar w:fldCharType="end"/>
      </w:r>
    </w:p>
    <w:p>
      <w:pPr>
        <w:pStyle w:val="18"/>
        <w:tabs>
          <w:tab w:val="right" w:leader="dot" w:pos="9072"/>
        </w:tabs>
        <w:ind w:firstLine="480"/>
      </w:pPr>
      <w:r>
        <w:fldChar w:fldCharType="begin"/>
      </w:r>
      <w:r>
        <w:instrText xml:space="preserve"> HYPERLINK \l "_Toc18508" </w:instrText>
      </w:r>
      <w:r>
        <w:fldChar w:fldCharType="separate"/>
      </w:r>
      <w:r>
        <w:rPr>
          <w:rFonts w:hint="eastAsia" w:cs="+????"/>
        </w:rPr>
        <w:t xml:space="preserve">6.1 </w:t>
      </w:r>
      <w:r>
        <w:rPr>
          <w:rFonts w:hint="eastAsia"/>
        </w:rPr>
        <w:t>施工期环境影响分析</w:t>
      </w:r>
      <w:r>
        <w:tab/>
      </w:r>
      <w:r>
        <w:fldChar w:fldCharType="begin"/>
      </w:r>
      <w:r>
        <w:instrText xml:space="preserve"> PAGEREF _Toc18508 </w:instrText>
      </w:r>
      <w:r>
        <w:fldChar w:fldCharType="separate"/>
      </w:r>
      <w:r>
        <w:t>77</w:t>
      </w:r>
      <w:r>
        <w:fldChar w:fldCharType="end"/>
      </w:r>
      <w:r>
        <w:fldChar w:fldCharType="end"/>
      </w:r>
    </w:p>
    <w:p>
      <w:pPr>
        <w:pStyle w:val="18"/>
        <w:tabs>
          <w:tab w:val="right" w:leader="dot" w:pos="9072"/>
        </w:tabs>
        <w:ind w:firstLine="480"/>
      </w:pPr>
      <w:r>
        <w:fldChar w:fldCharType="begin"/>
      </w:r>
      <w:r>
        <w:instrText xml:space="preserve"> HYPERLINK \l "_Toc21071" </w:instrText>
      </w:r>
      <w:r>
        <w:fldChar w:fldCharType="separate"/>
      </w:r>
      <w:r>
        <w:rPr>
          <w:rFonts w:hint="eastAsia" w:cs="+????"/>
        </w:rPr>
        <w:t xml:space="preserve">6.2 </w:t>
      </w:r>
      <w:r>
        <w:rPr>
          <w:rFonts w:hint="eastAsia"/>
        </w:rPr>
        <w:t>营运期环境影响分析</w:t>
      </w:r>
      <w:r>
        <w:tab/>
      </w:r>
      <w:r>
        <w:fldChar w:fldCharType="begin"/>
      </w:r>
      <w:r>
        <w:instrText xml:space="preserve"> PAGEREF _Toc21071 </w:instrText>
      </w:r>
      <w:r>
        <w:fldChar w:fldCharType="separate"/>
      </w:r>
      <w:r>
        <w:t>77</w:t>
      </w:r>
      <w:r>
        <w:fldChar w:fldCharType="end"/>
      </w:r>
      <w:r>
        <w:fldChar w:fldCharType="end"/>
      </w:r>
    </w:p>
    <w:p>
      <w:pPr>
        <w:pStyle w:val="17"/>
        <w:tabs>
          <w:tab w:val="right" w:leader="dot" w:pos="9072"/>
        </w:tabs>
      </w:pPr>
      <w:r>
        <w:fldChar w:fldCharType="begin"/>
      </w:r>
      <w:r>
        <w:instrText xml:space="preserve"> HYPERLINK \l "_Toc1459" </w:instrText>
      </w:r>
      <w:r>
        <w:fldChar w:fldCharType="separate"/>
      </w:r>
      <w:r>
        <w:rPr>
          <w:rFonts w:hint="eastAsia" w:cs="+????"/>
        </w:rPr>
        <w:t xml:space="preserve">7 </w:t>
      </w:r>
      <w:r>
        <w:rPr>
          <w:rFonts w:hint="eastAsia"/>
        </w:rPr>
        <w:t>污染防治措施及其可行性论证</w:t>
      </w:r>
      <w:r>
        <w:tab/>
      </w:r>
      <w:r>
        <w:fldChar w:fldCharType="begin"/>
      </w:r>
      <w:r>
        <w:instrText xml:space="preserve"> PAGEREF _Toc1459 </w:instrText>
      </w:r>
      <w:r>
        <w:fldChar w:fldCharType="separate"/>
      </w:r>
      <w:r>
        <w:t>99</w:t>
      </w:r>
      <w:r>
        <w:fldChar w:fldCharType="end"/>
      </w:r>
      <w:r>
        <w:fldChar w:fldCharType="end"/>
      </w:r>
    </w:p>
    <w:p>
      <w:pPr>
        <w:pStyle w:val="18"/>
        <w:tabs>
          <w:tab w:val="right" w:leader="dot" w:pos="9072"/>
        </w:tabs>
        <w:ind w:firstLine="480"/>
      </w:pPr>
      <w:r>
        <w:fldChar w:fldCharType="begin"/>
      </w:r>
      <w:r>
        <w:instrText xml:space="preserve"> HYPERLINK \l "_Toc9393" </w:instrText>
      </w:r>
      <w:r>
        <w:fldChar w:fldCharType="separate"/>
      </w:r>
      <w:r>
        <w:rPr>
          <w:rFonts w:hint="eastAsia" w:cs="+????"/>
        </w:rPr>
        <w:t xml:space="preserve">7.1 </w:t>
      </w:r>
      <w:r>
        <w:rPr>
          <w:rFonts w:hint="eastAsia"/>
        </w:rPr>
        <w:t>废水</w:t>
      </w:r>
      <w:r>
        <w:tab/>
      </w:r>
      <w:r>
        <w:fldChar w:fldCharType="begin"/>
      </w:r>
      <w:r>
        <w:instrText xml:space="preserve"> PAGEREF _Toc9393 </w:instrText>
      </w:r>
      <w:r>
        <w:fldChar w:fldCharType="separate"/>
      </w:r>
      <w:r>
        <w:t>99</w:t>
      </w:r>
      <w:r>
        <w:fldChar w:fldCharType="end"/>
      </w:r>
      <w:r>
        <w:fldChar w:fldCharType="end"/>
      </w:r>
    </w:p>
    <w:p>
      <w:pPr>
        <w:pStyle w:val="18"/>
        <w:tabs>
          <w:tab w:val="right" w:leader="dot" w:pos="9072"/>
        </w:tabs>
        <w:ind w:firstLine="480"/>
      </w:pPr>
      <w:r>
        <w:fldChar w:fldCharType="begin"/>
      </w:r>
      <w:r>
        <w:instrText xml:space="preserve"> HYPERLINK \l "_Toc21480" </w:instrText>
      </w:r>
      <w:r>
        <w:fldChar w:fldCharType="separate"/>
      </w:r>
      <w:r>
        <w:rPr>
          <w:rFonts w:hint="eastAsia" w:cs="+????"/>
        </w:rPr>
        <w:t xml:space="preserve">7.2 </w:t>
      </w:r>
      <w:r>
        <w:rPr>
          <w:rFonts w:hint="eastAsia"/>
        </w:rPr>
        <w:t>废气</w:t>
      </w:r>
      <w:r>
        <w:tab/>
      </w:r>
      <w:r>
        <w:fldChar w:fldCharType="begin"/>
      </w:r>
      <w:r>
        <w:instrText xml:space="preserve"> PAGEREF _Toc21480 </w:instrText>
      </w:r>
      <w:r>
        <w:fldChar w:fldCharType="separate"/>
      </w:r>
      <w:r>
        <w:t>100</w:t>
      </w:r>
      <w:r>
        <w:fldChar w:fldCharType="end"/>
      </w:r>
      <w:r>
        <w:fldChar w:fldCharType="end"/>
      </w:r>
    </w:p>
    <w:p>
      <w:pPr>
        <w:pStyle w:val="18"/>
        <w:tabs>
          <w:tab w:val="right" w:leader="dot" w:pos="9072"/>
        </w:tabs>
        <w:ind w:firstLine="480"/>
      </w:pPr>
      <w:r>
        <w:fldChar w:fldCharType="begin"/>
      </w:r>
      <w:r>
        <w:instrText xml:space="preserve"> HYPERLINK \l "_Toc15006" </w:instrText>
      </w:r>
      <w:r>
        <w:fldChar w:fldCharType="separate"/>
      </w:r>
      <w:r>
        <w:rPr>
          <w:rFonts w:hint="eastAsia" w:cs="+????"/>
        </w:rPr>
        <w:t xml:space="preserve">7.3 </w:t>
      </w:r>
      <w:r>
        <w:rPr>
          <w:rFonts w:hint="eastAsia"/>
        </w:rPr>
        <w:t>噪声</w:t>
      </w:r>
      <w:r>
        <w:tab/>
      </w:r>
      <w:r>
        <w:fldChar w:fldCharType="begin"/>
      </w:r>
      <w:r>
        <w:instrText xml:space="preserve"> PAGEREF _Toc15006 </w:instrText>
      </w:r>
      <w:r>
        <w:fldChar w:fldCharType="separate"/>
      </w:r>
      <w:r>
        <w:t>102</w:t>
      </w:r>
      <w:r>
        <w:fldChar w:fldCharType="end"/>
      </w:r>
      <w:r>
        <w:fldChar w:fldCharType="end"/>
      </w:r>
    </w:p>
    <w:p>
      <w:pPr>
        <w:pStyle w:val="18"/>
        <w:tabs>
          <w:tab w:val="right" w:leader="dot" w:pos="9072"/>
        </w:tabs>
        <w:ind w:firstLine="480"/>
      </w:pPr>
      <w:r>
        <w:fldChar w:fldCharType="begin"/>
      </w:r>
      <w:r>
        <w:instrText xml:space="preserve"> HYPERLINK \l "_Toc7835" </w:instrText>
      </w:r>
      <w:r>
        <w:fldChar w:fldCharType="separate"/>
      </w:r>
      <w:r>
        <w:rPr>
          <w:rFonts w:hint="eastAsia" w:cs="+????"/>
        </w:rPr>
        <w:t xml:space="preserve">7.4 </w:t>
      </w:r>
      <w:r>
        <w:rPr>
          <w:rFonts w:hint="eastAsia"/>
        </w:rPr>
        <w:t>固体废物</w:t>
      </w:r>
      <w:r>
        <w:tab/>
      </w:r>
      <w:r>
        <w:fldChar w:fldCharType="begin"/>
      </w:r>
      <w:r>
        <w:instrText xml:space="preserve"> PAGEREF _Toc7835 </w:instrText>
      </w:r>
      <w:r>
        <w:fldChar w:fldCharType="separate"/>
      </w:r>
      <w:r>
        <w:t>102</w:t>
      </w:r>
      <w:r>
        <w:fldChar w:fldCharType="end"/>
      </w:r>
      <w:r>
        <w:fldChar w:fldCharType="end"/>
      </w:r>
    </w:p>
    <w:p>
      <w:pPr>
        <w:pStyle w:val="18"/>
        <w:tabs>
          <w:tab w:val="right" w:leader="dot" w:pos="9072"/>
        </w:tabs>
        <w:ind w:firstLine="480"/>
      </w:pPr>
      <w:r>
        <w:fldChar w:fldCharType="begin"/>
      </w:r>
      <w:r>
        <w:instrText xml:space="preserve"> HYPERLINK \l "_Toc2747" </w:instrText>
      </w:r>
      <w:r>
        <w:fldChar w:fldCharType="separate"/>
      </w:r>
      <w:r>
        <w:rPr>
          <w:rFonts w:hint="eastAsia" w:cs="+????"/>
        </w:rPr>
        <w:t xml:space="preserve">7.5 </w:t>
      </w:r>
      <w:r>
        <w:rPr>
          <w:rFonts w:hint="eastAsia"/>
        </w:rPr>
        <w:t>环保投资估算</w:t>
      </w:r>
      <w:r>
        <w:tab/>
      </w:r>
      <w:r>
        <w:fldChar w:fldCharType="begin"/>
      </w:r>
      <w:r>
        <w:instrText xml:space="preserve"> PAGEREF _Toc2747 </w:instrText>
      </w:r>
      <w:r>
        <w:fldChar w:fldCharType="separate"/>
      </w:r>
      <w:r>
        <w:t>102</w:t>
      </w:r>
      <w:r>
        <w:fldChar w:fldCharType="end"/>
      </w:r>
      <w:r>
        <w:fldChar w:fldCharType="end"/>
      </w:r>
    </w:p>
    <w:p>
      <w:pPr>
        <w:pStyle w:val="17"/>
        <w:tabs>
          <w:tab w:val="right" w:leader="dot" w:pos="9072"/>
        </w:tabs>
      </w:pPr>
      <w:r>
        <w:fldChar w:fldCharType="begin"/>
      </w:r>
      <w:r>
        <w:instrText xml:space="preserve"> HYPERLINK \l "_Toc7364" </w:instrText>
      </w:r>
      <w:r>
        <w:fldChar w:fldCharType="separate"/>
      </w:r>
      <w:r>
        <w:rPr>
          <w:rFonts w:hint="eastAsia" w:cs="+????"/>
        </w:rPr>
        <w:t xml:space="preserve">8 </w:t>
      </w:r>
      <w:r>
        <w:rPr>
          <w:rFonts w:hint="eastAsia"/>
        </w:rPr>
        <w:t>环境风险评价</w:t>
      </w:r>
      <w:r>
        <w:tab/>
      </w:r>
      <w:r>
        <w:fldChar w:fldCharType="begin"/>
      </w:r>
      <w:r>
        <w:instrText xml:space="preserve"> PAGEREF _Toc7364 </w:instrText>
      </w:r>
      <w:r>
        <w:fldChar w:fldCharType="separate"/>
      </w:r>
      <w:r>
        <w:t>104</w:t>
      </w:r>
      <w:r>
        <w:fldChar w:fldCharType="end"/>
      </w:r>
      <w:r>
        <w:fldChar w:fldCharType="end"/>
      </w:r>
    </w:p>
    <w:p>
      <w:pPr>
        <w:pStyle w:val="18"/>
        <w:tabs>
          <w:tab w:val="right" w:leader="dot" w:pos="9072"/>
        </w:tabs>
        <w:ind w:firstLine="480"/>
      </w:pPr>
      <w:r>
        <w:fldChar w:fldCharType="begin"/>
      </w:r>
      <w:r>
        <w:instrText xml:space="preserve"> HYPERLINK \l "_Toc18271" </w:instrText>
      </w:r>
      <w:r>
        <w:fldChar w:fldCharType="separate"/>
      </w:r>
      <w:r>
        <w:rPr>
          <w:rFonts w:hint="eastAsia" w:cs="+????"/>
        </w:rPr>
        <w:t xml:space="preserve">8.1 </w:t>
      </w:r>
      <w:r>
        <w:rPr>
          <w:rFonts w:hint="eastAsia"/>
        </w:rPr>
        <w:t>概述</w:t>
      </w:r>
      <w:r>
        <w:tab/>
      </w:r>
      <w:r>
        <w:fldChar w:fldCharType="begin"/>
      </w:r>
      <w:r>
        <w:instrText xml:space="preserve"> PAGEREF _Toc18271 </w:instrText>
      </w:r>
      <w:r>
        <w:fldChar w:fldCharType="separate"/>
      </w:r>
      <w:r>
        <w:t>104</w:t>
      </w:r>
      <w:r>
        <w:fldChar w:fldCharType="end"/>
      </w:r>
      <w:r>
        <w:fldChar w:fldCharType="end"/>
      </w:r>
    </w:p>
    <w:p>
      <w:pPr>
        <w:pStyle w:val="18"/>
        <w:tabs>
          <w:tab w:val="right" w:leader="dot" w:pos="9072"/>
        </w:tabs>
        <w:ind w:firstLine="480"/>
      </w:pPr>
      <w:r>
        <w:fldChar w:fldCharType="begin"/>
      </w:r>
      <w:r>
        <w:instrText xml:space="preserve"> HYPERLINK \l "_Toc14743" </w:instrText>
      </w:r>
      <w:r>
        <w:fldChar w:fldCharType="separate"/>
      </w:r>
      <w:r>
        <w:rPr>
          <w:rFonts w:hint="eastAsia" w:cs="+????"/>
        </w:rPr>
        <w:t xml:space="preserve">8.2 </w:t>
      </w:r>
      <w:r>
        <w:rPr>
          <w:rFonts w:hint="eastAsia"/>
        </w:rPr>
        <w:t>环境敏感性排查</w:t>
      </w:r>
      <w:r>
        <w:tab/>
      </w:r>
      <w:r>
        <w:fldChar w:fldCharType="begin"/>
      </w:r>
      <w:r>
        <w:instrText xml:space="preserve"> PAGEREF _Toc14743 </w:instrText>
      </w:r>
      <w:r>
        <w:fldChar w:fldCharType="separate"/>
      </w:r>
      <w:r>
        <w:t>107</w:t>
      </w:r>
      <w:r>
        <w:fldChar w:fldCharType="end"/>
      </w:r>
      <w:r>
        <w:fldChar w:fldCharType="end"/>
      </w:r>
    </w:p>
    <w:p>
      <w:pPr>
        <w:pStyle w:val="18"/>
        <w:tabs>
          <w:tab w:val="right" w:leader="dot" w:pos="9072"/>
        </w:tabs>
        <w:ind w:firstLine="480"/>
      </w:pPr>
      <w:r>
        <w:fldChar w:fldCharType="begin"/>
      </w:r>
      <w:r>
        <w:instrText xml:space="preserve"> HYPERLINK \l "_Toc4161" </w:instrText>
      </w:r>
      <w:r>
        <w:fldChar w:fldCharType="separate"/>
      </w:r>
      <w:r>
        <w:rPr>
          <w:rFonts w:hint="eastAsia" w:cs="+????"/>
        </w:rPr>
        <w:t xml:space="preserve">8.3 </w:t>
      </w:r>
      <w:r>
        <w:rPr>
          <w:rFonts w:hint="eastAsia"/>
        </w:rPr>
        <w:t>环境风险评价</w:t>
      </w:r>
      <w:r>
        <w:tab/>
      </w:r>
      <w:r>
        <w:fldChar w:fldCharType="begin"/>
      </w:r>
      <w:r>
        <w:instrText xml:space="preserve"> PAGEREF _Toc4161 </w:instrText>
      </w:r>
      <w:r>
        <w:fldChar w:fldCharType="separate"/>
      </w:r>
      <w:r>
        <w:t>108</w:t>
      </w:r>
      <w:r>
        <w:fldChar w:fldCharType="end"/>
      </w:r>
      <w:r>
        <w:fldChar w:fldCharType="end"/>
      </w:r>
    </w:p>
    <w:p>
      <w:pPr>
        <w:pStyle w:val="18"/>
        <w:tabs>
          <w:tab w:val="right" w:leader="dot" w:pos="9072"/>
        </w:tabs>
        <w:ind w:firstLine="480"/>
      </w:pPr>
      <w:r>
        <w:fldChar w:fldCharType="begin"/>
      </w:r>
      <w:r>
        <w:instrText xml:space="preserve"> HYPERLINK \l "_Toc14847" </w:instrText>
      </w:r>
      <w:r>
        <w:fldChar w:fldCharType="separate"/>
      </w:r>
      <w:r>
        <w:rPr>
          <w:rFonts w:hint="eastAsia" w:cs="+????"/>
        </w:rPr>
        <w:t xml:space="preserve">8.4 </w:t>
      </w:r>
      <w:r>
        <w:rPr>
          <w:rFonts w:hint="eastAsia"/>
        </w:rPr>
        <w:t>事故防范措施</w:t>
      </w:r>
      <w:r>
        <w:tab/>
      </w:r>
      <w:r>
        <w:fldChar w:fldCharType="begin"/>
      </w:r>
      <w:r>
        <w:instrText xml:space="preserve"> PAGEREF _Toc14847 </w:instrText>
      </w:r>
      <w:r>
        <w:fldChar w:fldCharType="separate"/>
      </w:r>
      <w:r>
        <w:t>109</w:t>
      </w:r>
      <w:r>
        <w:fldChar w:fldCharType="end"/>
      </w:r>
      <w:r>
        <w:fldChar w:fldCharType="end"/>
      </w:r>
    </w:p>
    <w:p>
      <w:pPr>
        <w:pStyle w:val="18"/>
        <w:tabs>
          <w:tab w:val="right" w:leader="dot" w:pos="9072"/>
        </w:tabs>
        <w:ind w:firstLine="480"/>
      </w:pPr>
      <w:r>
        <w:fldChar w:fldCharType="begin"/>
      </w:r>
      <w:r>
        <w:instrText xml:space="preserve"> HYPERLINK \l "_Toc21125" </w:instrText>
      </w:r>
      <w:r>
        <w:fldChar w:fldCharType="separate"/>
      </w:r>
      <w:r>
        <w:rPr>
          <w:rFonts w:hint="eastAsia" w:cs="+????"/>
        </w:rPr>
        <w:t xml:space="preserve">8.5 </w:t>
      </w:r>
      <w:r>
        <w:rPr>
          <w:rFonts w:hint="eastAsia"/>
        </w:rPr>
        <w:t>风险防范措施</w:t>
      </w:r>
      <w:r>
        <w:tab/>
      </w:r>
      <w:r>
        <w:fldChar w:fldCharType="begin"/>
      </w:r>
      <w:r>
        <w:instrText xml:space="preserve"> PAGEREF _Toc21125 </w:instrText>
      </w:r>
      <w:r>
        <w:fldChar w:fldCharType="separate"/>
      </w:r>
      <w:r>
        <w:t>110</w:t>
      </w:r>
      <w:r>
        <w:fldChar w:fldCharType="end"/>
      </w:r>
      <w:r>
        <w:fldChar w:fldCharType="end"/>
      </w:r>
    </w:p>
    <w:p>
      <w:pPr>
        <w:pStyle w:val="18"/>
        <w:tabs>
          <w:tab w:val="right" w:leader="dot" w:pos="9072"/>
        </w:tabs>
        <w:ind w:firstLine="480"/>
      </w:pPr>
      <w:r>
        <w:fldChar w:fldCharType="begin"/>
      </w:r>
      <w:r>
        <w:instrText xml:space="preserve"> HYPERLINK \l "_Toc10980" </w:instrText>
      </w:r>
      <w:r>
        <w:fldChar w:fldCharType="separate"/>
      </w:r>
      <w:r>
        <w:rPr>
          <w:rFonts w:hint="eastAsia" w:cs="+????"/>
        </w:rPr>
        <w:t xml:space="preserve">8.6 </w:t>
      </w:r>
      <w:r>
        <w:rPr>
          <w:rFonts w:hint="eastAsia"/>
        </w:rPr>
        <w:t>事故应急预案</w:t>
      </w:r>
      <w:r>
        <w:tab/>
      </w:r>
      <w:r>
        <w:fldChar w:fldCharType="begin"/>
      </w:r>
      <w:r>
        <w:instrText xml:space="preserve"> PAGEREF _Toc10980 </w:instrText>
      </w:r>
      <w:r>
        <w:fldChar w:fldCharType="separate"/>
      </w:r>
      <w:r>
        <w:t>112</w:t>
      </w:r>
      <w:r>
        <w:fldChar w:fldCharType="end"/>
      </w:r>
      <w:r>
        <w:fldChar w:fldCharType="end"/>
      </w:r>
    </w:p>
    <w:p>
      <w:pPr>
        <w:pStyle w:val="18"/>
        <w:tabs>
          <w:tab w:val="right" w:leader="dot" w:pos="9072"/>
        </w:tabs>
        <w:ind w:firstLine="480"/>
      </w:pPr>
      <w:r>
        <w:fldChar w:fldCharType="begin"/>
      </w:r>
      <w:r>
        <w:instrText xml:space="preserve"> HYPERLINK \l "_Toc21088" </w:instrText>
      </w:r>
      <w:r>
        <w:fldChar w:fldCharType="separate"/>
      </w:r>
      <w:r>
        <w:rPr>
          <w:rFonts w:hint="eastAsia" w:cs="+????"/>
        </w:rPr>
        <w:t xml:space="preserve">8.7 </w:t>
      </w:r>
      <w:r>
        <w:rPr>
          <w:rFonts w:hint="eastAsia"/>
        </w:rPr>
        <w:t>环境风险评价结论</w:t>
      </w:r>
      <w:r>
        <w:tab/>
      </w:r>
      <w:r>
        <w:fldChar w:fldCharType="begin"/>
      </w:r>
      <w:r>
        <w:instrText xml:space="preserve"> PAGEREF _Toc21088 </w:instrText>
      </w:r>
      <w:r>
        <w:fldChar w:fldCharType="separate"/>
      </w:r>
      <w:r>
        <w:t>113</w:t>
      </w:r>
      <w:r>
        <w:fldChar w:fldCharType="end"/>
      </w:r>
      <w:r>
        <w:fldChar w:fldCharType="end"/>
      </w:r>
    </w:p>
    <w:p>
      <w:pPr>
        <w:pStyle w:val="17"/>
        <w:tabs>
          <w:tab w:val="right" w:leader="dot" w:pos="9072"/>
        </w:tabs>
      </w:pPr>
      <w:r>
        <w:fldChar w:fldCharType="begin"/>
      </w:r>
      <w:r>
        <w:instrText xml:space="preserve"> HYPERLINK \l "_Toc18134" </w:instrText>
      </w:r>
      <w:r>
        <w:fldChar w:fldCharType="separate"/>
      </w:r>
      <w:r>
        <w:rPr>
          <w:rFonts w:hint="eastAsia" w:cs="+????"/>
        </w:rPr>
        <w:t xml:space="preserve">9 </w:t>
      </w:r>
      <w:r>
        <w:rPr>
          <w:rFonts w:hint="eastAsia"/>
        </w:rPr>
        <w:t>清洁生产分析和循环经济</w:t>
      </w:r>
      <w:r>
        <w:tab/>
      </w:r>
      <w:r>
        <w:fldChar w:fldCharType="begin"/>
      </w:r>
      <w:r>
        <w:instrText xml:space="preserve"> PAGEREF _Toc18134 </w:instrText>
      </w:r>
      <w:r>
        <w:fldChar w:fldCharType="separate"/>
      </w:r>
      <w:r>
        <w:t>114</w:t>
      </w:r>
      <w:r>
        <w:fldChar w:fldCharType="end"/>
      </w:r>
      <w:r>
        <w:fldChar w:fldCharType="end"/>
      </w:r>
    </w:p>
    <w:p>
      <w:pPr>
        <w:pStyle w:val="18"/>
        <w:tabs>
          <w:tab w:val="right" w:leader="dot" w:pos="9072"/>
        </w:tabs>
        <w:ind w:firstLine="480"/>
      </w:pPr>
      <w:r>
        <w:fldChar w:fldCharType="begin"/>
      </w:r>
      <w:r>
        <w:instrText xml:space="preserve"> HYPERLINK \l "_Toc29350" </w:instrText>
      </w:r>
      <w:r>
        <w:fldChar w:fldCharType="separate"/>
      </w:r>
      <w:r>
        <w:rPr>
          <w:rFonts w:hint="eastAsia" w:cs="+????"/>
        </w:rPr>
        <w:t xml:space="preserve">9.1 </w:t>
      </w:r>
      <w:r>
        <w:rPr>
          <w:rFonts w:hint="eastAsia"/>
        </w:rPr>
        <w:t>清洁生产要求</w:t>
      </w:r>
      <w:r>
        <w:tab/>
      </w:r>
      <w:r>
        <w:fldChar w:fldCharType="begin"/>
      </w:r>
      <w:r>
        <w:instrText xml:space="preserve"> PAGEREF _Toc29350 </w:instrText>
      </w:r>
      <w:r>
        <w:fldChar w:fldCharType="separate"/>
      </w:r>
      <w:r>
        <w:t>114</w:t>
      </w:r>
      <w:r>
        <w:fldChar w:fldCharType="end"/>
      </w:r>
      <w:r>
        <w:fldChar w:fldCharType="end"/>
      </w:r>
    </w:p>
    <w:p>
      <w:pPr>
        <w:pStyle w:val="18"/>
        <w:tabs>
          <w:tab w:val="right" w:leader="dot" w:pos="9072"/>
        </w:tabs>
        <w:ind w:firstLine="480"/>
      </w:pPr>
      <w:r>
        <w:fldChar w:fldCharType="begin"/>
      </w:r>
      <w:r>
        <w:instrText xml:space="preserve"> HYPERLINK \l "_Toc13773" </w:instrText>
      </w:r>
      <w:r>
        <w:fldChar w:fldCharType="separate"/>
      </w:r>
      <w:r>
        <w:rPr>
          <w:rFonts w:hint="eastAsia" w:cs="+????"/>
        </w:rPr>
        <w:t xml:space="preserve">9.2 </w:t>
      </w:r>
      <w:r>
        <w:rPr>
          <w:rFonts w:hint="eastAsia"/>
        </w:rPr>
        <w:t>技改项目清洁生产水平分析</w:t>
      </w:r>
      <w:r>
        <w:tab/>
      </w:r>
      <w:r>
        <w:fldChar w:fldCharType="begin"/>
      </w:r>
      <w:r>
        <w:instrText xml:space="preserve"> PAGEREF _Toc13773 </w:instrText>
      </w:r>
      <w:r>
        <w:fldChar w:fldCharType="separate"/>
      </w:r>
      <w:r>
        <w:t>114</w:t>
      </w:r>
      <w:r>
        <w:fldChar w:fldCharType="end"/>
      </w:r>
      <w:r>
        <w:fldChar w:fldCharType="end"/>
      </w:r>
    </w:p>
    <w:p>
      <w:pPr>
        <w:pStyle w:val="18"/>
        <w:tabs>
          <w:tab w:val="right" w:leader="dot" w:pos="9072"/>
        </w:tabs>
        <w:ind w:firstLine="480"/>
      </w:pPr>
      <w:r>
        <w:fldChar w:fldCharType="begin"/>
      </w:r>
      <w:r>
        <w:instrText xml:space="preserve"> HYPERLINK \l "_Toc12801" </w:instrText>
      </w:r>
      <w:r>
        <w:fldChar w:fldCharType="separate"/>
      </w:r>
      <w:r>
        <w:rPr>
          <w:rFonts w:hint="eastAsia" w:cs="+????"/>
        </w:rPr>
        <w:t xml:space="preserve">9.3 </w:t>
      </w:r>
      <w:r>
        <w:rPr>
          <w:rFonts w:hint="eastAsia"/>
        </w:rPr>
        <w:t>清洁生产措施建议</w:t>
      </w:r>
      <w:r>
        <w:tab/>
      </w:r>
      <w:r>
        <w:fldChar w:fldCharType="begin"/>
      </w:r>
      <w:r>
        <w:instrText xml:space="preserve"> PAGEREF _Toc12801 </w:instrText>
      </w:r>
      <w:r>
        <w:fldChar w:fldCharType="separate"/>
      </w:r>
      <w:r>
        <w:t>115</w:t>
      </w:r>
      <w:r>
        <w:fldChar w:fldCharType="end"/>
      </w:r>
      <w:r>
        <w:fldChar w:fldCharType="end"/>
      </w:r>
    </w:p>
    <w:p>
      <w:pPr>
        <w:pStyle w:val="18"/>
        <w:tabs>
          <w:tab w:val="right" w:leader="dot" w:pos="9072"/>
        </w:tabs>
        <w:ind w:firstLine="480"/>
      </w:pPr>
      <w:r>
        <w:fldChar w:fldCharType="begin"/>
      </w:r>
      <w:r>
        <w:instrText xml:space="preserve"> HYPERLINK \l "_Toc24602" </w:instrText>
      </w:r>
      <w:r>
        <w:fldChar w:fldCharType="separate"/>
      </w:r>
      <w:r>
        <w:rPr>
          <w:rFonts w:hint="eastAsia" w:cs="+????"/>
        </w:rPr>
        <w:t xml:space="preserve">9.4 </w:t>
      </w:r>
      <w:r>
        <w:rPr>
          <w:rFonts w:hint="eastAsia"/>
        </w:rPr>
        <w:t>清洁生产审核</w:t>
      </w:r>
      <w:r>
        <w:tab/>
      </w:r>
      <w:r>
        <w:fldChar w:fldCharType="begin"/>
      </w:r>
      <w:r>
        <w:instrText xml:space="preserve"> PAGEREF _Toc24602 </w:instrText>
      </w:r>
      <w:r>
        <w:fldChar w:fldCharType="separate"/>
      </w:r>
      <w:r>
        <w:t>117</w:t>
      </w:r>
      <w:r>
        <w:fldChar w:fldCharType="end"/>
      </w:r>
      <w:r>
        <w:fldChar w:fldCharType="end"/>
      </w:r>
    </w:p>
    <w:p>
      <w:pPr>
        <w:pStyle w:val="17"/>
        <w:tabs>
          <w:tab w:val="right" w:leader="dot" w:pos="9072"/>
        </w:tabs>
      </w:pPr>
      <w:r>
        <w:fldChar w:fldCharType="begin"/>
      </w:r>
      <w:r>
        <w:instrText xml:space="preserve"> HYPERLINK \l "_Toc21153" </w:instrText>
      </w:r>
      <w:r>
        <w:fldChar w:fldCharType="separate"/>
      </w:r>
      <w:r>
        <w:rPr>
          <w:rFonts w:hint="eastAsia" w:cs="+????"/>
        </w:rPr>
        <w:t xml:space="preserve">10 </w:t>
      </w:r>
      <w:r>
        <w:rPr>
          <w:rFonts w:hint="eastAsia"/>
        </w:rPr>
        <w:t>环境影响经济损益分析</w:t>
      </w:r>
      <w:r>
        <w:tab/>
      </w:r>
      <w:r>
        <w:fldChar w:fldCharType="begin"/>
      </w:r>
      <w:r>
        <w:instrText xml:space="preserve"> PAGEREF _Toc21153 </w:instrText>
      </w:r>
      <w:r>
        <w:fldChar w:fldCharType="separate"/>
      </w:r>
      <w:r>
        <w:t>119</w:t>
      </w:r>
      <w:r>
        <w:fldChar w:fldCharType="end"/>
      </w:r>
      <w:r>
        <w:fldChar w:fldCharType="end"/>
      </w:r>
    </w:p>
    <w:p>
      <w:pPr>
        <w:pStyle w:val="18"/>
        <w:tabs>
          <w:tab w:val="right" w:leader="dot" w:pos="9072"/>
        </w:tabs>
        <w:ind w:firstLine="480"/>
      </w:pPr>
      <w:r>
        <w:fldChar w:fldCharType="begin"/>
      </w:r>
      <w:r>
        <w:instrText xml:space="preserve"> HYPERLINK \l "_Toc5572" </w:instrText>
      </w:r>
      <w:r>
        <w:fldChar w:fldCharType="separate"/>
      </w:r>
      <w:r>
        <w:rPr>
          <w:rFonts w:hint="eastAsia" w:cs="+????"/>
        </w:rPr>
        <w:t xml:space="preserve">10.1 </w:t>
      </w:r>
      <w:r>
        <w:rPr>
          <w:rFonts w:hint="eastAsia"/>
        </w:rPr>
        <w:t>项目社会效益和经济效益</w:t>
      </w:r>
      <w:r>
        <w:tab/>
      </w:r>
      <w:r>
        <w:fldChar w:fldCharType="begin"/>
      </w:r>
      <w:r>
        <w:instrText xml:space="preserve"> PAGEREF _Toc5572 </w:instrText>
      </w:r>
      <w:r>
        <w:fldChar w:fldCharType="separate"/>
      </w:r>
      <w:r>
        <w:t>119</w:t>
      </w:r>
      <w:r>
        <w:fldChar w:fldCharType="end"/>
      </w:r>
      <w:r>
        <w:fldChar w:fldCharType="end"/>
      </w:r>
    </w:p>
    <w:p>
      <w:pPr>
        <w:pStyle w:val="18"/>
        <w:tabs>
          <w:tab w:val="right" w:leader="dot" w:pos="9072"/>
        </w:tabs>
        <w:ind w:firstLine="480"/>
      </w:pPr>
      <w:r>
        <w:fldChar w:fldCharType="begin"/>
      </w:r>
      <w:r>
        <w:instrText xml:space="preserve"> HYPERLINK \l "_Toc2211" </w:instrText>
      </w:r>
      <w:r>
        <w:fldChar w:fldCharType="separate"/>
      </w:r>
      <w:r>
        <w:rPr>
          <w:rFonts w:hint="eastAsia" w:cs="+????"/>
        </w:rPr>
        <w:t xml:space="preserve">10.2 </w:t>
      </w:r>
      <w:r>
        <w:rPr>
          <w:rFonts w:hint="eastAsia"/>
        </w:rPr>
        <w:t>环境经济损益分析</w:t>
      </w:r>
      <w:r>
        <w:tab/>
      </w:r>
      <w:r>
        <w:fldChar w:fldCharType="begin"/>
      </w:r>
      <w:r>
        <w:instrText xml:space="preserve"> PAGEREF _Toc2211 </w:instrText>
      </w:r>
      <w:r>
        <w:fldChar w:fldCharType="separate"/>
      </w:r>
      <w:r>
        <w:t>119</w:t>
      </w:r>
      <w:r>
        <w:fldChar w:fldCharType="end"/>
      </w:r>
      <w:r>
        <w:fldChar w:fldCharType="end"/>
      </w:r>
    </w:p>
    <w:p>
      <w:pPr>
        <w:pStyle w:val="18"/>
        <w:tabs>
          <w:tab w:val="right" w:leader="dot" w:pos="9072"/>
        </w:tabs>
        <w:ind w:firstLine="480"/>
      </w:pPr>
      <w:r>
        <w:fldChar w:fldCharType="begin"/>
      </w:r>
      <w:r>
        <w:instrText xml:space="preserve"> HYPERLINK \l "_Toc5601" </w:instrText>
      </w:r>
      <w:r>
        <w:fldChar w:fldCharType="separate"/>
      </w:r>
      <w:r>
        <w:rPr>
          <w:rFonts w:hint="eastAsia" w:cs="+????"/>
        </w:rPr>
        <w:t xml:space="preserve">10.3 </w:t>
      </w:r>
      <w:r>
        <w:rPr>
          <w:rFonts w:hint="eastAsia"/>
        </w:rPr>
        <w:t>环境保护效益分析</w:t>
      </w:r>
      <w:r>
        <w:tab/>
      </w:r>
      <w:r>
        <w:fldChar w:fldCharType="begin"/>
      </w:r>
      <w:r>
        <w:instrText xml:space="preserve"> PAGEREF _Toc5601 </w:instrText>
      </w:r>
      <w:r>
        <w:fldChar w:fldCharType="separate"/>
      </w:r>
      <w:r>
        <w:t>119</w:t>
      </w:r>
      <w:r>
        <w:fldChar w:fldCharType="end"/>
      </w:r>
      <w:r>
        <w:fldChar w:fldCharType="end"/>
      </w:r>
    </w:p>
    <w:p>
      <w:pPr>
        <w:pStyle w:val="17"/>
        <w:tabs>
          <w:tab w:val="right" w:leader="dot" w:pos="9072"/>
        </w:tabs>
      </w:pPr>
      <w:r>
        <w:fldChar w:fldCharType="begin"/>
      </w:r>
      <w:r>
        <w:instrText xml:space="preserve"> HYPERLINK \l "_Toc11396" </w:instrText>
      </w:r>
      <w:r>
        <w:fldChar w:fldCharType="separate"/>
      </w:r>
      <w:r>
        <w:rPr>
          <w:rFonts w:hint="eastAsia" w:cs="+????"/>
        </w:rPr>
        <w:t xml:space="preserve">11 </w:t>
      </w:r>
      <w:r>
        <w:rPr>
          <w:rFonts w:hint="eastAsia"/>
        </w:rPr>
        <w:t>环境管理与监测计划</w:t>
      </w:r>
      <w:r>
        <w:tab/>
      </w:r>
      <w:r>
        <w:fldChar w:fldCharType="begin"/>
      </w:r>
      <w:r>
        <w:instrText xml:space="preserve"> PAGEREF _Toc11396 </w:instrText>
      </w:r>
      <w:r>
        <w:fldChar w:fldCharType="separate"/>
      </w:r>
      <w:r>
        <w:t>121</w:t>
      </w:r>
      <w:r>
        <w:fldChar w:fldCharType="end"/>
      </w:r>
      <w:r>
        <w:fldChar w:fldCharType="end"/>
      </w:r>
    </w:p>
    <w:p>
      <w:pPr>
        <w:pStyle w:val="18"/>
        <w:tabs>
          <w:tab w:val="right" w:leader="dot" w:pos="9072"/>
        </w:tabs>
        <w:ind w:firstLine="480"/>
      </w:pPr>
      <w:r>
        <w:fldChar w:fldCharType="begin"/>
      </w:r>
      <w:r>
        <w:instrText xml:space="preserve"> HYPERLINK \l "_Toc7601" </w:instrText>
      </w:r>
      <w:r>
        <w:fldChar w:fldCharType="separate"/>
      </w:r>
      <w:r>
        <w:rPr>
          <w:rFonts w:hint="eastAsia" w:cs="+????"/>
        </w:rPr>
        <w:t xml:space="preserve">11.1 </w:t>
      </w:r>
      <w:r>
        <w:rPr>
          <w:rFonts w:hint="eastAsia"/>
        </w:rPr>
        <w:t>环境管理</w:t>
      </w:r>
      <w:r>
        <w:tab/>
      </w:r>
      <w:r>
        <w:fldChar w:fldCharType="begin"/>
      </w:r>
      <w:r>
        <w:instrText xml:space="preserve"> PAGEREF _Toc7601 </w:instrText>
      </w:r>
      <w:r>
        <w:fldChar w:fldCharType="separate"/>
      </w:r>
      <w:r>
        <w:t>121</w:t>
      </w:r>
      <w:r>
        <w:fldChar w:fldCharType="end"/>
      </w:r>
      <w:r>
        <w:fldChar w:fldCharType="end"/>
      </w:r>
    </w:p>
    <w:p>
      <w:pPr>
        <w:pStyle w:val="18"/>
        <w:tabs>
          <w:tab w:val="right" w:leader="dot" w:pos="9072"/>
        </w:tabs>
        <w:ind w:firstLine="480"/>
      </w:pPr>
      <w:r>
        <w:fldChar w:fldCharType="begin"/>
      </w:r>
      <w:r>
        <w:instrText xml:space="preserve"> HYPERLINK \l "_Toc6747" </w:instrText>
      </w:r>
      <w:r>
        <w:fldChar w:fldCharType="separate"/>
      </w:r>
      <w:r>
        <w:rPr>
          <w:rFonts w:hint="eastAsia" w:cs="+????"/>
        </w:rPr>
        <w:t xml:space="preserve">11.2 </w:t>
      </w:r>
      <w:r>
        <w:rPr>
          <w:rFonts w:hint="eastAsia"/>
        </w:rPr>
        <w:t>环境监测</w:t>
      </w:r>
      <w:r>
        <w:tab/>
      </w:r>
      <w:r>
        <w:fldChar w:fldCharType="begin"/>
      </w:r>
      <w:r>
        <w:instrText xml:space="preserve"> PAGEREF _Toc6747 </w:instrText>
      </w:r>
      <w:r>
        <w:fldChar w:fldCharType="separate"/>
      </w:r>
      <w:r>
        <w:t>121</w:t>
      </w:r>
      <w:r>
        <w:fldChar w:fldCharType="end"/>
      </w:r>
      <w:r>
        <w:fldChar w:fldCharType="end"/>
      </w:r>
    </w:p>
    <w:p>
      <w:pPr>
        <w:pStyle w:val="18"/>
        <w:tabs>
          <w:tab w:val="right" w:leader="dot" w:pos="9072"/>
        </w:tabs>
        <w:ind w:firstLine="480"/>
      </w:pPr>
      <w:r>
        <w:fldChar w:fldCharType="begin"/>
      </w:r>
      <w:r>
        <w:instrText xml:space="preserve"> HYPERLINK \l "_Toc9597" </w:instrText>
      </w:r>
      <w:r>
        <w:fldChar w:fldCharType="separate"/>
      </w:r>
      <w:r>
        <w:rPr>
          <w:rFonts w:hint="eastAsia" w:cs="+????"/>
        </w:rPr>
        <w:t xml:space="preserve">11.3 </w:t>
      </w:r>
      <w:r>
        <w:rPr>
          <w:rFonts w:hint="eastAsia"/>
        </w:rPr>
        <w:t>规范化排污口设置</w:t>
      </w:r>
      <w:r>
        <w:tab/>
      </w:r>
      <w:r>
        <w:fldChar w:fldCharType="begin"/>
      </w:r>
      <w:r>
        <w:instrText xml:space="preserve"> PAGEREF _Toc9597 </w:instrText>
      </w:r>
      <w:r>
        <w:fldChar w:fldCharType="separate"/>
      </w:r>
      <w:r>
        <w:t>124</w:t>
      </w:r>
      <w:r>
        <w:fldChar w:fldCharType="end"/>
      </w:r>
      <w:r>
        <w:fldChar w:fldCharType="end"/>
      </w:r>
    </w:p>
    <w:p>
      <w:pPr>
        <w:pStyle w:val="17"/>
        <w:tabs>
          <w:tab w:val="right" w:leader="dot" w:pos="9072"/>
        </w:tabs>
      </w:pPr>
      <w:r>
        <w:fldChar w:fldCharType="begin"/>
      </w:r>
      <w:r>
        <w:instrText xml:space="preserve"> HYPERLINK \l "_Toc27565" </w:instrText>
      </w:r>
      <w:r>
        <w:fldChar w:fldCharType="separate"/>
      </w:r>
      <w:r>
        <w:rPr>
          <w:rFonts w:hint="eastAsia" w:cs="+????"/>
        </w:rPr>
        <w:t xml:space="preserve">12 </w:t>
      </w:r>
      <w:r>
        <w:rPr>
          <w:rFonts w:hint="eastAsia"/>
        </w:rPr>
        <w:t>产业政策和选址合理性分析</w:t>
      </w:r>
      <w:r>
        <w:tab/>
      </w:r>
      <w:r>
        <w:fldChar w:fldCharType="begin"/>
      </w:r>
      <w:r>
        <w:instrText xml:space="preserve"> PAGEREF _Toc27565 </w:instrText>
      </w:r>
      <w:r>
        <w:fldChar w:fldCharType="separate"/>
      </w:r>
      <w:r>
        <w:t>125</w:t>
      </w:r>
      <w:r>
        <w:fldChar w:fldCharType="end"/>
      </w:r>
      <w:r>
        <w:fldChar w:fldCharType="end"/>
      </w:r>
    </w:p>
    <w:p>
      <w:pPr>
        <w:pStyle w:val="18"/>
        <w:tabs>
          <w:tab w:val="right" w:leader="dot" w:pos="9072"/>
        </w:tabs>
        <w:ind w:firstLine="480"/>
      </w:pPr>
      <w:r>
        <w:fldChar w:fldCharType="begin"/>
      </w:r>
      <w:r>
        <w:instrText xml:space="preserve"> HYPERLINK \l "_Toc24970" </w:instrText>
      </w:r>
      <w:r>
        <w:fldChar w:fldCharType="separate"/>
      </w:r>
      <w:r>
        <w:rPr>
          <w:rFonts w:hint="eastAsia" w:cs="+????"/>
        </w:rPr>
        <w:t xml:space="preserve">12.1 </w:t>
      </w:r>
      <w:r>
        <w:rPr>
          <w:rFonts w:hint="eastAsia"/>
        </w:rPr>
        <w:t>产业政策符合性分析</w:t>
      </w:r>
      <w:r>
        <w:tab/>
      </w:r>
      <w:r>
        <w:fldChar w:fldCharType="begin"/>
      </w:r>
      <w:r>
        <w:instrText xml:space="preserve"> PAGEREF _Toc24970 </w:instrText>
      </w:r>
      <w:r>
        <w:fldChar w:fldCharType="separate"/>
      </w:r>
      <w:r>
        <w:t>125</w:t>
      </w:r>
      <w:r>
        <w:fldChar w:fldCharType="end"/>
      </w:r>
      <w:r>
        <w:fldChar w:fldCharType="end"/>
      </w:r>
    </w:p>
    <w:p>
      <w:pPr>
        <w:pStyle w:val="18"/>
        <w:tabs>
          <w:tab w:val="right" w:leader="dot" w:pos="9072"/>
        </w:tabs>
        <w:ind w:firstLine="480"/>
      </w:pPr>
      <w:r>
        <w:fldChar w:fldCharType="begin"/>
      </w:r>
      <w:r>
        <w:instrText xml:space="preserve"> HYPERLINK \l "_Toc26904" </w:instrText>
      </w:r>
      <w:r>
        <w:fldChar w:fldCharType="separate"/>
      </w:r>
      <w:r>
        <w:rPr>
          <w:rFonts w:hint="eastAsia" w:cs="+????"/>
        </w:rPr>
        <w:t xml:space="preserve">12.2 </w:t>
      </w:r>
      <w:r>
        <w:rPr>
          <w:rFonts w:hint="eastAsia"/>
        </w:rPr>
        <w:t>印染行业准入条件符合性分析</w:t>
      </w:r>
      <w:r>
        <w:tab/>
      </w:r>
      <w:r>
        <w:fldChar w:fldCharType="begin"/>
      </w:r>
      <w:r>
        <w:instrText xml:space="preserve"> PAGEREF _Toc26904 </w:instrText>
      </w:r>
      <w:r>
        <w:fldChar w:fldCharType="separate"/>
      </w:r>
      <w:r>
        <w:t>125</w:t>
      </w:r>
      <w:r>
        <w:fldChar w:fldCharType="end"/>
      </w:r>
      <w:r>
        <w:fldChar w:fldCharType="end"/>
      </w:r>
    </w:p>
    <w:p>
      <w:pPr>
        <w:pStyle w:val="18"/>
        <w:tabs>
          <w:tab w:val="right" w:leader="dot" w:pos="9072"/>
        </w:tabs>
        <w:ind w:firstLine="480"/>
      </w:pPr>
      <w:r>
        <w:fldChar w:fldCharType="begin"/>
      </w:r>
      <w:r>
        <w:instrText xml:space="preserve"> HYPERLINK \l "_Toc4010" </w:instrText>
      </w:r>
      <w:r>
        <w:fldChar w:fldCharType="separate"/>
      </w:r>
      <w:r>
        <w:rPr>
          <w:rFonts w:hint="eastAsia" w:cs="+????"/>
        </w:rPr>
        <w:t xml:space="preserve">12.3 </w:t>
      </w:r>
      <w:r>
        <w:rPr>
          <w:rFonts w:hint="eastAsia"/>
        </w:rPr>
        <w:t>选址合理性分析</w:t>
      </w:r>
      <w:r>
        <w:tab/>
      </w:r>
      <w:r>
        <w:fldChar w:fldCharType="begin"/>
      </w:r>
      <w:r>
        <w:instrText xml:space="preserve"> PAGEREF _Toc4010 </w:instrText>
      </w:r>
      <w:r>
        <w:fldChar w:fldCharType="separate"/>
      </w:r>
      <w:r>
        <w:t>127</w:t>
      </w:r>
      <w:r>
        <w:fldChar w:fldCharType="end"/>
      </w:r>
      <w:r>
        <w:fldChar w:fldCharType="end"/>
      </w:r>
    </w:p>
    <w:p>
      <w:pPr>
        <w:pStyle w:val="18"/>
        <w:tabs>
          <w:tab w:val="right" w:leader="dot" w:pos="9072"/>
        </w:tabs>
        <w:ind w:firstLine="480"/>
      </w:pPr>
      <w:r>
        <w:fldChar w:fldCharType="begin"/>
      </w:r>
      <w:r>
        <w:instrText xml:space="preserve"> HYPERLINK \l "_Toc14895" </w:instrText>
      </w:r>
      <w:r>
        <w:fldChar w:fldCharType="separate"/>
      </w:r>
      <w:r>
        <w:rPr>
          <w:rFonts w:hint="eastAsia" w:cs="+????"/>
        </w:rPr>
        <w:t xml:space="preserve">12.4 </w:t>
      </w:r>
      <w:r>
        <w:rPr>
          <w:rFonts w:hint="eastAsia"/>
        </w:rPr>
        <w:t>总平面布局合理性分析</w:t>
      </w:r>
      <w:r>
        <w:tab/>
      </w:r>
      <w:r>
        <w:fldChar w:fldCharType="begin"/>
      </w:r>
      <w:r>
        <w:instrText xml:space="preserve"> PAGEREF _Toc14895 </w:instrText>
      </w:r>
      <w:r>
        <w:fldChar w:fldCharType="separate"/>
      </w:r>
      <w:r>
        <w:t>128</w:t>
      </w:r>
      <w:r>
        <w:fldChar w:fldCharType="end"/>
      </w:r>
      <w:r>
        <w:fldChar w:fldCharType="end"/>
      </w:r>
    </w:p>
    <w:p>
      <w:pPr>
        <w:pStyle w:val="18"/>
        <w:tabs>
          <w:tab w:val="right" w:leader="dot" w:pos="9072"/>
        </w:tabs>
        <w:ind w:firstLine="480"/>
      </w:pPr>
      <w:r>
        <w:fldChar w:fldCharType="begin"/>
      </w:r>
      <w:r>
        <w:instrText xml:space="preserve"> HYPERLINK \l "_Toc7716" </w:instrText>
      </w:r>
      <w:r>
        <w:fldChar w:fldCharType="separate"/>
      </w:r>
      <w:r>
        <w:rPr>
          <w:rFonts w:hint="eastAsia" w:cs="+????"/>
        </w:rPr>
        <w:t xml:space="preserve">12.5 </w:t>
      </w:r>
      <w:r>
        <w:rPr>
          <w:rFonts w:hint="eastAsia"/>
        </w:rPr>
        <w:t>小结</w:t>
      </w:r>
      <w:r>
        <w:tab/>
      </w:r>
      <w:r>
        <w:fldChar w:fldCharType="begin"/>
      </w:r>
      <w:r>
        <w:instrText xml:space="preserve"> PAGEREF _Toc7716 </w:instrText>
      </w:r>
      <w:r>
        <w:fldChar w:fldCharType="separate"/>
      </w:r>
      <w:r>
        <w:t>128</w:t>
      </w:r>
      <w:r>
        <w:fldChar w:fldCharType="end"/>
      </w:r>
      <w:r>
        <w:fldChar w:fldCharType="end"/>
      </w:r>
    </w:p>
    <w:p>
      <w:pPr>
        <w:pStyle w:val="17"/>
        <w:tabs>
          <w:tab w:val="right" w:leader="dot" w:pos="9072"/>
        </w:tabs>
      </w:pPr>
      <w:r>
        <w:fldChar w:fldCharType="begin"/>
      </w:r>
      <w:r>
        <w:instrText xml:space="preserve"> HYPERLINK \l "_Toc24331" </w:instrText>
      </w:r>
      <w:r>
        <w:fldChar w:fldCharType="separate"/>
      </w:r>
      <w:r>
        <w:rPr>
          <w:rFonts w:hint="eastAsia" w:cs="+????"/>
        </w:rPr>
        <w:t xml:space="preserve">13 </w:t>
      </w:r>
      <w:r>
        <w:rPr>
          <w:rFonts w:hint="eastAsia"/>
        </w:rPr>
        <w:t>环境影响评价结论与建议</w:t>
      </w:r>
      <w:r>
        <w:tab/>
      </w:r>
      <w:r>
        <w:fldChar w:fldCharType="begin"/>
      </w:r>
      <w:r>
        <w:instrText xml:space="preserve"> PAGEREF _Toc24331 </w:instrText>
      </w:r>
      <w:r>
        <w:fldChar w:fldCharType="separate"/>
      </w:r>
      <w:r>
        <w:t>129</w:t>
      </w:r>
      <w:r>
        <w:fldChar w:fldCharType="end"/>
      </w:r>
      <w:r>
        <w:fldChar w:fldCharType="end"/>
      </w:r>
    </w:p>
    <w:p>
      <w:pPr>
        <w:pStyle w:val="18"/>
        <w:tabs>
          <w:tab w:val="right" w:leader="dot" w:pos="9072"/>
        </w:tabs>
        <w:ind w:firstLine="480"/>
      </w:pPr>
      <w:r>
        <w:fldChar w:fldCharType="begin"/>
      </w:r>
      <w:r>
        <w:instrText xml:space="preserve"> HYPERLINK \l "_Toc32119" </w:instrText>
      </w:r>
      <w:r>
        <w:fldChar w:fldCharType="separate"/>
      </w:r>
      <w:r>
        <w:rPr>
          <w:rFonts w:hint="eastAsia" w:cs="+????"/>
        </w:rPr>
        <w:t xml:space="preserve">13.1 </w:t>
      </w:r>
      <w:r>
        <w:rPr>
          <w:rFonts w:hint="eastAsia"/>
        </w:rPr>
        <w:t>结论</w:t>
      </w:r>
      <w:r>
        <w:tab/>
      </w:r>
      <w:r>
        <w:fldChar w:fldCharType="begin"/>
      </w:r>
      <w:r>
        <w:instrText xml:space="preserve"> PAGEREF _Toc32119 </w:instrText>
      </w:r>
      <w:r>
        <w:fldChar w:fldCharType="separate"/>
      </w:r>
      <w:r>
        <w:t>129</w:t>
      </w:r>
      <w:r>
        <w:fldChar w:fldCharType="end"/>
      </w:r>
      <w:r>
        <w:fldChar w:fldCharType="end"/>
      </w:r>
    </w:p>
    <w:p>
      <w:pPr>
        <w:pStyle w:val="18"/>
        <w:tabs>
          <w:tab w:val="right" w:leader="dot" w:pos="9072"/>
        </w:tabs>
        <w:ind w:firstLine="480"/>
      </w:pPr>
      <w:r>
        <w:fldChar w:fldCharType="begin"/>
      </w:r>
      <w:r>
        <w:instrText xml:space="preserve"> HYPERLINK \l "_Toc21321" </w:instrText>
      </w:r>
      <w:r>
        <w:fldChar w:fldCharType="separate"/>
      </w:r>
      <w:r>
        <w:rPr>
          <w:rFonts w:hint="eastAsia" w:cs="+????"/>
        </w:rPr>
        <w:t xml:space="preserve">13.2 </w:t>
      </w:r>
      <w:r>
        <w:rPr>
          <w:rFonts w:hint="eastAsia"/>
        </w:rPr>
        <w:t>建议</w:t>
      </w:r>
      <w:r>
        <w:tab/>
      </w:r>
      <w:r>
        <w:fldChar w:fldCharType="begin"/>
      </w:r>
      <w:r>
        <w:instrText xml:space="preserve"> PAGEREF _Toc21321 </w:instrText>
      </w:r>
      <w:r>
        <w:fldChar w:fldCharType="separate"/>
      </w:r>
      <w:r>
        <w:t>132</w:t>
      </w:r>
      <w:r>
        <w:fldChar w:fldCharType="end"/>
      </w:r>
      <w:r>
        <w:fldChar w:fldCharType="end"/>
      </w:r>
    </w:p>
    <w:p>
      <w:pPr>
        <w:ind w:firstLine="0" w:firstLineChars="0"/>
        <w:jc w:val="center"/>
        <w:sectPr>
          <w:pgSz w:w="11906" w:h="16838"/>
          <w:pgMar w:top="1440" w:right="1417" w:bottom="1440" w:left="1417" w:header="851" w:footer="992" w:gutter="0"/>
          <w:cols w:space="0" w:num="1"/>
          <w:docGrid w:type="lines" w:linePitch="332" w:charSpace="0"/>
        </w:sectPr>
      </w:pPr>
      <w:r>
        <w:fldChar w:fldCharType="end"/>
      </w:r>
    </w:p>
    <w:p>
      <w:pPr>
        <w:pStyle w:val="2"/>
      </w:pPr>
      <w:bookmarkStart w:id="0" w:name="_Toc26399"/>
      <w:r>
        <w:rPr>
          <w:rFonts w:hint="eastAsia"/>
        </w:rPr>
        <w:t>概述</w:t>
      </w:r>
      <w:bookmarkEnd w:id="0"/>
    </w:p>
    <w:p>
      <w:pPr>
        <w:pStyle w:val="3"/>
      </w:pPr>
      <w:bookmarkStart w:id="1" w:name="_Toc6365"/>
      <w:r>
        <w:rPr>
          <w:rFonts w:hint="eastAsia"/>
        </w:rPr>
        <w:t>项目由来</w:t>
      </w:r>
      <w:bookmarkEnd w:id="1"/>
    </w:p>
    <w:p>
      <w:pPr>
        <w:ind w:firstLine="480"/>
      </w:pPr>
      <w:r>
        <w:rPr>
          <w:rFonts w:hint="eastAsia"/>
        </w:rPr>
        <w:t>湖南省汨罗纺织厂（以下简称“原汨纺”）始建于</w:t>
      </w:r>
      <w:r>
        <w:t>19</w:t>
      </w:r>
      <w:r>
        <w:rPr>
          <w:rFonts w:hint="eastAsia"/>
        </w:rPr>
        <w:t>世纪</w:t>
      </w:r>
      <w:r>
        <w:t>70</w:t>
      </w:r>
      <w:r>
        <w:rPr>
          <w:rFonts w:hint="eastAsia"/>
        </w:rPr>
        <w:t>年代，是我省国有大型棉纺织印染企业。</w:t>
      </w:r>
      <w:r>
        <w:t>2003</w:t>
      </w:r>
      <w:r>
        <w:rPr>
          <w:rFonts w:hint="eastAsia"/>
        </w:rPr>
        <w:t>年在岳阳市政府的统一领导指挥下，原汨纺破产后进行改制，由湖南德科纺织印染有限公司收购，将原汨纺厂名变更为湖南德科纺织印染有限公司（以下简称“德科”）。</w:t>
      </w:r>
    </w:p>
    <w:p>
      <w:pPr>
        <w:ind w:firstLine="480"/>
      </w:pPr>
      <w:r>
        <w:rPr>
          <w:rFonts w:hint="eastAsia"/>
        </w:rPr>
        <w:t>湖南德科纺织印染有限公司在</w:t>
      </w:r>
      <w:r>
        <w:t>2003</w:t>
      </w:r>
      <w:r>
        <w:rPr>
          <w:rFonts w:hint="eastAsia"/>
        </w:rPr>
        <w:t>年原汨纺改制时，根据岳阳市环境保护局的要求对原汨纺厂开展了环境影响登记表工作，并于</w:t>
      </w:r>
      <w:r>
        <w:t>2003</w:t>
      </w:r>
      <w:r>
        <w:rPr>
          <w:rFonts w:hint="eastAsia"/>
        </w:rPr>
        <w:t>年</w:t>
      </w:r>
      <w:r>
        <w:t>9</w:t>
      </w:r>
      <w:r>
        <w:rPr>
          <w:rFonts w:hint="eastAsia"/>
        </w:rPr>
        <w:t>月</w:t>
      </w:r>
      <w:r>
        <w:t>4</w:t>
      </w:r>
      <w:r>
        <w:rPr>
          <w:rFonts w:hint="eastAsia"/>
        </w:rPr>
        <w:t>日获得岳阳市环境保护局对该项目的审批意见。同时，德科应召岳阳市政府要求，延续原汨纺把印染车间租赁给科达印染有限公司生产经营的协议。</w:t>
      </w:r>
    </w:p>
    <w:p>
      <w:pPr>
        <w:ind w:firstLine="480"/>
      </w:pPr>
      <w:r>
        <w:rPr>
          <w:rFonts w:hint="eastAsia"/>
        </w:rPr>
        <w:t>德科根据现有厂区实际情况，厂区存在以下问题：</w:t>
      </w:r>
    </w:p>
    <w:p>
      <w:pPr>
        <w:ind w:firstLine="480"/>
      </w:pPr>
      <w:r>
        <w:rPr>
          <w:rFonts w:hint="eastAsia"/>
        </w:rPr>
        <w:t>①根据《产业结构调整指导目录（</w:t>
      </w:r>
      <w:r>
        <w:t>2011</w:t>
      </w:r>
      <w:r>
        <w:rPr>
          <w:rFonts w:hint="eastAsia"/>
        </w:rPr>
        <w:t>年版）》，印染生产设备老旧，属于中淘汰设备；</w:t>
      </w:r>
    </w:p>
    <w:p>
      <w:pPr>
        <w:ind w:firstLine="480"/>
      </w:pPr>
      <w:r>
        <w:rPr>
          <w:rFonts w:hint="eastAsia"/>
        </w:rPr>
        <w:t>②印染车间生产废水未进行回收利用，其印染车间单位产品新鲜水取水量为</w:t>
      </w:r>
      <w:r>
        <w:t>4.3</w:t>
      </w:r>
      <w:r>
        <w:rPr>
          <w:rFonts w:hint="eastAsia"/>
        </w:rPr>
        <w:t>吨水</w:t>
      </w:r>
      <w:r>
        <w:t>/</w:t>
      </w:r>
      <w:r>
        <w:rPr>
          <w:rFonts w:hint="eastAsia"/>
        </w:rPr>
        <w:t>百米，不满足《印染行业准入条件</w:t>
      </w:r>
      <w:r>
        <w:t>(2010</w:t>
      </w:r>
      <w:r>
        <w:rPr>
          <w:rFonts w:hint="eastAsia"/>
        </w:rPr>
        <w:t>年修订版》中规定的“棉、麻、化纤及混纺机织物印染的企业单位产品新鲜水取水量≤</w:t>
      </w:r>
      <w:r>
        <w:t>2</w:t>
      </w:r>
      <w:r>
        <w:rPr>
          <w:rFonts w:hint="eastAsia"/>
        </w:rPr>
        <w:t>吨水</w:t>
      </w:r>
      <w:r>
        <w:t>/</w:t>
      </w:r>
      <w:r>
        <w:rPr>
          <w:rFonts w:hint="eastAsia"/>
        </w:rPr>
        <w:t>百米”的要求；</w:t>
      </w:r>
    </w:p>
    <w:p>
      <w:pPr>
        <w:ind w:firstLine="480"/>
      </w:pPr>
      <w:r>
        <w:rPr>
          <w:rFonts w:hint="eastAsia"/>
        </w:rPr>
        <w:t>③印染车间生产废水直接排入污水处理站处理后排入湘江，不回收利用，与《印染行业准入条件（</w:t>
      </w:r>
      <w:r>
        <w:t>2010</w:t>
      </w:r>
      <w:r>
        <w:rPr>
          <w:rFonts w:hint="eastAsia"/>
        </w:rPr>
        <w:t>年修订）》中水重复利用率达到</w:t>
      </w:r>
      <w:r>
        <w:t>35%</w:t>
      </w:r>
      <w:r>
        <w:rPr>
          <w:rFonts w:hint="eastAsia"/>
        </w:rPr>
        <w:t>以上不符；</w:t>
      </w:r>
    </w:p>
    <w:p>
      <w:pPr>
        <w:ind w:firstLine="480"/>
      </w:pPr>
      <w:r>
        <w:rPr>
          <w:rFonts w:hint="eastAsia"/>
        </w:rPr>
        <w:t>④定型废气未进行收集直接外排；</w:t>
      </w:r>
    </w:p>
    <w:p>
      <w:pPr>
        <w:ind w:firstLine="480"/>
      </w:pPr>
      <w:r>
        <w:rPr>
          <w:rFonts w:hint="eastAsia"/>
        </w:rPr>
        <w:t>⑤现有厂区内有一台</w:t>
      </w:r>
      <w:r>
        <w:t>6.5t/h</w:t>
      </w:r>
      <w:r>
        <w:rPr>
          <w:rFonts w:hint="eastAsia"/>
        </w:rPr>
        <w:t>燃煤蒸汽锅炉、一台燃煤导热油炉，根据《岳阳市大气防治行动计划》实施方案“到</w:t>
      </w:r>
      <w:r>
        <w:t>2017</w:t>
      </w:r>
      <w:r>
        <w:rPr>
          <w:rFonts w:hint="eastAsia"/>
        </w:rPr>
        <w:t>年底，全市城市建成区，除必要保留的以外，基本淘汰</w:t>
      </w:r>
      <w:r>
        <w:t>10</w:t>
      </w:r>
      <w:r>
        <w:rPr>
          <w:rFonts w:hint="eastAsia"/>
        </w:rPr>
        <w:t>蒸吨及以下燃煤锅炉，禁止新建</w:t>
      </w:r>
      <w:r>
        <w:t>20</w:t>
      </w:r>
      <w:r>
        <w:rPr>
          <w:rFonts w:hint="eastAsia"/>
        </w:rPr>
        <w:t>蒸吨及以下燃煤锅炉；其他地区不再新建</w:t>
      </w:r>
      <w:r>
        <w:t>10</w:t>
      </w:r>
      <w:r>
        <w:rPr>
          <w:rFonts w:hint="eastAsia"/>
        </w:rPr>
        <w:t>蒸吨及以下燃煤锅炉。”，则该两台燃煤锅炉属于即将淘汰的锅炉；</w:t>
      </w:r>
    </w:p>
    <w:p>
      <w:pPr>
        <w:ind w:firstLine="480"/>
      </w:pPr>
      <w:r>
        <w:rPr>
          <w:rFonts w:hint="eastAsia"/>
        </w:rPr>
        <w:t>⑥厂区内未设置危废暂存间，现有工程固废中污泥和含有染料废包装物属于危废，未得到妥善处理。</w:t>
      </w:r>
    </w:p>
    <w:p>
      <w:pPr>
        <w:ind w:firstLine="480"/>
      </w:pPr>
      <w:r>
        <w:rPr>
          <w:rFonts w:hint="eastAsia"/>
        </w:rPr>
        <w:t>因此，德科决定对厂区进行技术改造。</w:t>
      </w:r>
    </w:p>
    <w:p>
      <w:pPr>
        <w:ind w:firstLine="480"/>
        <w:rPr>
          <w:rFonts w:ascii="宋体"/>
        </w:rPr>
      </w:pPr>
      <w:r>
        <w:rPr>
          <w:rFonts w:hint="eastAsia" w:ascii="宋体" w:hAnsi="宋体"/>
        </w:rPr>
        <w:t>受</w:t>
      </w:r>
      <w:r>
        <w:rPr>
          <w:rFonts w:hint="eastAsia"/>
        </w:rPr>
        <w:t>湖南德科纺织印染有限公司</w:t>
      </w:r>
      <w:r>
        <w:rPr>
          <w:rFonts w:hint="eastAsia" w:ascii="宋体" w:hAnsi="宋体"/>
        </w:rPr>
        <w:t>的委托，本单位负责承担该</w:t>
      </w:r>
      <w:r>
        <w:rPr>
          <w:rFonts w:hint="eastAsia"/>
        </w:rPr>
        <w:t>技改</w:t>
      </w:r>
      <w:r>
        <w:rPr>
          <w:rFonts w:hint="eastAsia" w:ascii="宋体" w:hAnsi="宋体"/>
        </w:rPr>
        <w:t>项目的环境影响评价工作，我单位在现场踏勘、调研及收集有关资料并征求环保管理部门意见的基础上，根据环评技术导则的要求，从环境保护角度论证项目可行性。</w:t>
      </w:r>
    </w:p>
    <w:p>
      <w:pPr>
        <w:pStyle w:val="3"/>
      </w:pPr>
      <w:bookmarkStart w:id="2" w:name="_Toc21519"/>
      <w:r>
        <w:rPr>
          <w:rFonts w:hint="eastAsia"/>
        </w:rPr>
        <w:t>环境影响评价工作过程</w:t>
      </w:r>
      <w:bookmarkEnd w:id="2"/>
    </w:p>
    <w:p>
      <w:pPr>
        <w:ind w:firstLine="480"/>
      </w:pPr>
      <w:r>
        <w:rPr>
          <w:rFonts w:hint="eastAsia"/>
        </w:rPr>
        <w:t>本次环境影响评价工作分为三个阶段，第一个阶段为准备阶段，主要工作为研究有关文件，进行初步的工程分析和环境现状调查，制定工作方案；第二阶段为正式工作阶段，其主要工作为工程分析和环境现状调查，并进行环境影响预测和评价环境影响；第三阶段为报告书编制阶段，其主要工作为汇总、分析第二阶段工作所需的各种资料、数据，给出结论，完成环境影响报告书的编制。具体工作流程见下图。</w:t>
      </w:r>
    </w:p>
    <w:p>
      <w:pPr>
        <w:ind w:firstLine="0" w:firstLineChars="0"/>
        <w:jc w:val="center"/>
      </w:pPr>
      <w:r>
        <w:object>
          <v:shape id="_x0000_i1025" o:spt="75" type="#_x0000_t75" style="height:538.95pt;width:413.75pt;" o:ole="t" filled="f" o:preferrelative="t" stroked="f" coordsize="21600,21600">
            <v:path/>
            <v:fill on="f" focussize="0,0"/>
            <v:stroke on="f" joinstyle="miter"/>
            <v:imagedata r:id="rId14" o:title=""/>
            <o:lock v:ext="edit" aspectratio="f"/>
            <w10:wrap type="none"/>
            <w10:anchorlock/>
          </v:shape>
          <o:OLEObject Type="Embed" ProgID="Visio.Drawing.11" ShapeID="_x0000_i1025" DrawAspect="Content" ObjectID="_1468075725" r:id="rId13">
            <o:LockedField>false</o:LockedField>
          </o:OLEObject>
        </w:object>
      </w:r>
    </w:p>
    <w:p>
      <w:pPr>
        <w:pStyle w:val="3"/>
      </w:pPr>
      <w:bookmarkStart w:id="3" w:name="_Toc12838"/>
      <w:r>
        <w:rPr>
          <w:rFonts w:hint="eastAsia"/>
        </w:rPr>
        <w:t>项目特点</w:t>
      </w:r>
      <w:bookmarkEnd w:id="3"/>
    </w:p>
    <w:p>
      <w:pPr>
        <w:numPr>
          <w:ilvl w:val="0"/>
          <w:numId w:val="3"/>
        </w:numPr>
        <w:ind w:firstLine="480"/>
      </w:pPr>
      <w:r>
        <w:rPr>
          <w:rFonts w:hint="eastAsia"/>
        </w:rPr>
        <w:t>本次技改后织布车间不再进行生产；</w:t>
      </w:r>
    </w:p>
    <w:p>
      <w:pPr>
        <w:numPr>
          <w:ilvl w:val="0"/>
          <w:numId w:val="3"/>
        </w:numPr>
        <w:ind w:firstLine="480"/>
      </w:pPr>
      <w:r>
        <w:rPr>
          <w:rFonts w:hint="eastAsia"/>
        </w:rPr>
        <w:t>本项目主要对印染车间进行技改；</w:t>
      </w:r>
    </w:p>
    <w:p>
      <w:pPr>
        <w:numPr>
          <w:ilvl w:val="0"/>
          <w:numId w:val="3"/>
        </w:numPr>
        <w:ind w:firstLine="480"/>
      </w:pPr>
      <w:r>
        <w:rPr>
          <w:rFonts w:hint="eastAsia"/>
        </w:rPr>
        <w:t>根据建设单位提供资料，织布车间产品坯布为印染原材料，厂区织布车间已于2004年停产后，印染车间原材料坯布从市场购买。</w:t>
      </w:r>
    </w:p>
    <w:p>
      <w:pPr>
        <w:numPr>
          <w:ilvl w:val="0"/>
          <w:numId w:val="3"/>
        </w:numPr>
        <w:ind w:firstLine="480"/>
        <w:rPr>
          <w:color w:val="auto"/>
        </w:rPr>
      </w:pPr>
      <w:r>
        <w:rPr>
          <w:rFonts w:hint="eastAsia"/>
          <w:color w:val="auto"/>
        </w:rPr>
        <w:t>技改后，染色废水进行综合利用，减少废水排放量，削减</w:t>
      </w:r>
      <w:r>
        <w:rPr>
          <w:color w:val="auto"/>
        </w:rPr>
        <w:t>COD</w:t>
      </w:r>
      <w:r>
        <w:rPr>
          <w:rFonts w:hint="eastAsia"/>
          <w:color w:val="auto"/>
        </w:rPr>
        <w:t>、氨氮的排放，厂区外排废水量减少了</w:t>
      </w:r>
      <w:r>
        <w:rPr>
          <w:rFonts w:hint="eastAsia"/>
          <w:color w:val="auto"/>
          <w:lang w:val="en-US" w:eastAsia="zh-CN"/>
        </w:rPr>
        <w:t>12.183</w:t>
      </w:r>
      <w:r>
        <w:rPr>
          <w:rFonts w:hint="eastAsia"/>
          <w:color w:val="auto"/>
        </w:rPr>
        <w:t>t/a，外排出厂区的COD减少了</w:t>
      </w:r>
      <w:r>
        <w:rPr>
          <w:rFonts w:hint="eastAsia"/>
          <w:color w:val="auto"/>
          <w:lang w:val="en-US" w:eastAsia="zh-CN"/>
        </w:rPr>
        <w:t>20.269</w:t>
      </w:r>
      <w:r>
        <w:rPr>
          <w:rFonts w:hint="eastAsia"/>
          <w:color w:val="auto"/>
        </w:rPr>
        <w:t>t/a、氨氮减少了</w:t>
      </w:r>
      <w:r>
        <w:rPr>
          <w:rFonts w:hint="eastAsia"/>
          <w:color w:val="auto"/>
          <w:lang w:val="en-US" w:eastAsia="zh-CN"/>
        </w:rPr>
        <w:t>1.524</w:t>
      </w:r>
      <w:r>
        <w:rPr>
          <w:rFonts w:hint="eastAsia"/>
          <w:color w:val="auto"/>
        </w:rPr>
        <w:t>t/a；外排入环境的COD减少了</w:t>
      </w:r>
      <w:r>
        <w:rPr>
          <w:rFonts w:hint="eastAsia"/>
          <w:color w:val="auto"/>
          <w:lang w:val="en-US" w:eastAsia="zh-CN"/>
        </w:rPr>
        <w:t>47.981</w:t>
      </w:r>
      <w:r>
        <w:rPr>
          <w:rFonts w:hint="eastAsia"/>
          <w:color w:val="auto"/>
        </w:rPr>
        <w:t>、氨氮减少了</w:t>
      </w:r>
      <w:r>
        <w:rPr>
          <w:rFonts w:hint="eastAsia"/>
          <w:color w:val="auto"/>
          <w:lang w:val="en-US" w:eastAsia="zh-CN"/>
        </w:rPr>
        <w:t>2.712</w:t>
      </w:r>
      <w:r>
        <w:rPr>
          <w:rFonts w:hint="eastAsia"/>
          <w:color w:val="auto"/>
        </w:rPr>
        <w:t>t/a。</w:t>
      </w:r>
    </w:p>
    <w:p>
      <w:pPr>
        <w:numPr>
          <w:ilvl w:val="0"/>
          <w:numId w:val="3"/>
        </w:numPr>
        <w:ind w:firstLine="480"/>
        <w:rPr>
          <w:color w:val="auto"/>
        </w:rPr>
      </w:pPr>
      <w:r>
        <w:rPr>
          <w:rFonts w:hint="eastAsia"/>
          <w:color w:val="auto"/>
        </w:rPr>
        <w:t>技改后，锅炉均采用成型生物质作为燃料，减少二氧化硫、氮氧化物的排放，厂区内二氧化硫排放量减少6.083t/a、氮氧化物排放量减少9.026t/a。</w:t>
      </w:r>
    </w:p>
    <w:p>
      <w:pPr>
        <w:pStyle w:val="3"/>
      </w:pPr>
      <w:bookmarkStart w:id="4" w:name="_Toc9736"/>
      <w:r>
        <w:rPr>
          <w:rFonts w:hint="eastAsia"/>
        </w:rPr>
        <w:t>重点关注问题</w:t>
      </w:r>
      <w:bookmarkEnd w:id="4"/>
      <w:bookmarkStart w:id="135" w:name="_GoBack"/>
      <w:bookmarkEnd w:id="135"/>
    </w:p>
    <w:p>
      <w:pPr>
        <w:ind w:firstLine="480"/>
      </w:pPr>
      <w:r>
        <w:rPr>
          <w:rFonts w:hint="eastAsia"/>
        </w:rPr>
        <w:t>根据项目工程特点，在评价过程中将重点关注项目“三废”源强及达标处理，特别是较高</w:t>
      </w:r>
      <w:r>
        <w:t>COD</w:t>
      </w:r>
      <w:r>
        <w:rPr>
          <w:rFonts w:hint="eastAsia"/>
        </w:rPr>
        <w:t>废水的达标处理，提出污染防治措施，同时进行总量控制和印染行业准入条件分析。</w:t>
      </w:r>
    </w:p>
    <w:p>
      <w:pPr>
        <w:pStyle w:val="3"/>
      </w:pPr>
      <w:bookmarkStart w:id="5" w:name="_Toc10333"/>
      <w:r>
        <w:rPr>
          <w:rFonts w:hint="eastAsia"/>
        </w:rPr>
        <w:t>主要结论</w:t>
      </w:r>
      <w:bookmarkEnd w:id="5"/>
    </w:p>
    <w:p>
      <w:pPr>
        <w:ind w:firstLine="480"/>
        <w:sectPr>
          <w:footerReference r:id="rId9" w:type="default"/>
          <w:pgSz w:w="11906" w:h="16838"/>
          <w:pgMar w:top="1440" w:right="1417" w:bottom="1440" w:left="1417" w:header="851" w:footer="992" w:gutter="0"/>
          <w:pgNumType w:start="1"/>
          <w:cols w:space="0" w:num="1"/>
          <w:docGrid w:type="lines" w:linePitch="332" w:charSpace="0"/>
        </w:sectPr>
      </w:pPr>
      <w:r>
        <w:rPr>
          <w:rFonts w:hint="eastAsia"/>
        </w:rPr>
        <w:t>湖南德科纺织印染有限公司技改项目在现有厂区内实施，项目建设符合土地利用规划、产业政策。项目引进先进的染整设备，购置国产先进小浴比染色机设备；经采取相应措施后，污染物可以做到达标排放，污染物排放符合总量控制要求，对周围环境的影响在可承受范围之内，建成后能维持当地环境质量现状；并且本项目有利于促进地方经济的健康持续发展。本项目符合环保审批原则。因此，从环保的角度出发，该项目的实施是可行的。</w:t>
      </w:r>
    </w:p>
    <w:p>
      <w:pPr>
        <w:pStyle w:val="2"/>
      </w:pPr>
      <w:bookmarkStart w:id="6" w:name="_Toc11807"/>
      <w:r>
        <w:rPr>
          <w:rFonts w:hint="eastAsia"/>
        </w:rPr>
        <w:t>总则</w:t>
      </w:r>
      <w:bookmarkEnd w:id="6"/>
    </w:p>
    <w:p>
      <w:pPr>
        <w:pStyle w:val="3"/>
      </w:pPr>
      <w:bookmarkStart w:id="7" w:name="_Toc17027"/>
      <w:r>
        <w:rPr>
          <w:rFonts w:hint="eastAsia"/>
        </w:rPr>
        <w:t>编制依据</w:t>
      </w:r>
      <w:bookmarkEnd w:id="7"/>
    </w:p>
    <w:p>
      <w:pPr>
        <w:pStyle w:val="4"/>
      </w:pPr>
      <w:r>
        <w:rPr>
          <w:rFonts w:hint="eastAsia"/>
        </w:rPr>
        <w:t>国家法律、法规</w:t>
      </w:r>
    </w:p>
    <w:p>
      <w:pPr>
        <w:ind w:firstLine="480"/>
      </w:pPr>
      <w:r>
        <w:t>(1)</w:t>
      </w:r>
      <w:r>
        <w:rPr>
          <w:rFonts w:hint="eastAsia"/>
        </w:rPr>
        <w:t>《中华人民共和国环境保护法》，</w:t>
      </w:r>
      <w:r>
        <w:t>2014.4.24</w:t>
      </w:r>
      <w:r>
        <w:rPr>
          <w:rFonts w:hint="eastAsia"/>
        </w:rPr>
        <w:t>修订，</w:t>
      </w:r>
      <w:r>
        <w:t>2015.1.1</w:t>
      </w:r>
      <w:r>
        <w:rPr>
          <w:rFonts w:hint="eastAsia"/>
        </w:rPr>
        <w:t>施行；</w:t>
      </w:r>
    </w:p>
    <w:p>
      <w:pPr>
        <w:ind w:firstLine="480"/>
      </w:pPr>
      <w:r>
        <w:t>(2)</w:t>
      </w:r>
      <w:r>
        <w:rPr>
          <w:rFonts w:hint="eastAsia"/>
        </w:rPr>
        <w:t>《中华人民共和国环境影响评价法》，</w:t>
      </w:r>
      <w:r>
        <w:t>2016.7.2</w:t>
      </w:r>
      <w:r>
        <w:rPr>
          <w:rFonts w:hint="eastAsia"/>
        </w:rPr>
        <w:t>修订，</w:t>
      </w:r>
      <w:r>
        <w:t>2016.9.1</w:t>
      </w:r>
      <w:r>
        <w:rPr>
          <w:rFonts w:hint="eastAsia"/>
        </w:rPr>
        <w:t>施行；</w:t>
      </w:r>
    </w:p>
    <w:p>
      <w:pPr>
        <w:ind w:firstLine="480"/>
      </w:pPr>
      <w:r>
        <w:t>(3)</w:t>
      </w:r>
      <w:r>
        <w:rPr>
          <w:rFonts w:hint="eastAsia"/>
        </w:rPr>
        <w:t>《中华人民共和国水污染防治法》，</w:t>
      </w:r>
      <w:r>
        <w:t>2008.2.28</w:t>
      </w:r>
      <w:r>
        <w:rPr>
          <w:rFonts w:hint="eastAsia"/>
        </w:rPr>
        <w:t>修订，</w:t>
      </w:r>
      <w:r>
        <w:t>2008.6.1</w:t>
      </w:r>
      <w:r>
        <w:rPr>
          <w:rFonts w:hint="eastAsia"/>
        </w:rPr>
        <w:t>施行；</w:t>
      </w:r>
    </w:p>
    <w:p>
      <w:pPr>
        <w:ind w:firstLine="480"/>
      </w:pPr>
      <w:r>
        <w:t>(4)</w:t>
      </w:r>
      <w:r>
        <w:rPr>
          <w:rFonts w:hint="eastAsia"/>
        </w:rPr>
        <w:t>《中华人民共和国大气污染防治法》，</w:t>
      </w:r>
      <w:r>
        <w:t>2015.8.29</w:t>
      </w:r>
      <w:r>
        <w:rPr>
          <w:rFonts w:hint="eastAsia"/>
        </w:rPr>
        <w:t>修订，</w:t>
      </w:r>
      <w:r>
        <w:t>2016.1.1</w:t>
      </w:r>
      <w:r>
        <w:rPr>
          <w:rFonts w:hint="eastAsia"/>
        </w:rPr>
        <w:t>施行；</w:t>
      </w:r>
    </w:p>
    <w:p>
      <w:pPr>
        <w:ind w:firstLine="480"/>
      </w:pPr>
      <w:r>
        <w:t>(5)</w:t>
      </w:r>
      <w:r>
        <w:rPr>
          <w:rFonts w:hint="eastAsia"/>
        </w:rPr>
        <w:t>《中华人民共和国环境噪声污染防治法》</w:t>
      </w:r>
      <w:r>
        <w:t>1996.10.29</w:t>
      </w:r>
      <w:r>
        <w:rPr>
          <w:rFonts w:hint="eastAsia"/>
        </w:rPr>
        <w:t>发布，</w:t>
      </w:r>
      <w:r>
        <w:t>1997.3.1</w:t>
      </w:r>
      <w:r>
        <w:rPr>
          <w:rFonts w:hint="eastAsia"/>
        </w:rPr>
        <w:t>施行；</w:t>
      </w:r>
    </w:p>
    <w:p>
      <w:pPr>
        <w:ind w:firstLine="480"/>
      </w:pPr>
      <w:r>
        <w:t>(6)</w:t>
      </w:r>
      <w:r>
        <w:rPr>
          <w:rFonts w:hint="eastAsia"/>
        </w:rPr>
        <w:t>《中华人民共和国固体废物污染环境防治法（</w:t>
      </w:r>
      <w:r>
        <w:t>2015</w:t>
      </w:r>
      <w:r>
        <w:rPr>
          <w:rFonts w:hint="eastAsia"/>
        </w:rPr>
        <w:t>年修正）》，</w:t>
      </w:r>
      <w:r>
        <w:t>2015.4.24</w:t>
      </w:r>
      <w:r>
        <w:rPr>
          <w:rFonts w:hint="eastAsia"/>
        </w:rPr>
        <w:t>发布、施行；</w:t>
      </w:r>
    </w:p>
    <w:p>
      <w:pPr>
        <w:ind w:firstLine="480"/>
      </w:pPr>
      <w:r>
        <w:t>(7)</w:t>
      </w:r>
      <w:r>
        <w:rPr>
          <w:rFonts w:hint="eastAsia"/>
        </w:rPr>
        <w:t>《中华人民共和国清洁生产促进法》，</w:t>
      </w:r>
      <w:r>
        <w:t>2012.2.29</w:t>
      </w:r>
      <w:r>
        <w:rPr>
          <w:rFonts w:hint="eastAsia"/>
        </w:rPr>
        <w:t>修订，</w:t>
      </w:r>
      <w:r>
        <w:t>2012.7.1</w:t>
      </w:r>
      <w:r>
        <w:rPr>
          <w:rFonts w:hint="eastAsia"/>
        </w:rPr>
        <w:t>施行；</w:t>
      </w:r>
    </w:p>
    <w:p>
      <w:pPr>
        <w:ind w:firstLine="480"/>
      </w:pPr>
      <w:r>
        <w:t>(8)</w:t>
      </w:r>
      <w:r>
        <w:rPr>
          <w:rFonts w:hint="eastAsia"/>
        </w:rPr>
        <w:t>《中华人民共和国水土保持法》，</w:t>
      </w:r>
      <w:r>
        <w:t>2010.12.25</w:t>
      </w:r>
      <w:r>
        <w:rPr>
          <w:rFonts w:hint="eastAsia"/>
        </w:rPr>
        <w:t>修订；</w:t>
      </w:r>
      <w:r>
        <w:t>2011.3.1</w:t>
      </w:r>
      <w:r>
        <w:rPr>
          <w:rFonts w:hint="eastAsia"/>
        </w:rPr>
        <w:t>实施；</w:t>
      </w:r>
    </w:p>
    <w:p>
      <w:pPr>
        <w:ind w:firstLine="480"/>
      </w:pPr>
      <w:r>
        <w:t>(9)</w:t>
      </w:r>
      <w:r>
        <w:rPr>
          <w:rFonts w:hint="eastAsia"/>
        </w:rPr>
        <w:t>《建设项目环境保护管理条例》，</w:t>
      </w:r>
      <w:r>
        <w:t>1998.11.29</w:t>
      </w:r>
      <w:r>
        <w:rPr>
          <w:rFonts w:hint="eastAsia"/>
        </w:rPr>
        <w:t>发布、施行；</w:t>
      </w:r>
    </w:p>
    <w:p>
      <w:pPr>
        <w:ind w:firstLine="480"/>
      </w:pPr>
      <w:r>
        <w:t>(10)</w:t>
      </w:r>
      <w:r>
        <w:rPr>
          <w:rFonts w:hint="eastAsia"/>
        </w:rPr>
        <w:t>《关于进一步加强环境影响评价管理防范环境风险的通知》，环发</w:t>
      </w:r>
      <w:r>
        <w:t>[2012]77</w:t>
      </w:r>
      <w:r>
        <w:rPr>
          <w:rFonts w:hint="eastAsia"/>
        </w:rPr>
        <w:t>号，</w:t>
      </w:r>
      <w:r>
        <w:t>2012.7.3</w:t>
      </w:r>
      <w:r>
        <w:rPr>
          <w:rFonts w:hint="eastAsia"/>
        </w:rPr>
        <w:t>；</w:t>
      </w:r>
    </w:p>
    <w:p>
      <w:pPr>
        <w:ind w:firstLine="480"/>
      </w:pPr>
      <w:r>
        <w:t>(11)</w:t>
      </w:r>
      <w:r>
        <w:rPr>
          <w:rFonts w:hint="eastAsia"/>
        </w:rPr>
        <w:t>《关于切实加强风险防范严格环境影响评价管理的通知》，环发</w:t>
      </w:r>
      <w:r>
        <w:t>[2012]98</w:t>
      </w:r>
      <w:r>
        <w:rPr>
          <w:rFonts w:hint="eastAsia"/>
        </w:rPr>
        <w:t>号；</w:t>
      </w:r>
    </w:p>
    <w:p>
      <w:pPr>
        <w:ind w:firstLine="480"/>
      </w:pPr>
      <w:r>
        <w:t>(12)</w:t>
      </w:r>
      <w:r>
        <w:rPr>
          <w:rFonts w:hint="eastAsia"/>
        </w:rPr>
        <w:t>《环境保护公众参与办法》，环境保护部令第</w:t>
      </w:r>
      <w:r>
        <w:t>35</w:t>
      </w:r>
      <w:r>
        <w:rPr>
          <w:rFonts w:hint="eastAsia"/>
        </w:rPr>
        <w:t>号，</w:t>
      </w:r>
      <w:r>
        <w:t>2015.7.13</w:t>
      </w:r>
      <w:r>
        <w:rPr>
          <w:rFonts w:hint="eastAsia"/>
        </w:rPr>
        <w:t>发布，</w:t>
      </w:r>
      <w:r>
        <w:t>2015.9.1</w:t>
      </w:r>
      <w:r>
        <w:rPr>
          <w:rFonts w:hint="eastAsia"/>
        </w:rPr>
        <w:t>施行；</w:t>
      </w:r>
      <w:r>
        <w:t>(13)</w:t>
      </w:r>
      <w:r>
        <w:rPr>
          <w:rFonts w:hint="eastAsia"/>
        </w:rPr>
        <w:t>《危险化学品安全管理条例》国务院令第</w:t>
      </w:r>
      <w:r>
        <w:t>591</w:t>
      </w:r>
      <w:r>
        <w:rPr>
          <w:rFonts w:hint="eastAsia"/>
        </w:rPr>
        <w:t>号，</w:t>
      </w:r>
      <w:r>
        <w:t>2011.2.16</w:t>
      </w:r>
      <w:r>
        <w:rPr>
          <w:rFonts w:hint="eastAsia"/>
        </w:rPr>
        <w:t>修订，</w:t>
      </w:r>
      <w:r>
        <w:t>2011.12.1</w:t>
      </w:r>
      <w:r>
        <w:rPr>
          <w:rFonts w:hint="eastAsia"/>
        </w:rPr>
        <w:t>施行；</w:t>
      </w:r>
    </w:p>
    <w:p>
      <w:pPr>
        <w:ind w:firstLine="480"/>
      </w:pPr>
      <w:r>
        <w:t>(14)</w:t>
      </w:r>
      <w:r>
        <w:rPr>
          <w:rFonts w:hint="eastAsia"/>
        </w:rPr>
        <w:t>《国家危险废物名录》，环境保护部令第</w:t>
      </w:r>
      <w:r>
        <w:t>39</w:t>
      </w:r>
      <w:r>
        <w:rPr>
          <w:rFonts w:hint="eastAsia"/>
        </w:rPr>
        <w:t>号，</w:t>
      </w:r>
      <w:r>
        <w:t>2016.8.1</w:t>
      </w:r>
      <w:r>
        <w:rPr>
          <w:rFonts w:hint="eastAsia"/>
        </w:rPr>
        <w:t>施行；</w:t>
      </w:r>
    </w:p>
    <w:p>
      <w:pPr>
        <w:ind w:firstLine="480"/>
      </w:pPr>
      <w:r>
        <w:t>(15)</w:t>
      </w:r>
      <w:r>
        <w:rPr>
          <w:rFonts w:hint="eastAsia"/>
        </w:rPr>
        <w:t>《危险废物污染防治技术政策》</w:t>
      </w:r>
      <w:r>
        <w:t>(</w:t>
      </w:r>
      <w:r>
        <w:rPr>
          <w:rFonts w:hint="eastAsia"/>
        </w:rPr>
        <w:t>环发〔</w:t>
      </w:r>
      <w:r>
        <w:t>2001</w:t>
      </w:r>
      <w:r>
        <w:rPr>
          <w:rFonts w:hint="eastAsia"/>
        </w:rPr>
        <w:t>〕</w:t>
      </w:r>
      <w:r>
        <w:t>199</w:t>
      </w:r>
      <w:r>
        <w:rPr>
          <w:rFonts w:hint="eastAsia"/>
        </w:rPr>
        <w:t>号</w:t>
      </w:r>
      <w:r>
        <w:t>)</w:t>
      </w:r>
      <w:r>
        <w:rPr>
          <w:rFonts w:hint="eastAsia"/>
        </w:rPr>
        <w:t>；</w:t>
      </w:r>
    </w:p>
    <w:p>
      <w:pPr>
        <w:ind w:firstLine="480"/>
      </w:pPr>
      <w:r>
        <w:t>(16)</w:t>
      </w:r>
      <w:r>
        <w:rPr>
          <w:rFonts w:hint="eastAsia"/>
        </w:rPr>
        <w:t>《关于开展化学品环境管理和危险废物专项执法检查的通知》环办</w:t>
      </w:r>
      <w:r>
        <w:t>[2011]115</w:t>
      </w:r>
      <w:r>
        <w:rPr>
          <w:rFonts w:hint="eastAsia"/>
        </w:rPr>
        <w:t>号，</w:t>
      </w:r>
      <w:r>
        <w:t xml:space="preserve"> 2011</w:t>
      </w:r>
      <w:r>
        <w:rPr>
          <w:rFonts w:hint="eastAsia"/>
        </w:rPr>
        <w:t>年</w:t>
      </w:r>
      <w:r>
        <w:t>09</w:t>
      </w:r>
      <w:r>
        <w:rPr>
          <w:rFonts w:hint="eastAsia"/>
        </w:rPr>
        <w:t>月</w:t>
      </w:r>
      <w:r>
        <w:t>16</w:t>
      </w:r>
      <w:r>
        <w:rPr>
          <w:rFonts w:hint="eastAsia"/>
        </w:rPr>
        <w:t>日；</w:t>
      </w:r>
    </w:p>
    <w:p>
      <w:pPr>
        <w:ind w:firstLine="480"/>
      </w:pPr>
      <w:r>
        <w:t>(17)</w:t>
      </w:r>
      <w:r>
        <w:rPr>
          <w:rFonts w:hint="eastAsia"/>
        </w:rPr>
        <w:t>《国务院关于加强环境保护重点工作的意见》国发〔</w:t>
      </w:r>
      <w:r>
        <w:t>2011</w:t>
      </w:r>
      <w:r>
        <w:rPr>
          <w:rFonts w:hint="eastAsia"/>
        </w:rPr>
        <w:t>〕</w:t>
      </w:r>
      <w:r>
        <w:t>35</w:t>
      </w:r>
      <w:r>
        <w:rPr>
          <w:rFonts w:hint="eastAsia"/>
        </w:rPr>
        <w:t>号，</w:t>
      </w:r>
      <w:r>
        <w:t>2011.10.17</w:t>
      </w:r>
      <w:r>
        <w:rPr>
          <w:rFonts w:hint="eastAsia"/>
        </w:rPr>
        <w:t>；</w:t>
      </w:r>
    </w:p>
    <w:p>
      <w:pPr>
        <w:ind w:firstLine="480"/>
      </w:pPr>
      <w:r>
        <w:t>(18)</w:t>
      </w:r>
      <w:r>
        <w:rPr>
          <w:rFonts w:hint="eastAsia"/>
        </w:rPr>
        <w:t>《关于印发《建设项目主要污染物排放总量指标审核及管理暂行办法》的通知》，环发</w:t>
      </w:r>
      <w:r>
        <w:t>[2014]197</w:t>
      </w:r>
      <w:r>
        <w:rPr>
          <w:rFonts w:hint="eastAsia"/>
        </w:rPr>
        <w:t>号；</w:t>
      </w:r>
    </w:p>
    <w:p>
      <w:pPr>
        <w:ind w:firstLine="480"/>
      </w:pPr>
      <w:r>
        <w:t>(19)</w:t>
      </w:r>
      <w:r>
        <w:rPr>
          <w:rFonts w:hint="eastAsia"/>
        </w:rPr>
        <w:t>《印染企业准入公告管理暂行办法》（工信部消费</w:t>
      </w:r>
      <w:r>
        <w:t>[2012]40</w:t>
      </w:r>
      <w:r>
        <w:rPr>
          <w:rFonts w:hint="eastAsia"/>
        </w:rPr>
        <w:t>号）；</w:t>
      </w:r>
    </w:p>
    <w:p>
      <w:pPr>
        <w:ind w:firstLine="480"/>
      </w:pPr>
      <w:r>
        <w:t>(20)</w:t>
      </w:r>
      <w:r>
        <w:rPr>
          <w:rFonts w:hint="eastAsia"/>
        </w:rPr>
        <w:t>《国务院关于印发水污染防治行动计划的通知》国发[2015]17号，2015.04.16；</w:t>
      </w:r>
    </w:p>
    <w:p>
      <w:pPr>
        <w:ind w:firstLine="480"/>
      </w:pPr>
      <w:r>
        <w:t>(21)</w:t>
      </w:r>
      <w:r>
        <w:rPr>
          <w:rFonts w:hint="eastAsia"/>
        </w:rPr>
        <w:t>《国务院关于印发大气污染防治行动计划的通知》国发〔</w:t>
      </w:r>
      <w:r>
        <w:t>2013</w:t>
      </w:r>
      <w:r>
        <w:rPr>
          <w:rFonts w:hint="eastAsia"/>
        </w:rPr>
        <w:t>〕</w:t>
      </w:r>
      <w:r>
        <w:t>37</w:t>
      </w:r>
      <w:r>
        <w:rPr>
          <w:rFonts w:hint="eastAsia"/>
        </w:rPr>
        <w:t>号，</w:t>
      </w:r>
      <w:r>
        <w:t>2013.9.10</w:t>
      </w:r>
      <w:r>
        <w:rPr>
          <w:rFonts w:hint="eastAsia"/>
        </w:rPr>
        <w:t>；</w:t>
      </w:r>
    </w:p>
    <w:p>
      <w:pPr>
        <w:ind w:firstLine="480"/>
      </w:pPr>
      <w:r>
        <w:t>(22)</w:t>
      </w:r>
      <w:r>
        <w:rPr>
          <w:rFonts w:hint="eastAsia"/>
        </w:rPr>
        <w:t>《关于切实加强环境影响评价监督管理工作的通知》环办</w:t>
      </w:r>
      <w:r>
        <w:t xml:space="preserve"> [2013]104</w:t>
      </w:r>
      <w:r>
        <w:rPr>
          <w:rFonts w:hint="eastAsia"/>
        </w:rPr>
        <w:t>号，</w:t>
      </w:r>
      <w:r>
        <w:t>2013.11.15</w:t>
      </w:r>
      <w:r>
        <w:rPr>
          <w:rFonts w:hint="eastAsia"/>
        </w:rPr>
        <w:t>；</w:t>
      </w:r>
    </w:p>
    <w:p>
      <w:pPr>
        <w:ind w:firstLine="480"/>
      </w:pPr>
      <w:r>
        <w:t>(23)</w:t>
      </w:r>
      <w:r>
        <w:rPr>
          <w:rFonts w:hint="eastAsia"/>
        </w:rPr>
        <w:t>《关于落实大气污染防治行动计划严格环境影响评价准入的通知》环办</w:t>
      </w:r>
      <w:r>
        <w:t xml:space="preserve"> [2014]30</w:t>
      </w:r>
      <w:r>
        <w:rPr>
          <w:rFonts w:hint="eastAsia"/>
        </w:rPr>
        <w:t>号，</w:t>
      </w:r>
      <w:r>
        <w:t>2014.3.25</w:t>
      </w:r>
      <w:r>
        <w:rPr>
          <w:rFonts w:hint="eastAsia"/>
        </w:rPr>
        <w:t>；</w:t>
      </w:r>
    </w:p>
    <w:p>
      <w:pPr>
        <w:ind w:firstLine="480"/>
      </w:pPr>
      <w:r>
        <w:t>(24)</w:t>
      </w:r>
      <w:r>
        <w:rPr>
          <w:rFonts w:hint="eastAsia"/>
        </w:rPr>
        <w:t>《企业事业单位突发环境事件应急预案备案管理办法（试行）》，环发</w:t>
      </w:r>
      <w:r>
        <w:t>[2015]4</w:t>
      </w:r>
      <w:r>
        <w:rPr>
          <w:rFonts w:hint="eastAsia"/>
        </w:rPr>
        <w:t>号；</w:t>
      </w:r>
    </w:p>
    <w:p>
      <w:pPr>
        <w:ind w:firstLine="480"/>
      </w:pPr>
      <w:r>
        <w:t>(25)</w:t>
      </w:r>
      <w:r>
        <w:rPr>
          <w:rFonts w:hint="eastAsia"/>
        </w:rPr>
        <w:t>《关于用于原始用途的含有或直接沾染危险废物的包装物、容器是否属于危险废物问题的复函》环函</w:t>
      </w:r>
      <w:r>
        <w:t>[2014]126</w:t>
      </w:r>
      <w:r>
        <w:rPr>
          <w:rFonts w:hint="eastAsia"/>
        </w:rPr>
        <w:t>号，</w:t>
      </w:r>
      <w:r>
        <w:t>2014.7.4</w:t>
      </w:r>
      <w:r>
        <w:rPr>
          <w:rFonts w:hint="eastAsia"/>
        </w:rPr>
        <w:t>；</w:t>
      </w:r>
    </w:p>
    <w:p>
      <w:pPr>
        <w:ind w:firstLine="480"/>
      </w:pPr>
      <w:r>
        <w:t>(26)</w:t>
      </w:r>
      <w:r>
        <w:rPr>
          <w:rFonts w:hint="eastAsia"/>
        </w:rPr>
        <w:t>《国务院关于印发水污染防治行动计划的通知》国发〔</w:t>
      </w:r>
      <w:r>
        <w:t>2015</w:t>
      </w:r>
      <w:r>
        <w:rPr>
          <w:rFonts w:hint="eastAsia"/>
        </w:rPr>
        <w:t>〕</w:t>
      </w:r>
      <w:r>
        <w:t>17</w:t>
      </w:r>
      <w:r>
        <w:rPr>
          <w:rFonts w:hint="eastAsia"/>
        </w:rPr>
        <w:t>号，</w:t>
      </w:r>
      <w:r>
        <w:t>2015.4.2</w:t>
      </w:r>
      <w:r>
        <w:rPr>
          <w:rFonts w:hint="eastAsia"/>
        </w:rPr>
        <w:t>。</w:t>
      </w:r>
    </w:p>
    <w:p>
      <w:pPr>
        <w:pStyle w:val="4"/>
      </w:pPr>
      <w:r>
        <w:rPr>
          <w:rFonts w:hint="eastAsia"/>
        </w:rPr>
        <w:t>地方法规</w:t>
      </w:r>
    </w:p>
    <w:p>
      <w:pPr>
        <w:ind w:firstLine="480"/>
      </w:pPr>
      <w:r>
        <w:rPr>
          <w:rFonts w:hint="eastAsia"/>
        </w:rPr>
        <w:t>（</w:t>
      </w:r>
      <w:r>
        <w:t>1</w:t>
      </w:r>
      <w:r>
        <w:rPr>
          <w:rFonts w:hint="eastAsia"/>
        </w:rPr>
        <w:t>）《湖南省建设项目环境保护管理办法》（</w:t>
      </w:r>
      <w:r>
        <w:t>2007</w:t>
      </w:r>
      <w:r>
        <w:rPr>
          <w:rFonts w:hint="eastAsia"/>
        </w:rPr>
        <w:t>年</w:t>
      </w:r>
      <w:r>
        <w:t>10</w:t>
      </w:r>
      <w:r>
        <w:rPr>
          <w:rFonts w:hint="eastAsia"/>
        </w:rPr>
        <w:t>月</w:t>
      </w:r>
      <w:r>
        <w:t>1</w:t>
      </w:r>
      <w:r>
        <w:rPr>
          <w:rFonts w:hint="eastAsia"/>
        </w:rPr>
        <w:t>日施行）；</w:t>
      </w:r>
    </w:p>
    <w:p>
      <w:pPr>
        <w:ind w:firstLine="480"/>
      </w:pPr>
      <w:r>
        <w:rPr>
          <w:rFonts w:hint="eastAsia"/>
        </w:rPr>
        <w:t>（</w:t>
      </w:r>
      <w:r>
        <w:t>2</w:t>
      </w:r>
      <w:r>
        <w:rPr>
          <w:rFonts w:hint="eastAsia"/>
        </w:rPr>
        <w:t>）《湖南省人民政府关于印发《湖南省贯彻落实&lt;水污染防治行动计划&gt;实施方案（2016-2020年）》的通知》湘政发（2015）53号，2015.12.31；</w:t>
      </w:r>
    </w:p>
    <w:p>
      <w:pPr>
        <w:ind w:firstLine="480"/>
      </w:pPr>
      <w:r>
        <w:rPr>
          <w:rFonts w:hint="eastAsia"/>
        </w:rPr>
        <w:t>（</w:t>
      </w:r>
      <w:r>
        <w:t>3</w:t>
      </w:r>
      <w:r>
        <w:rPr>
          <w:rFonts w:hint="eastAsia"/>
        </w:rPr>
        <w:t>）《湖南省主要水系地表水环境功能区划》</w:t>
      </w:r>
      <w:r>
        <w:t>DB43/023-2005</w:t>
      </w:r>
      <w:r>
        <w:rPr>
          <w:rFonts w:hint="eastAsia"/>
        </w:rPr>
        <w:t>；</w:t>
      </w:r>
    </w:p>
    <w:p>
      <w:pPr>
        <w:ind w:firstLine="480"/>
      </w:pPr>
      <w:r>
        <w:rPr>
          <w:rFonts w:hint="eastAsia"/>
        </w:rPr>
        <w:t>（</w:t>
      </w:r>
      <w:r>
        <w:t>4</w:t>
      </w:r>
      <w:r>
        <w:rPr>
          <w:rFonts w:hint="eastAsia"/>
        </w:rPr>
        <w:t>）《湖南省环境保护条例（第三次修正）》，</w:t>
      </w:r>
      <w:r>
        <w:t>2013</w:t>
      </w:r>
      <w:r>
        <w:rPr>
          <w:rFonts w:hint="eastAsia"/>
        </w:rPr>
        <w:t>年</w:t>
      </w:r>
      <w:r>
        <w:t>5</w:t>
      </w:r>
      <w:r>
        <w:rPr>
          <w:rFonts w:hint="eastAsia"/>
        </w:rPr>
        <w:t>月</w:t>
      </w:r>
      <w:r>
        <w:t>27</w:t>
      </w:r>
      <w:r>
        <w:rPr>
          <w:rFonts w:hint="eastAsia"/>
        </w:rPr>
        <w:t>日修正；</w:t>
      </w:r>
    </w:p>
    <w:p>
      <w:pPr>
        <w:ind w:firstLine="480"/>
      </w:pPr>
      <w:r>
        <w:rPr>
          <w:rFonts w:hint="eastAsia"/>
        </w:rPr>
        <w:t>（</w:t>
      </w:r>
      <w:r>
        <w:t>5</w:t>
      </w:r>
      <w:r>
        <w:rPr>
          <w:rFonts w:hint="eastAsia"/>
        </w:rPr>
        <w:t>）《湖南省落实</w:t>
      </w:r>
      <w:r>
        <w:t>&lt;</w:t>
      </w:r>
      <w:r>
        <w:rPr>
          <w:rFonts w:hint="eastAsia"/>
        </w:rPr>
        <w:t>大气污染防治行动计划</w:t>
      </w:r>
      <w:r>
        <w:t>&gt;</w:t>
      </w:r>
      <w:r>
        <w:rPr>
          <w:rFonts w:hint="eastAsia"/>
        </w:rPr>
        <w:t>实施细则》（</w:t>
      </w:r>
      <w:r>
        <w:t>2013</w:t>
      </w:r>
      <w:r>
        <w:rPr>
          <w:rFonts w:hint="eastAsia"/>
        </w:rPr>
        <w:t>年</w:t>
      </w:r>
      <w:r>
        <w:t>12</w:t>
      </w:r>
      <w:r>
        <w:rPr>
          <w:rFonts w:hint="eastAsia"/>
        </w:rPr>
        <w:t>月</w:t>
      </w:r>
      <w:r>
        <w:t>23</w:t>
      </w:r>
      <w:r>
        <w:rPr>
          <w:rFonts w:hint="eastAsia"/>
        </w:rPr>
        <w:t>日）；</w:t>
      </w:r>
      <w:bookmarkStart w:id="8" w:name="_Toc389830896"/>
    </w:p>
    <w:p>
      <w:pPr>
        <w:ind w:firstLine="480"/>
      </w:pPr>
      <w:r>
        <w:rPr>
          <w:rFonts w:hint="eastAsia"/>
        </w:rPr>
        <w:t>（</w:t>
      </w:r>
      <w:r>
        <w:t>6</w:t>
      </w:r>
      <w:r>
        <w:rPr>
          <w:rFonts w:hint="eastAsia"/>
        </w:rPr>
        <w:t>）《湖南省人民政府办公厅关于发布</w:t>
      </w:r>
      <w:r>
        <w:t>&lt;</w:t>
      </w:r>
      <w:r>
        <w:rPr>
          <w:rFonts w:hint="eastAsia"/>
        </w:rPr>
        <w:t>湖南省征地年产值标准</w:t>
      </w:r>
      <w:r>
        <w:t>&gt;</w:t>
      </w:r>
      <w:r>
        <w:rPr>
          <w:rFonts w:hint="eastAsia"/>
        </w:rPr>
        <w:t>的通知》</w:t>
      </w:r>
      <w:r>
        <w:t>,</w:t>
      </w:r>
      <w:r>
        <w:rPr>
          <w:rFonts w:hint="eastAsia"/>
        </w:rPr>
        <w:t>湘政办发</w:t>
      </w:r>
      <w:bookmarkEnd w:id="8"/>
      <w:bookmarkStart w:id="9" w:name="_Toc389830897"/>
      <w:r>
        <w:t xml:space="preserve">[2005]47 </w:t>
      </w:r>
      <w:r>
        <w:rPr>
          <w:rFonts w:hint="eastAsia"/>
        </w:rPr>
        <w:t>号；</w:t>
      </w:r>
      <w:bookmarkEnd w:id="9"/>
      <w:bookmarkStart w:id="10" w:name="_Toc389830898"/>
    </w:p>
    <w:p>
      <w:pPr>
        <w:ind w:firstLine="480"/>
      </w:pPr>
      <w:r>
        <w:rPr>
          <w:rFonts w:hint="eastAsia"/>
        </w:rPr>
        <w:t>（</w:t>
      </w:r>
      <w:r>
        <w:t>7</w:t>
      </w:r>
      <w:r>
        <w:rPr>
          <w:rFonts w:hint="eastAsia"/>
        </w:rPr>
        <w:t>）《湖南省实施〈中华人民共和国土地管理法〉办法》（修正），</w:t>
      </w:r>
      <w:bookmarkEnd w:id="10"/>
      <w:bookmarkStart w:id="11" w:name="_Toc389830899"/>
      <w:r>
        <w:t>1997.6.4</w:t>
      </w:r>
      <w:r>
        <w:rPr>
          <w:rFonts w:hint="eastAsia"/>
        </w:rPr>
        <w:t>；</w:t>
      </w:r>
      <w:bookmarkEnd w:id="11"/>
    </w:p>
    <w:p>
      <w:pPr>
        <w:ind w:firstLine="480"/>
      </w:pPr>
      <w:r>
        <w:rPr>
          <w:rFonts w:hint="eastAsia"/>
        </w:rPr>
        <w:t>（</w:t>
      </w:r>
      <w:r>
        <w:t>8</w:t>
      </w:r>
      <w:r>
        <w:rPr>
          <w:rFonts w:hint="eastAsia"/>
        </w:rPr>
        <w:t>）《岳阳市贯彻落实</w:t>
      </w:r>
      <w:r>
        <w:t>&lt;</w:t>
      </w:r>
      <w:r>
        <w:rPr>
          <w:rFonts w:hint="eastAsia"/>
        </w:rPr>
        <w:t>大气污染防治行动计划</w:t>
      </w:r>
      <w:r>
        <w:t>&gt;</w:t>
      </w:r>
      <w:r>
        <w:rPr>
          <w:rFonts w:hint="eastAsia"/>
        </w:rPr>
        <w:t>实施方案》的通知（岳政办发〔</w:t>
      </w:r>
      <w:r>
        <w:t>2014</w:t>
      </w:r>
      <w:r>
        <w:rPr>
          <w:rFonts w:hint="eastAsia"/>
        </w:rPr>
        <w:t>〕</w:t>
      </w:r>
      <w:r>
        <w:t>17</w:t>
      </w:r>
      <w:r>
        <w:rPr>
          <w:rFonts w:hint="eastAsia"/>
        </w:rPr>
        <w:t>号）；</w:t>
      </w:r>
    </w:p>
    <w:p>
      <w:pPr>
        <w:ind w:firstLine="480"/>
      </w:pPr>
      <w:r>
        <w:rPr>
          <w:rFonts w:hint="eastAsia"/>
        </w:rPr>
        <w:t>（</w:t>
      </w:r>
      <w:r>
        <w:t>9</w:t>
      </w:r>
      <w:r>
        <w:rPr>
          <w:rFonts w:hint="eastAsia"/>
        </w:rPr>
        <w:t>）《岳阳市城市总体规划（</w:t>
      </w:r>
      <w:r>
        <w:t>2008-2030</w:t>
      </w:r>
      <w:r>
        <w:rPr>
          <w:rFonts w:hint="eastAsia"/>
        </w:rPr>
        <w:t>）》；</w:t>
      </w:r>
    </w:p>
    <w:p>
      <w:pPr>
        <w:pStyle w:val="4"/>
      </w:pPr>
      <w:r>
        <w:rPr>
          <w:rFonts w:hint="eastAsia"/>
        </w:rPr>
        <w:t>技术规范</w:t>
      </w:r>
    </w:p>
    <w:p>
      <w:pPr>
        <w:ind w:firstLine="480"/>
      </w:pPr>
      <w:r>
        <w:t>(1)</w:t>
      </w:r>
      <w:r>
        <w:rPr>
          <w:rFonts w:hint="eastAsia"/>
        </w:rPr>
        <w:t>《建设项目环境影响评价技术导则</w:t>
      </w:r>
      <w:r>
        <w:t>—</w:t>
      </w:r>
      <w:r>
        <w:rPr>
          <w:rFonts w:hint="eastAsia"/>
        </w:rPr>
        <w:t>总纲》</w:t>
      </w:r>
      <w:r>
        <w:t>(HJ2.1-2016)</w:t>
      </w:r>
      <w:r>
        <w:rPr>
          <w:rFonts w:hint="eastAsia"/>
        </w:rPr>
        <w:t>，环境保护部；</w:t>
      </w:r>
    </w:p>
    <w:p>
      <w:pPr>
        <w:ind w:firstLine="480"/>
      </w:pPr>
      <w:r>
        <w:t>(2)</w:t>
      </w:r>
      <w:r>
        <w:rPr>
          <w:rFonts w:hint="eastAsia"/>
        </w:rPr>
        <w:t>《环境影响评价技术导则</w:t>
      </w:r>
      <w:r>
        <w:t>—</w:t>
      </w:r>
      <w:r>
        <w:rPr>
          <w:rFonts w:hint="eastAsia"/>
        </w:rPr>
        <w:t>大气环境》</w:t>
      </w:r>
      <w:r>
        <w:t>(HJ2.2-2008)</w:t>
      </w:r>
      <w:r>
        <w:rPr>
          <w:rFonts w:hint="eastAsia"/>
        </w:rPr>
        <w:t>，环境保护部；</w:t>
      </w:r>
    </w:p>
    <w:p>
      <w:pPr>
        <w:ind w:firstLine="480"/>
      </w:pPr>
      <w:r>
        <w:t>(3)</w:t>
      </w:r>
      <w:r>
        <w:rPr>
          <w:rFonts w:hint="eastAsia"/>
        </w:rPr>
        <w:t>《环境影响评价技术导则</w:t>
      </w:r>
      <w:r>
        <w:t>—</w:t>
      </w:r>
      <w:r>
        <w:rPr>
          <w:rFonts w:hint="eastAsia"/>
        </w:rPr>
        <w:t>地面水环境》</w:t>
      </w:r>
      <w:r>
        <w:t>(HJ/T 2.3-93)</w:t>
      </w:r>
      <w:r>
        <w:rPr>
          <w:rFonts w:hint="eastAsia"/>
        </w:rPr>
        <w:t>，原国家环保总局；</w:t>
      </w:r>
    </w:p>
    <w:p>
      <w:pPr>
        <w:ind w:firstLine="480"/>
      </w:pPr>
      <w:r>
        <w:t>(4)</w:t>
      </w:r>
      <w:r>
        <w:rPr>
          <w:rFonts w:hint="eastAsia"/>
        </w:rPr>
        <w:t>《环境影响评价技术导则</w:t>
      </w:r>
      <w:r>
        <w:t>—</w:t>
      </w:r>
      <w:r>
        <w:rPr>
          <w:rFonts w:hint="eastAsia"/>
        </w:rPr>
        <w:t>声环境》</w:t>
      </w:r>
      <w:r>
        <w:t>(HJ 2.4-2009)</w:t>
      </w:r>
      <w:r>
        <w:rPr>
          <w:rFonts w:hint="eastAsia"/>
        </w:rPr>
        <w:t>，环境保护部；</w:t>
      </w:r>
    </w:p>
    <w:p>
      <w:pPr>
        <w:ind w:firstLine="480"/>
      </w:pPr>
      <w:r>
        <w:t>(5)</w:t>
      </w:r>
      <w:r>
        <w:rPr>
          <w:rFonts w:hint="eastAsia"/>
        </w:rPr>
        <w:t>《环境影响评价技术导则</w:t>
      </w:r>
      <w:r>
        <w:t>—</w:t>
      </w:r>
      <w:r>
        <w:rPr>
          <w:rFonts w:hint="eastAsia"/>
        </w:rPr>
        <w:t>生态影响》</w:t>
      </w:r>
      <w:r>
        <w:t>(HJ19-2011)</w:t>
      </w:r>
      <w:r>
        <w:rPr>
          <w:rFonts w:hint="eastAsia"/>
        </w:rPr>
        <w:t>，环境保护部；</w:t>
      </w:r>
    </w:p>
    <w:p>
      <w:pPr>
        <w:ind w:firstLine="480"/>
      </w:pPr>
      <w:r>
        <w:t>(6)</w:t>
      </w:r>
      <w:r>
        <w:rPr>
          <w:rFonts w:hint="eastAsia"/>
        </w:rPr>
        <w:t>《建设项目环境风险评价技术导则》</w:t>
      </w:r>
      <w:r>
        <w:t>(HJ/T169-2004)</w:t>
      </w:r>
      <w:r>
        <w:rPr>
          <w:rFonts w:hint="eastAsia"/>
        </w:rPr>
        <w:t>，原国家环保总局；</w:t>
      </w:r>
    </w:p>
    <w:p>
      <w:pPr>
        <w:ind w:firstLine="480"/>
      </w:pPr>
      <w:r>
        <w:t>(7)</w:t>
      </w:r>
      <w:r>
        <w:rPr>
          <w:rFonts w:hint="eastAsia"/>
        </w:rPr>
        <w:t>《环境影响评价技术导则</w:t>
      </w:r>
      <w:r>
        <w:t>—</w:t>
      </w:r>
      <w:r>
        <w:rPr>
          <w:rFonts w:hint="eastAsia"/>
        </w:rPr>
        <w:t>地下水环境》</w:t>
      </w:r>
      <w:r>
        <w:t>(HJ610-2016)</w:t>
      </w:r>
      <w:r>
        <w:rPr>
          <w:rFonts w:hint="eastAsia"/>
        </w:rPr>
        <w:t>，环境保护部；</w:t>
      </w:r>
    </w:p>
    <w:p>
      <w:pPr>
        <w:ind w:firstLine="480"/>
      </w:pPr>
      <w:r>
        <w:t>(8)</w:t>
      </w:r>
      <w:r>
        <w:rPr>
          <w:rFonts w:hint="eastAsia"/>
        </w:rPr>
        <w:t>《固体废物鉴别导则</w:t>
      </w:r>
      <w:r>
        <w:t>(</w:t>
      </w:r>
      <w:r>
        <w:rPr>
          <w:rFonts w:hint="eastAsia"/>
        </w:rPr>
        <w:t>试行</w:t>
      </w:r>
      <w:r>
        <w:t>)</w:t>
      </w:r>
      <w:r>
        <w:rPr>
          <w:rFonts w:hint="eastAsia"/>
        </w:rPr>
        <w:t>》，</w:t>
      </w:r>
      <w:r>
        <w:t>2006.4.1</w:t>
      </w:r>
      <w:r>
        <w:rPr>
          <w:rFonts w:hint="eastAsia"/>
        </w:rPr>
        <w:t>；</w:t>
      </w:r>
    </w:p>
    <w:p>
      <w:pPr>
        <w:ind w:firstLine="480"/>
      </w:pPr>
      <w:r>
        <w:t>(9)</w:t>
      </w:r>
      <w:r>
        <w:rPr>
          <w:rFonts w:hint="eastAsia"/>
        </w:rPr>
        <w:t>《纺织染整工业废水治理工程技术规范》，（</w:t>
      </w:r>
      <w:r>
        <w:t>HJ471-2009</w:t>
      </w:r>
      <w:r>
        <w:rPr>
          <w:rFonts w:hint="eastAsia"/>
        </w:rPr>
        <w:t>）；</w:t>
      </w:r>
    </w:p>
    <w:p>
      <w:pPr>
        <w:ind w:firstLine="480"/>
      </w:pPr>
      <w:r>
        <w:t>(10)</w:t>
      </w:r>
      <w:r>
        <w:rPr>
          <w:rFonts w:hint="eastAsia"/>
        </w:rPr>
        <w:t>《纺织工业企业环境保护设计规范》，</w:t>
      </w:r>
      <w:r>
        <w:t>(GB50425-2008)</w:t>
      </w:r>
      <w:r>
        <w:rPr>
          <w:rFonts w:hint="eastAsia"/>
        </w:rPr>
        <w:t>；</w:t>
      </w:r>
    </w:p>
    <w:p>
      <w:pPr>
        <w:ind w:firstLine="480"/>
      </w:pPr>
      <w:r>
        <w:t>(11)</w:t>
      </w:r>
      <w:r>
        <w:rPr>
          <w:rFonts w:hint="eastAsia"/>
        </w:rPr>
        <w:t>《危险废物收集贮存运输技术规范》</w:t>
      </w:r>
      <w:r>
        <w:t xml:space="preserve">(HJ2025-2012) </w:t>
      </w:r>
      <w:r>
        <w:rPr>
          <w:rFonts w:hint="eastAsia"/>
        </w:rPr>
        <w:t>，环境保护部；</w:t>
      </w:r>
    </w:p>
    <w:p>
      <w:pPr>
        <w:ind w:firstLine="480"/>
      </w:pPr>
      <w:r>
        <w:t>(12)</w:t>
      </w:r>
      <w:r>
        <w:rPr>
          <w:rFonts w:hint="eastAsia"/>
        </w:rPr>
        <w:t>《危险化学品重大危险源辨识》，</w:t>
      </w:r>
      <w:r>
        <w:t>(GB18218-2014)</w:t>
      </w:r>
      <w:r>
        <w:rPr>
          <w:rFonts w:hint="eastAsia"/>
        </w:rPr>
        <w:t>；</w:t>
      </w:r>
    </w:p>
    <w:p>
      <w:pPr>
        <w:ind w:firstLine="480"/>
      </w:pPr>
      <w:r>
        <w:t>(13)</w:t>
      </w:r>
      <w:r>
        <w:rPr>
          <w:rFonts w:hint="eastAsia"/>
        </w:rPr>
        <w:t>《危险废物鉴别标准》，</w:t>
      </w:r>
      <w:r>
        <w:t>GB5085.1</w:t>
      </w:r>
      <w:r>
        <w:rPr>
          <w:rFonts w:hint="eastAsia"/>
        </w:rPr>
        <w:t>～</w:t>
      </w:r>
      <w:r>
        <w:t>5085.7-2007</w:t>
      </w:r>
      <w:r>
        <w:rPr>
          <w:rFonts w:hint="eastAsia"/>
        </w:rPr>
        <w:t>；</w:t>
      </w:r>
    </w:p>
    <w:p>
      <w:pPr>
        <w:ind w:firstLine="480"/>
      </w:pPr>
      <w:r>
        <w:t>(14)</w:t>
      </w:r>
      <w:r>
        <w:rPr>
          <w:rFonts w:hint="eastAsia"/>
        </w:rPr>
        <w:t>《清洁生产标准纺织业（棉印染）》，</w:t>
      </w:r>
      <w:r>
        <w:t>(HJ/T185-2006)</w:t>
      </w:r>
      <w:r>
        <w:rPr>
          <w:rFonts w:hint="eastAsia"/>
        </w:rPr>
        <w:t>；</w:t>
      </w:r>
    </w:p>
    <w:p>
      <w:pPr>
        <w:ind w:firstLine="480"/>
      </w:pPr>
      <w:r>
        <w:t>(15)</w:t>
      </w:r>
      <w:r>
        <w:rPr>
          <w:rFonts w:hint="eastAsia"/>
        </w:rPr>
        <w:t>《印染行业清洁生产评价指标体系（试行）》（国家发改委），</w:t>
      </w:r>
      <w:r>
        <w:t>2006.12.1</w:t>
      </w:r>
      <w:r>
        <w:rPr>
          <w:rFonts w:hint="eastAsia"/>
        </w:rPr>
        <w:t>；</w:t>
      </w:r>
    </w:p>
    <w:p>
      <w:pPr>
        <w:ind w:firstLine="480"/>
      </w:pPr>
      <w:r>
        <w:t>(1</w:t>
      </w:r>
      <w:r>
        <w:rPr>
          <w:rFonts w:hint="eastAsia"/>
        </w:rPr>
        <w:t>6</w:t>
      </w:r>
      <w:r>
        <w:t>)</w:t>
      </w:r>
      <w:r>
        <w:rPr>
          <w:rFonts w:hint="eastAsia"/>
        </w:rPr>
        <w:t>《建设项目环境影响评价分类管理名录》，</w:t>
      </w:r>
      <w:r>
        <w:t>2015.6.1</w:t>
      </w:r>
      <w:r>
        <w:rPr>
          <w:rFonts w:hint="eastAsia"/>
        </w:rPr>
        <w:t>；</w:t>
      </w:r>
    </w:p>
    <w:p>
      <w:pPr>
        <w:ind w:firstLine="480"/>
      </w:pPr>
      <w:r>
        <w:t>(1</w:t>
      </w:r>
      <w:r>
        <w:rPr>
          <w:rFonts w:hint="eastAsia"/>
        </w:rPr>
        <w:t>7</w:t>
      </w:r>
      <w:r>
        <w:t>)</w:t>
      </w:r>
      <w:r>
        <w:rPr>
          <w:rFonts w:hint="eastAsia"/>
        </w:rPr>
        <w:t>《大气污染治理工程技术导则》（</w:t>
      </w:r>
      <w:r>
        <w:t>HJ2000-2010</w:t>
      </w:r>
      <w:r>
        <w:rPr>
          <w:rFonts w:hint="eastAsia"/>
        </w:rPr>
        <w:t>）。</w:t>
      </w:r>
    </w:p>
    <w:p>
      <w:pPr>
        <w:pStyle w:val="4"/>
      </w:pPr>
      <w:r>
        <w:rPr>
          <w:rFonts w:hint="eastAsia"/>
        </w:rPr>
        <w:t>相关技术文件、资料</w:t>
      </w:r>
    </w:p>
    <w:p>
      <w:pPr>
        <w:numPr>
          <w:ilvl w:val="0"/>
          <w:numId w:val="4"/>
        </w:numPr>
        <w:ind w:firstLine="480"/>
      </w:pPr>
      <w:r>
        <w:rPr>
          <w:rFonts w:hint="eastAsia"/>
        </w:rPr>
        <w:t>环评委托书；</w:t>
      </w:r>
    </w:p>
    <w:p>
      <w:pPr>
        <w:numPr>
          <w:ilvl w:val="0"/>
          <w:numId w:val="4"/>
        </w:numPr>
        <w:ind w:firstLine="480"/>
      </w:pPr>
      <w:r>
        <w:rPr>
          <w:rFonts w:hint="eastAsia"/>
        </w:rPr>
        <w:t>《湖南德科纺织印染有限公司建设项目环境影响登记表》</w:t>
      </w:r>
      <w:r>
        <w:t>2003.9.2</w:t>
      </w:r>
      <w:r>
        <w:rPr>
          <w:rFonts w:hint="eastAsia"/>
        </w:rPr>
        <w:t>；</w:t>
      </w:r>
    </w:p>
    <w:p>
      <w:pPr>
        <w:numPr>
          <w:ilvl w:val="0"/>
          <w:numId w:val="4"/>
        </w:numPr>
        <w:ind w:firstLine="480"/>
      </w:pPr>
      <w:r>
        <w:rPr>
          <w:rFonts w:hint="eastAsia"/>
        </w:rPr>
        <w:t>建设单位提供的其他相关资料。</w:t>
      </w:r>
    </w:p>
    <w:p>
      <w:pPr>
        <w:pStyle w:val="3"/>
      </w:pPr>
      <w:bookmarkStart w:id="12" w:name="_Toc28812"/>
      <w:r>
        <w:rPr>
          <w:rFonts w:hint="eastAsia"/>
        </w:rPr>
        <w:t>评价目的与原则</w:t>
      </w:r>
      <w:bookmarkEnd w:id="12"/>
    </w:p>
    <w:p>
      <w:pPr>
        <w:ind w:firstLine="480"/>
      </w:pPr>
      <w:r>
        <w:rPr>
          <w:rFonts w:hint="eastAsia"/>
        </w:rPr>
        <w:t>（</w:t>
      </w:r>
      <w:r>
        <w:t>1</w:t>
      </w:r>
      <w:r>
        <w:rPr>
          <w:rFonts w:hint="eastAsia"/>
        </w:rPr>
        <w:t>）评价目的</w:t>
      </w:r>
    </w:p>
    <w:p>
      <w:pPr>
        <w:ind w:firstLine="480"/>
      </w:pPr>
      <w:r>
        <w:rPr>
          <w:rFonts w:hint="eastAsia"/>
        </w:rPr>
        <w:t>①论证建设项目是否符合印染行业准入条件要求；</w:t>
      </w:r>
    </w:p>
    <w:p>
      <w:pPr>
        <w:ind w:firstLine="480"/>
      </w:pPr>
      <w:r>
        <w:rPr>
          <w:rFonts w:hint="eastAsia"/>
        </w:rPr>
        <w:t>②通过对该项目所在地及周围环境的现场调查，以了解该项目周围社会经济、环境情况，通过对该项目周围水、大气、噪声环境现状监测及评价，以了解项目周围环境质量现状；</w:t>
      </w:r>
    </w:p>
    <w:p>
      <w:pPr>
        <w:ind w:firstLine="480"/>
      </w:pPr>
      <w:r>
        <w:rPr>
          <w:rFonts w:hint="eastAsia"/>
        </w:rPr>
        <w:t>③通过对企业现有生产线的污染源实测，分析项目污染物产生及排放情况，确定项目污染源强；</w:t>
      </w:r>
    </w:p>
    <w:p>
      <w:pPr>
        <w:ind w:firstLine="480"/>
      </w:pPr>
      <w:r>
        <w:rPr>
          <w:rFonts w:hint="eastAsia"/>
        </w:rPr>
        <w:t>④根据项目实施后企业污染物产生及排放情况，预测项目实施后对周围环境的影响情况，核实项目污染物排放是否符合总量控制及达标排放，提出合理的防治措施和清洁生产措施。</w:t>
      </w:r>
    </w:p>
    <w:p>
      <w:pPr>
        <w:ind w:firstLine="480"/>
      </w:pPr>
      <w:r>
        <w:rPr>
          <w:rFonts w:hint="eastAsia"/>
        </w:rPr>
        <w:t>⑤评估项目在环境保护方面的可行性，为工程决策与环境管理提供依据。</w:t>
      </w:r>
    </w:p>
    <w:p>
      <w:pPr>
        <w:ind w:firstLine="480"/>
      </w:pPr>
      <w:r>
        <w:t>(2)</w:t>
      </w:r>
      <w:r>
        <w:rPr>
          <w:rFonts w:hint="eastAsia"/>
        </w:rPr>
        <w:t>评价原则</w:t>
      </w:r>
    </w:p>
    <w:p>
      <w:pPr>
        <w:ind w:firstLine="480"/>
      </w:pPr>
      <w:r>
        <w:rPr>
          <w:rFonts w:hint="eastAsia"/>
        </w:rPr>
        <w:t>①依法评价原则；②早期介入原则；③完整性原则；④广泛参与原则。</w:t>
      </w:r>
    </w:p>
    <w:p>
      <w:pPr>
        <w:pStyle w:val="3"/>
      </w:pPr>
      <w:bookmarkStart w:id="13" w:name="_Toc20548"/>
      <w:r>
        <w:rPr>
          <w:rFonts w:hint="eastAsia"/>
        </w:rPr>
        <w:t>评价标准</w:t>
      </w:r>
      <w:bookmarkEnd w:id="13"/>
    </w:p>
    <w:p>
      <w:pPr>
        <w:pStyle w:val="4"/>
      </w:pPr>
      <w:r>
        <w:rPr>
          <w:rFonts w:hint="eastAsia"/>
        </w:rPr>
        <w:t>环境质量标准</w:t>
      </w:r>
    </w:p>
    <w:p>
      <w:pPr>
        <w:ind w:firstLine="480"/>
      </w:pPr>
      <w:r>
        <w:t>1</w:t>
      </w:r>
      <w:r>
        <w:rPr>
          <w:rFonts w:hint="eastAsia"/>
        </w:rPr>
        <w:t>、环境空气</w:t>
      </w:r>
    </w:p>
    <w:p>
      <w:pPr>
        <w:ind w:firstLine="480"/>
      </w:pPr>
      <w:r>
        <w:rPr>
          <w:rFonts w:hint="eastAsia"/>
        </w:rPr>
        <w:t>环境空气质量评价执行《环境空气质量标准》（</w:t>
      </w:r>
      <w:r>
        <w:t>GB3095-2012</w:t>
      </w:r>
      <w:r>
        <w:rPr>
          <w:rFonts w:hint="eastAsia"/>
        </w:rPr>
        <w:t>）中的二级标准，醋酸引用苏联居民区大气中有害物质的最大允许浓度标准，污水处理站恶臭污染物排放执行《工业企业设计卫生标准》（</w:t>
      </w:r>
      <w:r>
        <w:t>TJ36-79</w:t>
      </w:r>
      <w:r>
        <w:rPr>
          <w:rFonts w:hint="eastAsia"/>
        </w:rPr>
        <w:t>），TVOC参照执行</w:t>
      </w:r>
      <w:r>
        <w:t>《室内空气质量标准》（GB/T 18883-2002）</w:t>
      </w:r>
      <w:r>
        <w:rPr>
          <w:rFonts w:hint="eastAsia"/>
        </w:rPr>
        <w:t>。相关标准值见表</w:t>
      </w:r>
      <w:r>
        <w:t>2.3-1</w:t>
      </w:r>
      <w:r>
        <w:rPr>
          <w:rFonts w:hint="eastAsia"/>
        </w:rPr>
        <w:t>。</w:t>
      </w:r>
    </w:p>
    <w:p>
      <w:pPr>
        <w:pStyle w:val="26"/>
        <w:rPr>
          <w:b/>
          <w:bCs/>
        </w:rPr>
      </w:pPr>
      <w:r>
        <w:rPr>
          <w:rFonts w:hint="eastAsia"/>
          <w:b/>
          <w:bCs/>
        </w:rPr>
        <w:t>表</w:t>
      </w:r>
      <w:r>
        <w:rPr>
          <w:b/>
          <w:bCs/>
        </w:rPr>
        <w:t xml:space="preserve">2.3-1  </w:t>
      </w:r>
      <w:r>
        <w:rPr>
          <w:rFonts w:hint="eastAsia"/>
          <w:b/>
          <w:bCs/>
        </w:rPr>
        <w:t>环境空气质量标准</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920"/>
        <w:gridCol w:w="1365"/>
        <w:gridCol w:w="1560"/>
        <w:gridCol w:w="1004"/>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 w:hRule="atLeast"/>
          <w:tblHeader/>
          <w:jc w:val="center"/>
        </w:trPr>
        <w:tc>
          <w:tcPr>
            <w:tcW w:w="2213" w:type="dxa"/>
            <w:vMerge w:val="restart"/>
            <w:vAlign w:val="center"/>
          </w:tcPr>
          <w:p>
            <w:pPr>
              <w:pStyle w:val="26"/>
              <w:rPr>
                <w:kern w:val="2"/>
                <w:szCs w:val="21"/>
                <w:lang w:val="en-US" w:eastAsia="zh-CN"/>
              </w:rPr>
            </w:pPr>
            <w:r>
              <w:rPr>
                <w:rFonts w:hint="eastAsia"/>
                <w:kern w:val="2"/>
                <w:szCs w:val="21"/>
                <w:lang w:val="en-US" w:eastAsia="zh-CN"/>
              </w:rPr>
              <w:t>项目</w:t>
            </w:r>
          </w:p>
        </w:tc>
        <w:tc>
          <w:tcPr>
            <w:tcW w:w="3845" w:type="dxa"/>
            <w:gridSpan w:val="3"/>
            <w:vAlign w:val="center"/>
          </w:tcPr>
          <w:p>
            <w:pPr>
              <w:pStyle w:val="26"/>
              <w:rPr>
                <w:kern w:val="2"/>
                <w:szCs w:val="21"/>
                <w:lang w:val="en-US" w:eastAsia="zh-CN"/>
              </w:rPr>
            </w:pPr>
            <w:r>
              <w:rPr>
                <w:rFonts w:hint="eastAsia"/>
                <w:kern w:val="2"/>
                <w:szCs w:val="21"/>
                <w:lang w:val="en-US" w:eastAsia="zh-CN"/>
              </w:rPr>
              <w:t>浓度限值</w:t>
            </w:r>
          </w:p>
        </w:tc>
        <w:tc>
          <w:tcPr>
            <w:tcW w:w="1004" w:type="dxa"/>
            <w:vMerge w:val="restart"/>
            <w:vAlign w:val="center"/>
          </w:tcPr>
          <w:p>
            <w:pPr>
              <w:pStyle w:val="26"/>
              <w:rPr>
                <w:kern w:val="2"/>
                <w:szCs w:val="21"/>
                <w:lang w:val="en-US" w:eastAsia="zh-CN"/>
              </w:rPr>
            </w:pPr>
            <w:r>
              <w:rPr>
                <w:rFonts w:hint="eastAsia"/>
                <w:kern w:val="2"/>
                <w:szCs w:val="21"/>
                <w:lang w:val="en-US" w:eastAsia="zh-CN"/>
              </w:rPr>
              <w:t>单位</w:t>
            </w:r>
          </w:p>
        </w:tc>
        <w:tc>
          <w:tcPr>
            <w:tcW w:w="2792" w:type="dxa"/>
            <w:vMerge w:val="restart"/>
            <w:vAlign w:val="center"/>
          </w:tcPr>
          <w:p>
            <w:pPr>
              <w:pStyle w:val="26"/>
              <w:rPr>
                <w:kern w:val="2"/>
                <w:szCs w:val="21"/>
                <w:lang w:val="en-US" w:eastAsia="zh-CN"/>
              </w:rPr>
            </w:pPr>
            <w:r>
              <w:rPr>
                <w:rFonts w:hint="eastAsia"/>
                <w:kern w:val="2"/>
                <w:szCs w:val="21"/>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blHeader/>
          <w:jc w:val="center"/>
        </w:trPr>
        <w:tc>
          <w:tcPr>
            <w:tcW w:w="2213" w:type="dxa"/>
            <w:vMerge w:val="continue"/>
            <w:vAlign w:val="center"/>
          </w:tcPr>
          <w:p>
            <w:pPr>
              <w:pStyle w:val="26"/>
              <w:rPr>
                <w:kern w:val="2"/>
                <w:szCs w:val="21"/>
                <w:lang w:val="en-US" w:eastAsia="zh-CN"/>
              </w:rPr>
            </w:pPr>
          </w:p>
        </w:tc>
        <w:tc>
          <w:tcPr>
            <w:tcW w:w="920" w:type="dxa"/>
            <w:vAlign w:val="center"/>
          </w:tcPr>
          <w:p>
            <w:pPr>
              <w:pStyle w:val="26"/>
              <w:rPr>
                <w:kern w:val="2"/>
                <w:szCs w:val="21"/>
                <w:lang w:val="en-US" w:eastAsia="zh-CN"/>
              </w:rPr>
            </w:pPr>
            <w:r>
              <w:rPr>
                <w:rFonts w:hint="eastAsia"/>
                <w:kern w:val="2"/>
                <w:szCs w:val="21"/>
                <w:lang w:val="en-US" w:eastAsia="zh-CN"/>
              </w:rPr>
              <w:t>年平均</w:t>
            </w:r>
          </w:p>
        </w:tc>
        <w:tc>
          <w:tcPr>
            <w:tcW w:w="1365" w:type="dxa"/>
            <w:vAlign w:val="center"/>
          </w:tcPr>
          <w:p>
            <w:pPr>
              <w:pStyle w:val="26"/>
              <w:rPr>
                <w:kern w:val="2"/>
                <w:szCs w:val="21"/>
                <w:lang w:val="en-US" w:eastAsia="zh-CN"/>
              </w:rPr>
            </w:pPr>
            <w:r>
              <w:rPr>
                <w:kern w:val="2"/>
                <w:szCs w:val="21"/>
                <w:lang w:val="en-US" w:eastAsia="zh-CN"/>
              </w:rPr>
              <w:t>24</w:t>
            </w:r>
            <w:r>
              <w:rPr>
                <w:rFonts w:hint="eastAsia"/>
                <w:kern w:val="2"/>
                <w:szCs w:val="21"/>
                <w:lang w:val="en-US" w:eastAsia="zh-CN"/>
              </w:rPr>
              <w:t>小时平均</w:t>
            </w:r>
          </w:p>
        </w:tc>
        <w:tc>
          <w:tcPr>
            <w:tcW w:w="1560" w:type="dxa"/>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小时平均</w:t>
            </w:r>
          </w:p>
        </w:tc>
        <w:tc>
          <w:tcPr>
            <w:tcW w:w="1004" w:type="dxa"/>
            <w:vMerge w:val="continue"/>
            <w:vAlign w:val="center"/>
          </w:tcPr>
          <w:p>
            <w:pPr>
              <w:pStyle w:val="26"/>
              <w:rPr>
                <w:kern w:val="2"/>
                <w:szCs w:val="21"/>
                <w:lang w:val="en-US" w:eastAsia="zh-CN"/>
              </w:rPr>
            </w:pPr>
          </w:p>
        </w:tc>
        <w:tc>
          <w:tcPr>
            <w:tcW w:w="2792"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213" w:type="dxa"/>
            <w:vAlign w:val="center"/>
          </w:tcPr>
          <w:p>
            <w:pPr>
              <w:pStyle w:val="26"/>
              <w:rPr>
                <w:kern w:val="2"/>
                <w:szCs w:val="21"/>
                <w:lang w:val="en-US" w:eastAsia="zh-CN"/>
              </w:rPr>
            </w:pPr>
            <w:r>
              <w:rPr>
                <w:rFonts w:hint="eastAsia"/>
                <w:kern w:val="2"/>
                <w:szCs w:val="21"/>
                <w:lang w:val="en-US" w:eastAsia="zh-CN"/>
              </w:rPr>
              <w:t>二氧化硫（</w:t>
            </w:r>
            <w:r>
              <w:rPr>
                <w:kern w:val="2"/>
                <w:szCs w:val="21"/>
                <w:lang w:val="en-US" w:eastAsia="zh-CN"/>
              </w:rPr>
              <w:t>SO</w:t>
            </w:r>
            <w:r>
              <w:rPr>
                <w:kern w:val="2"/>
                <w:szCs w:val="21"/>
                <w:vertAlign w:val="subscript"/>
                <w:lang w:val="en-US" w:eastAsia="zh-CN"/>
              </w:rPr>
              <w:t>2</w:t>
            </w:r>
            <w:r>
              <w:rPr>
                <w:rFonts w:hint="eastAsia"/>
                <w:kern w:val="2"/>
                <w:szCs w:val="21"/>
                <w:lang w:val="en-US" w:eastAsia="zh-CN"/>
              </w:rPr>
              <w:t>）</w:t>
            </w:r>
          </w:p>
        </w:tc>
        <w:tc>
          <w:tcPr>
            <w:tcW w:w="920" w:type="dxa"/>
            <w:vAlign w:val="center"/>
          </w:tcPr>
          <w:p>
            <w:pPr>
              <w:pStyle w:val="26"/>
              <w:rPr>
                <w:kern w:val="2"/>
                <w:szCs w:val="21"/>
                <w:lang w:val="en-US" w:eastAsia="zh-CN"/>
              </w:rPr>
            </w:pPr>
            <w:r>
              <w:rPr>
                <w:kern w:val="2"/>
                <w:szCs w:val="21"/>
                <w:lang w:val="en-US" w:eastAsia="zh-CN"/>
              </w:rPr>
              <w:t>60</w:t>
            </w:r>
          </w:p>
        </w:tc>
        <w:tc>
          <w:tcPr>
            <w:tcW w:w="1365" w:type="dxa"/>
            <w:vAlign w:val="center"/>
          </w:tcPr>
          <w:p>
            <w:pPr>
              <w:pStyle w:val="26"/>
              <w:rPr>
                <w:kern w:val="2"/>
                <w:szCs w:val="21"/>
                <w:lang w:val="en-US" w:eastAsia="zh-CN"/>
              </w:rPr>
            </w:pPr>
            <w:r>
              <w:rPr>
                <w:kern w:val="2"/>
                <w:szCs w:val="21"/>
                <w:lang w:val="en-US" w:eastAsia="zh-CN"/>
              </w:rPr>
              <w:t>150</w:t>
            </w:r>
          </w:p>
        </w:tc>
        <w:tc>
          <w:tcPr>
            <w:tcW w:w="1560" w:type="dxa"/>
            <w:vAlign w:val="center"/>
          </w:tcPr>
          <w:p>
            <w:pPr>
              <w:pStyle w:val="26"/>
              <w:rPr>
                <w:kern w:val="2"/>
                <w:szCs w:val="21"/>
                <w:lang w:val="en-US" w:eastAsia="zh-CN"/>
              </w:rPr>
            </w:pPr>
            <w:r>
              <w:rPr>
                <w:kern w:val="2"/>
                <w:szCs w:val="21"/>
                <w:lang w:val="en-US" w:eastAsia="zh-CN"/>
              </w:rPr>
              <w:t>500</w:t>
            </w:r>
          </w:p>
        </w:tc>
        <w:tc>
          <w:tcPr>
            <w:tcW w:w="1004" w:type="dxa"/>
            <w:vMerge w:val="restart"/>
            <w:vAlign w:val="center"/>
          </w:tcPr>
          <w:p>
            <w:pPr>
              <w:pStyle w:val="26"/>
              <w:rPr>
                <w:kern w:val="2"/>
                <w:szCs w:val="21"/>
                <w:lang w:val="en-US" w:eastAsia="zh-CN"/>
              </w:rPr>
            </w:pPr>
            <w:r>
              <w:rPr>
                <w:rFonts w:hint="eastAsia"/>
                <w:kern w:val="2"/>
                <w:szCs w:val="21"/>
                <w:lang w:val="en-US" w:eastAsia="zh-CN"/>
              </w:rPr>
              <w:t>μ</w:t>
            </w:r>
            <w:r>
              <w:rPr>
                <w:kern w:val="2"/>
                <w:szCs w:val="21"/>
                <w:lang w:val="en-US" w:eastAsia="zh-CN"/>
              </w:rPr>
              <w:t>g/m</w:t>
            </w:r>
            <w:r>
              <w:rPr>
                <w:kern w:val="2"/>
                <w:szCs w:val="21"/>
                <w:vertAlign w:val="superscript"/>
                <w:lang w:val="en-US" w:eastAsia="zh-CN"/>
              </w:rPr>
              <w:t>3</w:t>
            </w:r>
          </w:p>
        </w:tc>
        <w:tc>
          <w:tcPr>
            <w:tcW w:w="2792" w:type="dxa"/>
            <w:vMerge w:val="restart"/>
            <w:vAlign w:val="center"/>
          </w:tcPr>
          <w:p>
            <w:pPr>
              <w:pStyle w:val="26"/>
              <w:spacing w:line="240" w:lineRule="auto"/>
              <w:rPr>
                <w:kern w:val="2"/>
                <w:szCs w:val="21"/>
                <w:lang w:val="en-US" w:eastAsia="zh-CN"/>
              </w:rPr>
            </w:pPr>
            <w:r>
              <w:rPr>
                <w:rFonts w:hint="eastAsia"/>
                <w:kern w:val="2"/>
                <w:szCs w:val="21"/>
                <w:lang w:val="en-US" w:eastAsia="zh-CN"/>
              </w:rPr>
              <w:t>《环境空气质量标准》（</w:t>
            </w:r>
            <w:r>
              <w:rPr>
                <w:kern w:val="2"/>
                <w:szCs w:val="21"/>
                <w:lang w:val="en-US" w:eastAsia="zh-CN"/>
              </w:rPr>
              <w:t>GB3095-2012</w:t>
            </w:r>
            <w:r>
              <w:rPr>
                <w:rFonts w:hint="eastAsia"/>
                <w:kern w:val="2"/>
                <w:szCs w:val="21"/>
                <w:lang w:val="en-US" w:eastAsia="zh-CN"/>
              </w:rPr>
              <w:t>）中的二级标准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213" w:type="dxa"/>
            <w:vAlign w:val="center"/>
          </w:tcPr>
          <w:p>
            <w:pPr>
              <w:pStyle w:val="26"/>
              <w:rPr>
                <w:kern w:val="2"/>
                <w:szCs w:val="21"/>
                <w:lang w:val="en-US" w:eastAsia="zh-CN"/>
              </w:rPr>
            </w:pPr>
            <w:r>
              <w:rPr>
                <w:rFonts w:hint="eastAsia"/>
                <w:kern w:val="2"/>
                <w:szCs w:val="21"/>
                <w:lang w:val="en-US" w:eastAsia="zh-CN"/>
              </w:rPr>
              <w:t>二氧化氮（</w:t>
            </w:r>
            <w:r>
              <w:rPr>
                <w:kern w:val="2"/>
                <w:szCs w:val="21"/>
                <w:lang w:val="en-US" w:eastAsia="zh-CN"/>
              </w:rPr>
              <w:t>NO</w:t>
            </w:r>
            <w:r>
              <w:rPr>
                <w:kern w:val="2"/>
                <w:szCs w:val="21"/>
                <w:vertAlign w:val="subscript"/>
                <w:lang w:val="en-US" w:eastAsia="zh-CN"/>
              </w:rPr>
              <w:t>2</w:t>
            </w:r>
            <w:r>
              <w:rPr>
                <w:rFonts w:hint="eastAsia"/>
                <w:kern w:val="2"/>
                <w:szCs w:val="21"/>
                <w:lang w:val="en-US" w:eastAsia="zh-CN"/>
              </w:rPr>
              <w:t>）</w:t>
            </w:r>
          </w:p>
        </w:tc>
        <w:tc>
          <w:tcPr>
            <w:tcW w:w="920" w:type="dxa"/>
            <w:vAlign w:val="center"/>
          </w:tcPr>
          <w:p>
            <w:pPr>
              <w:pStyle w:val="26"/>
              <w:rPr>
                <w:kern w:val="2"/>
                <w:szCs w:val="21"/>
                <w:lang w:val="en-US" w:eastAsia="zh-CN"/>
              </w:rPr>
            </w:pPr>
            <w:r>
              <w:rPr>
                <w:kern w:val="2"/>
                <w:szCs w:val="21"/>
                <w:lang w:val="en-US" w:eastAsia="zh-CN"/>
              </w:rPr>
              <w:t>40</w:t>
            </w:r>
          </w:p>
        </w:tc>
        <w:tc>
          <w:tcPr>
            <w:tcW w:w="1365" w:type="dxa"/>
            <w:vAlign w:val="center"/>
          </w:tcPr>
          <w:p>
            <w:pPr>
              <w:pStyle w:val="26"/>
              <w:rPr>
                <w:kern w:val="2"/>
                <w:szCs w:val="21"/>
                <w:lang w:val="en-US" w:eastAsia="zh-CN"/>
              </w:rPr>
            </w:pPr>
            <w:r>
              <w:rPr>
                <w:kern w:val="2"/>
                <w:szCs w:val="21"/>
                <w:lang w:val="en-US" w:eastAsia="zh-CN"/>
              </w:rPr>
              <w:t>80</w:t>
            </w:r>
          </w:p>
        </w:tc>
        <w:tc>
          <w:tcPr>
            <w:tcW w:w="1560" w:type="dxa"/>
            <w:vAlign w:val="center"/>
          </w:tcPr>
          <w:p>
            <w:pPr>
              <w:pStyle w:val="26"/>
              <w:rPr>
                <w:kern w:val="2"/>
                <w:szCs w:val="21"/>
                <w:lang w:val="en-US" w:eastAsia="zh-CN"/>
              </w:rPr>
            </w:pPr>
            <w:r>
              <w:rPr>
                <w:kern w:val="2"/>
                <w:szCs w:val="21"/>
                <w:lang w:val="en-US" w:eastAsia="zh-CN"/>
              </w:rPr>
              <w:t>200</w:t>
            </w:r>
          </w:p>
        </w:tc>
        <w:tc>
          <w:tcPr>
            <w:tcW w:w="1004" w:type="dxa"/>
            <w:vMerge w:val="continue"/>
            <w:vAlign w:val="center"/>
          </w:tcPr>
          <w:p>
            <w:pPr>
              <w:pStyle w:val="26"/>
              <w:rPr>
                <w:kern w:val="2"/>
                <w:szCs w:val="21"/>
                <w:lang w:val="en-US" w:eastAsia="zh-CN"/>
              </w:rPr>
            </w:pPr>
          </w:p>
        </w:tc>
        <w:tc>
          <w:tcPr>
            <w:tcW w:w="2792" w:type="dxa"/>
            <w:vMerge w:val="continue"/>
            <w:vAlign w:val="center"/>
          </w:tcPr>
          <w:p>
            <w:pPr>
              <w:pStyle w:val="26"/>
              <w:spacing w:line="240" w:lineRule="auto"/>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213" w:type="dxa"/>
            <w:vAlign w:val="center"/>
          </w:tcPr>
          <w:p>
            <w:pPr>
              <w:pStyle w:val="26"/>
              <w:rPr>
                <w:kern w:val="2"/>
                <w:szCs w:val="21"/>
                <w:lang w:val="en-US" w:eastAsia="zh-CN"/>
              </w:rPr>
            </w:pPr>
            <w:r>
              <w:rPr>
                <w:rFonts w:hint="eastAsia"/>
                <w:kern w:val="2"/>
                <w:szCs w:val="21"/>
                <w:lang w:val="en-US" w:eastAsia="zh-CN"/>
              </w:rPr>
              <w:t>总悬浮颗粒物（</w:t>
            </w:r>
            <w:r>
              <w:rPr>
                <w:kern w:val="2"/>
                <w:szCs w:val="21"/>
                <w:lang w:val="en-US" w:eastAsia="zh-CN"/>
              </w:rPr>
              <w:t>TSP</w:t>
            </w:r>
            <w:r>
              <w:rPr>
                <w:rFonts w:hint="eastAsia"/>
                <w:kern w:val="2"/>
                <w:szCs w:val="21"/>
                <w:lang w:val="en-US" w:eastAsia="zh-CN"/>
              </w:rPr>
              <w:t>）</w:t>
            </w:r>
          </w:p>
        </w:tc>
        <w:tc>
          <w:tcPr>
            <w:tcW w:w="920" w:type="dxa"/>
            <w:vAlign w:val="center"/>
          </w:tcPr>
          <w:p>
            <w:pPr>
              <w:pStyle w:val="26"/>
              <w:rPr>
                <w:kern w:val="2"/>
                <w:szCs w:val="21"/>
                <w:lang w:val="en-US" w:eastAsia="zh-CN"/>
              </w:rPr>
            </w:pPr>
            <w:r>
              <w:rPr>
                <w:kern w:val="2"/>
                <w:szCs w:val="21"/>
                <w:lang w:val="en-US" w:eastAsia="zh-CN"/>
              </w:rPr>
              <w:t>200</w:t>
            </w:r>
          </w:p>
        </w:tc>
        <w:tc>
          <w:tcPr>
            <w:tcW w:w="1365" w:type="dxa"/>
            <w:vAlign w:val="center"/>
          </w:tcPr>
          <w:p>
            <w:pPr>
              <w:pStyle w:val="26"/>
              <w:rPr>
                <w:kern w:val="2"/>
                <w:szCs w:val="21"/>
                <w:lang w:val="en-US" w:eastAsia="zh-CN"/>
              </w:rPr>
            </w:pPr>
            <w:r>
              <w:rPr>
                <w:kern w:val="2"/>
                <w:szCs w:val="21"/>
                <w:lang w:val="en-US" w:eastAsia="zh-CN"/>
              </w:rPr>
              <w:t>300</w:t>
            </w:r>
          </w:p>
        </w:tc>
        <w:tc>
          <w:tcPr>
            <w:tcW w:w="1560" w:type="dxa"/>
            <w:vAlign w:val="center"/>
          </w:tcPr>
          <w:p>
            <w:pPr>
              <w:pStyle w:val="26"/>
              <w:rPr>
                <w:kern w:val="2"/>
                <w:szCs w:val="21"/>
                <w:lang w:val="en-US" w:eastAsia="zh-CN"/>
              </w:rPr>
            </w:pPr>
            <w:r>
              <w:rPr>
                <w:kern w:val="2"/>
                <w:szCs w:val="21"/>
                <w:lang w:val="en-US" w:eastAsia="zh-CN"/>
              </w:rPr>
              <w:t>/</w:t>
            </w:r>
          </w:p>
        </w:tc>
        <w:tc>
          <w:tcPr>
            <w:tcW w:w="1004" w:type="dxa"/>
            <w:vMerge w:val="continue"/>
            <w:vAlign w:val="center"/>
          </w:tcPr>
          <w:p>
            <w:pPr>
              <w:pStyle w:val="26"/>
              <w:rPr>
                <w:kern w:val="2"/>
                <w:szCs w:val="21"/>
                <w:lang w:val="en-US" w:eastAsia="zh-CN"/>
              </w:rPr>
            </w:pPr>
          </w:p>
        </w:tc>
        <w:tc>
          <w:tcPr>
            <w:tcW w:w="2792" w:type="dxa"/>
            <w:vMerge w:val="continue"/>
            <w:vAlign w:val="center"/>
          </w:tcPr>
          <w:p>
            <w:pPr>
              <w:pStyle w:val="26"/>
              <w:spacing w:line="240" w:lineRule="auto"/>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213" w:type="dxa"/>
            <w:vAlign w:val="center"/>
          </w:tcPr>
          <w:p>
            <w:pPr>
              <w:pStyle w:val="26"/>
              <w:rPr>
                <w:kern w:val="2"/>
                <w:szCs w:val="21"/>
                <w:lang w:val="en-US" w:eastAsia="zh-CN"/>
              </w:rPr>
            </w:pPr>
            <w:r>
              <w:rPr>
                <w:kern w:val="2"/>
                <w:szCs w:val="21"/>
                <w:lang w:val="en-US" w:eastAsia="zh-CN"/>
              </w:rPr>
              <w:t>PM</w:t>
            </w:r>
            <w:r>
              <w:rPr>
                <w:kern w:val="2"/>
                <w:szCs w:val="21"/>
                <w:vertAlign w:val="subscript"/>
                <w:lang w:val="en-US" w:eastAsia="zh-CN"/>
              </w:rPr>
              <w:t>10</w:t>
            </w:r>
          </w:p>
        </w:tc>
        <w:tc>
          <w:tcPr>
            <w:tcW w:w="920" w:type="dxa"/>
            <w:vAlign w:val="center"/>
          </w:tcPr>
          <w:p>
            <w:pPr>
              <w:pStyle w:val="26"/>
              <w:rPr>
                <w:kern w:val="2"/>
                <w:szCs w:val="21"/>
                <w:lang w:val="en-US" w:eastAsia="zh-CN"/>
              </w:rPr>
            </w:pPr>
            <w:r>
              <w:rPr>
                <w:kern w:val="2"/>
                <w:szCs w:val="21"/>
                <w:lang w:val="en-US" w:eastAsia="zh-CN"/>
              </w:rPr>
              <w:t>70</w:t>
            </w:r>
          </w:p>
        </w:tc>
        <w:tc>
          <w:tcPr>
            <w:tcW w:w="1365" w:type="dxa"/>
            <w:vAlign w:val="center"/>
          </w:tcPr>
          <w:p>
            <w:pPr>
              <w:pStyle w:val="26"/>
              <w:rPr>
                <w:kern w:val="2"/>
                <w:szCs w:val="21"/>
                <w:lang w:val="en-US" w:eastAsia="zh-CN"/>
              </w:rPr>
            </w:pPr>
            <w:r>
              <w:rPr>
                <w:kern w:val="2"/>
                <w:szCs w:val="21"/>
                <w:lang w:val="en-US" w:eastAsia="zh-CN"/>
              </w:rPr>
              <w:t>150</w:t>
            </w:r>
          </w:p>
        </w:tc>
        <w:tc>
          <w:tcPr>
            <w:tcW w:w="1560" w:type="dxa"/>
            <w:vAlign w:val="center"/>
          </w:tcPr>
          <w:p>
            <w:pPr>
              <w:pStyle w:val="26"/>
              <w:rPr>
                <w:kern w:val="2"/>
                <w:szCs w:val="21"/>
                <w:lang w:val="en-US" w:eastAsia="zh-CN"/>
              </w:rPr>
            </w:pPr>
            <w:r>
              <w:rPr>
                <w:kern w:val="2"/>
                <w:szCs w:val="21"/>
                <w:lang w:val="en-US" w:eastAsia="zh-CN"/>
              </w:rPr>
              <w:t>/</w:t>
            </w:r>
          </w:p>
        </w:tc>
        <w:tc>
          <w:tcPr>
            <w:tcW w:w="1004" w:type="dxa"/>
            <w:vMerge w:val="continue"/>
            <w:vAlign w:val="center"/>
          </w:tcPr>
          <w:p>
            <w:pPr>
              <w:pStyle w:val="26"/>
              <w:rPr>
                <w:kern w:val="2"/>
                <w:szCs w:val="21"/>
                <w:lang w:val="en-US" w:eastAsia="zh-CN"/>
              </w:rPr>
            </w:pPr>
          </w:p>
        </w:tc>
        <w:tc>
          <w:tcPr>
            <w:tcW w:w="2792" w:type="dxa"/>
            <w:vMerge w:val="continue"/>
            <w:vAlign w:val="center"/>
          </w:tcPr>
          <w:p>
            <w:pPr>
              <w:pStyle w:val="26"/>
              <w:spacing w:line="240" w:lineRule="auto"/>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213" w:type="dxa"/>
            <w:vAlign w:val="center"/>
          </w:tcPr>
          <w:p>
            <w:pPr>
              <w:pStyle w:val="26"/>
              <w:rPr>
                <w:kern w:val="2"/>
                <w:szCs w:val="21"/>
                <w:lang w:val="en-US" w:eastAsia="zh-CN"/>
              </w:rPr>
            </w:pPr>
            <w:r>
              <w:rPr>
                <w:kern w:val="2"/>
                <w:szCs w:val="21"/>
                <w:lang w:val="en-US" w:eastAsia="zh-CN"/>
              </w:rPr>
              <w:t>PM</w:t>
            </w:r>
            <w:r>
              <w:rPr>
                <w:kern w:val="2"/>
                <w:szCs w:val="21"/>
                <w:vertAlign w:val="subscript"/>
                <w:lang w:val="en-US" w:eastAsia="zh-CN"/>
              </w:rPr>
              <w:t>2.5</w:t>
            </w:r>
          </w:p>
        </w:tc>
        <w:tc>
          <w:tcPr>
            <w:tcW w:w="920" w:type="dxa"/>
            <w:vAlign w:val="center"/>
          </w:tcPr>
          <w:p>
            <w:pPr>
              <w:pStyle w:val="26"/>
              <w:rPr>
                <w:kern w:val="2"/>
                <w:szCs w:val="21"/>
                <w:lang w:val="en-US" w:eastAsia="zh-CN"/>
              </w:rPr>
            </w:pPr>
            <w:r>
              <w:rPr>
                <w:kern w:val="2"/>
                <w:szCs w:val="21"/>
                <w:lang w:val="en-US" w:eastAsia="zh-CN"/>
              </w:rPr>
              <w:t>35</w:t>
            </w:r>
          </w:p>
        </w:tc>
        <w:tc>
          <w:tcPr>
            <w:tcW w:w="1365" w:type="dxa"/>
            <w:vAlign w:val="center"/>
          </w:tcPr>
          <w:p>
            <w:pPr>
              <w:pStyle w:val="26"/>
              <w:rPr>
                <w:kern w:val="2"/>
                <w:szCs w:val="21"/>
                <w:lang w:val="en-US" w:eastAsia="zh-CN"/>
              </w:rPr>
            </w:pPr>
            <w:r>
              <w:rPr>
                <w:kern w:val="2"/>
                <w:szCs w:val="21"/>
                <w:lang w:val="en-US" w:eastAsia="zh-CN"/>
              </w:rPr>
              <w:t>75</w:t>
            </w:r>
          </w:p>
        </w:tc>
        <w:tc>
          <w:tcPr>
            <w:tcW w:w="1560" w:type="dxa"/>
            <w:vAlign w:val="center"/>
          </w:tcPr>
          <w:p>
            <w:pPr>
              <w:pStyle w:val="26"/>
              <w:rPr>
                <w:kern w:val="2"/>
                <w:szCs w:val="21"/>
                <w:lang w:val="en-US" w:eastAsia="zh-CN"/>
              </w:rPr>
            </w:pPr>
            <w:r>
              <w:rPr>
                <w:kern w:val="2"/>
                <w:szCs w:val="21"/>
                <w:lang w:val="en-US" w:eastAsia="zh-CN"/>
              </w:rPr>
              <w:t>/</w:t>
            </w:r>
          </w:p>
        </w:tc>
        <w:tc>
          <w:tcPr>
            <w:tcW w:w="1004" w:type="dxa"/>
            <w:vMerge w:val="continue"/>
            <w:vAlign w:val="center"/>
          </w:tcPr>
          <w:p>
            <w:pPr>
              <w:pStyle w:val="26"/>
              <w:rPr>
                <w:kern w:val="2"/>
                <w:szCs w:val="21"/>
                <w:lang w:val="en-US" w:eastAsia="zh-CN"/>
              </w:rPr>
            </w:pPr>
          </w:p>
        </w:tc>
        <w:tc>
          <w:tcPr>
            <w:tcW w:w="2792" w:type="dxa"/>
            <w:vMerge w:val="continue"/>
            <w:vAlign w:val="center"/>
          </w:tcPr>
          <w:p>
            <w:pPr>
              <w:pStyle w:val="26"/>
              <w:spacing w:line="240" w:lineRule="auto"/>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213" w:type="dxa"/>
            <w:vAlign w:val="center"/>
          </w:tcPr>
          <w:p>
            <w:pPr>
              <w:pStyle w:val="26"/>
              <w:rPr>
                <w:kern w:val="2"/>
                <w:szCs w:val="21"/>
                <w:lang w:val="en-US" w:eastAsia="zh-CN"/>
              </w:rPr>
            </w:pPr>
            <w:r>
              <w:rPr>
                <w:rFonts w:hint="eastAsia"/>
                <w:kern w:val="2"/>
                <w:szCs w:val="21"/>
                <w:lang w:val="en-US" w:eastAsia="zh-CN"/>
              </w:rPr>
              <w:t>氮氧化物（</w:t>
            </w:r>
            <w:r>
              <w:rPr>
                <w:kern w:val="2"/>
                <w:szCs w:val="21"/>
                <w:lang w:val="en-US" w:eastAsia="zh-CN"/>
              </w:rPr>
              <w:t>NOx</w:t>
            </w:r>
            <w:r>
              <w:rPr>
                <w:rFonts w:hint="eastAsia"/>
                <w:kern w:val="2"/>
                <w:szCs w:val="21"/>
                <w:lang w:val="en-US" w:eastAsia="zh-CN"/>
              </w:rPr>
              <w:t>）</w:t>
            </w:r>
          </w:p>
        </w:tc>
        <w:tc>
          <w:tcPr>
            <w:tcW w:w="920" w:type="dxa"/>
            <w:vAlign w:val="center"/>
          </w:tcPr>
          <w:p>
            <w:pPr>
              <w:pStyle w:val="26"/>
              <w:rPr>
                <w:kern w:val="2"/>
                <w:szCs w:val="21"/>
                <w:lang w:val="en-US" w:eastAsia="zh-CN"/>
              </w:rPr>
            </w:pPr>
            <w:r>
              <w:rPr>
                <w:kern w:val="2"/>
                <w:szCs w:val="21"/>
                <w:lang w:val="en-US" w:eastAsia="zh-CN"/>
              </w:rPr>
              <w:t>50</w:t>
            </w:r>
          </w:p>
        </w:tc>
        <w:tc>
          <w:tcPr>
            <w:tcW w:w="1365" w:type="dxa"/>
            <w:vAlign w:val="center"/>
          </w:tcPr>
          <w:p>
            <w:pPr>
              <w:pStyle w:val="26"/>
              <w:rPr>
                <w:kern w:val="2"/>
                <w:szCs w:val="21"/>
                <w:lang w:val="en-US" w:eastAsia="zh-CN"/>
              </w:rPr>
            </w:pPr>
            <w:r>
              <w:rPr>
                <w:kern w:val="2"/>
                <w:szCs w:val="21"/>
                <w:lang w:val="en-US" w:eastAsia="zh-CN"/>
              </w:rPr>
              <w:t>100</w:t>
            </w:r>
          </w:p>
        </w:tc>
        <w:tc>
          <w:tcPr>
            <w:tcW w:w="1560" w:type="dxa"/>
            <w:vAlign w:val="center"/>
          </w:tcPr>
          <w:p>
            <w:pPr>
              <w:pStyle w:val="26"/>
              <w:rPr>
                <w:kern w:val="2"/>
                <w:szCs w:val="21"/>
                <w:lang w:val="en-US" w:eastAsia="zh-CN"/>
              </w:rPr>
            </w:pPr>
            <w:r>
              <w:rPr>
                <w:kern w:val="2"/>
                <w:szCs w:val="21"/>
                <w:lang w:val="en-US" w:eastAsia="zh-CN"/>
              </w:rPr>
              <w:t>250</w:t>
            </w:r>
          </w:p>
        </w:tc>
        <w:tc>
          <w:tcPr>
            <w:tcW w:w="1004" w:type="dxa"/>
            <w:vMerge w:val="continue"/>
            <w:vAlign w:val="center"/>
          </w:tcPr>
          <w:p>
            <w:pPr>
              <w:pStyle w:val="26"/>
              <w:rPr>
                <w:kern w:val="2"/>
                <w:szCs w:val="21"/>
                <w:lang w:val="en-US" w:eastAsia="zh-CN"/>
              </w:rPr>
            </w:pPr>
          </w:p>
        </w:tc>
        <w:tc>
          <w:tcPr>
            <w:tcW w:w="2792" w:type="dxa"/>
            <w:vMerge w:val="continue"/>
            <w:vAlign w:val="center"/>
          </w:tcPr>
          <w:p>
            <w:pPr>
              <w:pStyle w:val="26"/>
              <w:spacing w:line="240" w:lineRule="auto"/>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213" w:type="dxa"/>
            <w:vAlign w:val="center"/>
          </w:tcPr>
          <w:p>
            <w:pPr>
              <w:pStyle w:val="26"/>
              <w:rPr>
                <w:kern w:val="2"/>
                <w:szCs w:val="21"/>
                <w:lang w:val="en-US" w:eastAsia="zh-CN"/>
              </w:rPr>
            </w:pPr>
            <w:r>
              <w:rPr>
                <w:rFonts w:hint="eastAsia"/>
                <w:kern w:val="2"/>
                <w:szCs w:val="21"/>
                <w:lang w:val="en-US" w:eastAsia="zh-CN"/>
              </w:rPr>
              <w:t>醋酸</w:t>
            </w:r>
          </w:p>
        </w:tc>
        <w:tc>
          <w:tcPr>
            <w:tcW w:w="920" w:type="dxa"/>
            <w:vAlign w:val="center"/>
          </w:tcPr>
          <w:p>
            <w:pPr>
              <w:pStyle w:val="26"/>
              <w:rPr>
                <w:kern w:val="2"/>
                <w:szCs w:val="21"/>
                <w:lang w:val="en-US" w:eastAsia="zh-CN"/>
              </w:rPr>
            </w:pPr>
            <w:r>
              <w:rPr>
                <w:kern w:val="2"/>
                <w:szCs w:val="21"/>
                <w:lang w:val="en-US" w:eastAsia="zh-CN"/>
              </w:rPr>
              <w:t>-</w:t>
            </w:r>
          </w:p>
        </w:tc>
        <w:tc>
          <w:tcPr>
            <w:tcW w:w="1365" w:type="dxa"/>
            <w:vAlign w:val="center"/>
          </w:tcPr>
          <w:p>
            <w:pPr>
              <w:pStyle w:val="26"/>
              <w:rPr>
                <w:kern w:val="2"/>
                <w:szCs w:val="21"/>
                <w:lang w:val="en-US" w:eastAsia="zh-CN"/>
              </w:rPr>
            </w:pPr>
            <w:r>
              <w:rPr>
                <w:kern w:val="2"/>
                <w:szCs w:val="21"/>
                <w:lang w:val="en-US" w:eastAsia="zh-CN"/>
              </w:rPr>
              <w:t>0.06</w:t>
            </w:r>
          </w:p>
        </w:tc>
        <w:tc>
          <w:tcPr>
            <w:tcW w:w="1560" w:type="dxa"/>
            <w:vAlign w:val="center"/>
          </w:tcPr>
          <w:p>
            <w:pPr>
              <w:pStyle w:val="26"/>
              <w:rPr>
                <w:kern w:val="2"/>
                <w:szCs w:val="21"/>
                <w:lang w:val="en-US" w:eastAsia="zh-CN"/>
              </w:rPr>
            </w:pPr>
            <w:r>
              <w:rPr>
                <w:kern w:val="2"/>
                <w:szCs w:val="21"/>
                <w:lang w:val="en-US" w:eastAsia="zh-CN"/>
              </w:rPr>
              <w:t>0.2(</w:t>
            </w:r>
            <w:r>
              <w:rPr>
                <w:rFonts w:hint="eastAsia"/>
                <w:kern w:val="2"/>
                <w:szCs w:val="21"/>
                <w:lang w:val="en-US" w:eastAsia="zh-CN"/>
              </w:rPr>
              <w:t>一次</w:t>
            </w:r>
            <w:r>
              <w:rPr>
                <w:kern w:val="2"/>
                <w:szCs w:val="21"/>
                <w:lang w:val="en-US" w:eastAsia="zh-CN"/>
              </w:rPr>
              <w:t>)</w:t>
            </w:r>
          </w:p>
        </w:tc>
        <w:tc>
          <w:tcPr>
            <w:tcW w:w="1004" w:type="dxa"/>
            <w:vAlign w:val="center"/>
          </w:tcPr>
          <w:p>
            <w:pPr>
              <w:pStyle w:val="26"/>
              <w:rPr>
                <w:kern w:val="2"/>
                <w:szCs w:val="21"/>
                <w:lang w:val="en-US" w:eastAsia="zh-CN"/>
              </w:rPr>
            </w:pPr>
            <w:r>
              <w:rPr>
                <w:kern w:val="2"/>
                <w:szCs w:val="21"/>
                <w:lang w:val="en-US" w:eastAsia="zh-CN"/>
              </w:rPr>
              <w:t>mg/m</w:t>
            </w:r>
            <w:r>
              <w:rPr>
                <w:kern w:val="2"/>
                <w:szCs w:val="21"/>
                <w:vertAlign w:val="superscript"/>
                <w:lang w:val="en-US" w:eastAsia="zh-CN"/>
              </w:rPr>
              <w:t>3</w:t>
            </w:r>
          </w:p>
        </w:tc>
        <w:tc>
          <w:tcPr>
            <w:tcW w:w="2792" w:type="dxa"/>
            <w:vAlign w:val="center"/>
          </w:tcPr>
          <w:p>
            <w:pPr>
              <w:pStyle w:val="26"/>
              <w:spacing w:line="240" w:lineRule="auto"/>
              <w:rPr>
                <w:kern w:val="2"/>
                <w:szCs w:val="21"/>
                <w:lang w:val="en-US" w:eastAsia="zh-CN"/>
              </w:rPr>
            </w:pPr>
            <w:r>
              <w:rPr>
                <w:rFonts w:hint="eastAsia"/>
                <w:kern w:val="2"/>
                <w:szCs w:val="21"/>
                <w:lang w:val="en-US" w:eastAsia="zh-CN"/>
              </w:rPr>
              <w:t>苏联居民区大气中有害物质的最大允许浓度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213" w:type="dxa"/>
            <w:vAlign w:val="center"/>
          </w:tcPr>
          <w:p>
            <w:pPr>
              <w:pStyle w:val="26"/>
              <w:rPr>
                <w:kern w:val="2"/>
                <w:szCs w:val="21"/>
                <w:lang w:val="en-US" w:eastAsia="zh-CN"/>
              </w:rPr>
            </w:pPr>
            <w:r>
              <w:rPr>
                <w:kern w:val="2"/>
                <w:szCs w:val="21"/>
                <w:lang w:val="en-US" w:eastAsia="zh-CN"/>
              </w:rPr>
              <w:t>NH</w:t>
            </w:r>
            <w:r>
              <w:rPr>
                <w:kern w:val="2"/>
                <w:szCs w:val="21"/>
                <w:vertAlign w:val="subscript"/>
                <w:lang w:val="en-US" w:eastAsia="zh-CN"/>
              </w:rPr>
              <w:t>3</w:t>
            </w:r>
          </w:p>
        </w:tc>
        <w:tc>
          <w:tcPr>
            <w:tcW w:w="920" w:type="dxa"/>
            <w:vAlign w:val="center"/>
          </w:tcPr>
          <w:p>
            <w:pPr>
              <w:pStyle w:val="26"/>
              <w:rPr>
                <w:kern w:val="2"/>
                <w:szCs w:val="21"/>
                <w:lang w:val="en-US" w:eastAsia="zh-CN"/>
              </w:rPr>
            </w:pPr>
            <w:r>
              <w:rPr>
                <w:kern w:val="2"/>
                <w:szCs w:val="21"/>
                <w:lang w:val="en-US" w:eastAsia="zh-CN"/>
              </w:rPr>
              <w:t>-</w:t>
            </w:r>
          </w:p>
        </w:tc>
        <w:tc>
          <w:tcPr>
            <w:tcW w:w="1365" w:type="dxa"/>
            <w:vAlign w:val="center"/>
          </w:tcPr>
          <w:p>
            <w:pPr>
              <w:pStyle w:val="26"/>
              <w:rPr>
                <w:kern w:val="2"/>
                <w:szCs w:val="21"/>
                <w:lang w:val="en-US" w:eastAsia="zh-CN"/>
              </w:rPr>
            </w:pPr>
            <w:r>
              <w:rPr>
                <w:kern w:val="2"/>
                <w:szCs w:val="21"/>
                <w:lang w:val="en-US" w:eastAsia="zh-CN"/>
              </w:rPr>
              <w:t>-</w:t>
            </w:r>
          </w:p>
        </w:tc>
        <w:tc>
          <w:tcPr>
            <w:tcW w:w="1560" w:type="dxa"/>
            <w:vAlign w:val="center"/>
          </w:tcPr>
          <w:p>
            <w:pPr>
              <w:pStyle w:val="26"/>
              <w:rPr>
                <w:kern w:val="2"/>
                <w:szCs w:val="21"/>
                <w:lang w:val="en-US" w:eastAsia="zh-CN"/>
              </w:rPr>
            </w:pPr>
            <w:r>
              <w:rPr>
                <w:kern w:val="2"/>
                <w:szCs w:val="21"/>
                <w:lang w:val="en-US" w:eastAsia="zh-CN"/>
              </w:rPr>
              <w:t>0.2(</w:t>
            </w:r>
            <w:r>
              <w:rPr>
                <w:rFonts w:hint="eastAsia"/>
                <w:kern w:val="2"/>
                <w:szCs w:val="21"/>
                <w:lang w:val="en-US" w:eastAsia="zh-CN"/>
              </w:rPr>
              <w:t>一次</w:t>
            </w:r>
            <w:r>
              <w:rPr>
                <w:kern w:val="2"/>
                <w:szCs w:val="21"/>
                <w:lang w:val="en-US" w:eastAsia="zh-CN"/>
              </w:rPr>
              <w:t>)</w:t>
            </w:r>
          </w:p>
        </w:tc>
        <w:tc>
          <w:tcPr>
            <w:tcW w:w="1004" w:type="dxa"/>
            <w:vMerge w:val="restart"/>
            <w:vAlign w:val="center"/>
          </w:tcPr>
          <w:p>
            <w:pPr>
              <w:pStyle w:val="26"/>
              <w:rPr>
                <w:kern w:val="2"/>
                <w:szCs w:val="21"/>
                <w:lang w:val="en-US" w:eastAsia="zh-CN"/>
              </w:rPr>
            </w:pPr>
            <w:r>
              <w:rPr>
                <w:kern w:val="2"/>
                <w:szCs w:val="21"/>
                <w:lang w:val="en-US" w:eastAsia="zh-CN"/>
              </w:rPr>
              <w:t>mg/m</w:t>
            </w:r>
            <w:r>
              <w:rPr>
                <w:kern w:val="2"/>
                <w:szCs w:val="21"/>
                <w:vertAlign w:val="superscript"/>
                <w:lang w:val="en-US" w:eastAsia="zh-CN"/>
              </w:rPr>
              <w:t>3</w:t>
            </w:r>
          </w:p>
        </w:tc>
        <w:tc>
          <w:tcPr>
            <w:tcW w:w="2792" w:type="dxa"/>
            <w:vMerge w:val="restart"/>
            <w:vAlign w:val="center"/>
          </w:tcPr>
          <w:p>
            <w:pPr>
              <w:pStyle w:val="26"/>
              <w:spacing w:line="240" w:lineRule="auto"/>
              <w:rPr>
                <w:kern w:val="2"/>
                <w:szCs w:val="21"/>
                <w:lang w:val="en-US" w:eastAsia="zh-CN"/>
              </w:rPr>
            </w:pPr>
            <w:r>
              <w:rPr>
                <w:rFonts w:hint="eastAsia"/>
                <w:kern w:val="2"/>
                <w:szCs w:val="21"/>
                <w:lang w:val="en-US" w:eastAsia="zh-CN"/>
              </w:rPr>
              <w:t>《工业企业设计卫生标准》（</w:t>
            </w:r>
            <w:r>
              <w:rPr>
                <w:kern w:val="2"/>
                <w:szCs w:val="21"/>
                <w:lang w:val="en-US" w:eastAsia="zh-CN"/>
              </w:rPr>
              <w:t>TJ36-79</w:t>
            </w: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213" w:type="dxa"/>
            <w:vAlign w:val="center"/>
          </w:tcPr>
          <w:p>
            <w:pPr>
              <w:pStyle w:val="26"/>
              <w:rPr>
                <w:kern w:val="2"/>
                <w:szCs w:val="21"/>
                <w:lang w:val="en-US" w:eastAsia="zh-CN"/>
              </w:rPr>
            </w:pPr>
            <w:r>
              <w:rPr>
                <w:kern w:val="2"/>
                <w:szCs w:val="21"/>
                <w:lang w:val="en-US" w:eastAsia="zh-CN"/>
              </w:rPr>
              <w:t>H</w:t>
            </w:r>
            <w:r>
              <w:rPr>
                <w:kern w:val="2"/>
                <w:szCs w:val="21"/>
                <w:vertAlign w:val="subscript"/>
                <w:lang w:val="en-US" w:eastAsia="zh-CN"/>
              </w:rPr>
              <w:t>2</w:t>
            </w:r>
            <w:r>
              <w:rPr>
                <w:kern w:val="2"/>
                <w:szCs w:val="21"/>
                <w:lang w:val="en-US" w:eastAsia="zh-CN"/>
              </w:rPr>
              <w:t>S</w:t>
            </w:r>
          </w:p>
        </w:tc>
        <w:tc>
          <w:tcPr>
            <w:tcW w:w="920" w:type="dxa"/>
            <w:vAlign w:val="center"/>
          </w:tcPr>
          <w:p>
            <w:pPr>
              <w:pStyle w:val="26"/>
              <w:rPr>
                <w:kern w:val="2"/>
                <w:szCs w:val="21"/>
                <w:lang w:val="en-US" w:eastAsia="zh-CN"/>
              </w:rPr>
            </w:pPr>
            <w:r>
              <w:rPr>
                <w:kern w:val="2"/>
                <w:szCs w:val="21"/>
                <w:lang w:val="en-US" w:eastAsia="zh-CN"/>
              </w:rPr>
              <w:t>-</w:t>
            </w:r>
          </w:p>
        </w:tc>
        <w:tc>
          <w:tcPr>
            <w:tcW w:w="1365" w:type="dxa"/>
            <w:vAlign w:val="center"/>
          </w:tcPr>
          <w:p>
            <w:pPr>
              <w:pStyle w:val="26"/>
              <w:rPr>
                <w:kern w:val="2"/>
                <w:szCs w:val="21"/>
                <w:lang w:val="en-US" w:eastAsia="zh-CN"/>
              </w:rPr>
            </w:pPr>
            <w:r>
              <w:rPr>
                <w:kern w:val="2"/>
                <w:szCs w:val="21"/>
                <w:lang w:val="en-US" w:eastAsia="zh-CN"/>
              </w:rPr>
              <w:t>-</w:t>
            </w:r>
          </w:p>
        </w:tc>
        <w:tc>
          <w:tcPr>
            <w:tcW w:w="1560" w:type="dxa"/>
            <w:vAlign w:val="center"/>
          </w:tcPr>
          <w:p>
            <w:pPr>
              <w:pStyle w:val="26"/>
              <w:rPr>
                <w:kern w:val="2"/>
                <w:szCs w:val="21"/>
                <w:lang w:val="en-US" w:eastAsia="zh-CN"/>
              </w:rPr>
            </w:pPr>
            <w:r>
              <w:rPr>
                <w:kern w:val="2"/>
                <w:szCs w:val="21"/>
                <w:lang w:val="en-US" w:eastAsia="zh-CN"/>
              </w:rPr>
              <w:t>0.01(</w:t>
            </w:r>
            <w:r>
              <w:rPr>
                <w:rFonts w:hint="eastAsia"/>
                <w:kern w:val="2"/>
                <w:szCs w:val="21"/>
                <w:lang w:val="en-US" w:eastAsia="zh-CN"/>
              </w:rPr>
              <w:t>一次</w:t>
            </w:r>
            <w:r>
              <w:rPr>
                <w:kern w:val="2"/>
                <w:szCs w:val="21"/>
                <w:lang w:val="en-US" w:eastAsia="zh-CN"/>
              </w:rPr>
              <w:t>)</w:t>
            </w:r>
          </w:p>
        </w:tc>
        <w:tc>
          <w:tcPr>
            <w:tcW w:w="1004" w:type="dxa"/>
            <w:vMerge w:val="continue"/>
            <w:vAlign w:val="center"/>
          </w:tcPr>
          <w:p>
            <w:pPr>
              <w:pStyle w:val="26"/>
              <w:rPr>
                <w:kern w:val="2"/>
                <w:szCs w:val="21"/>
                <w:lang w:val="en-US" w:eastAsia="zh-CN"/>
              </w:rPr>
            </w:pPr>
          </w:p>
        </w:tc>
        <w:tc>
          <w:tcPr>
            <w:tcW w:w="2792"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213" w:type="dxa"/>
            <w:vAlign w:val="center"/>
          </w:tcPr>
          <w:p>
            <w:pPr>
              <w:pStyle w:val="26"/>
              <w:rPr>
                <w:kern w:val="2"/>
                <w:szCs w:val="21"/>
                <w:lang w:val="en-US" w:eastAsia="zh-CN"/>
              </w:rPr>
            </w:pPr>
            <w:r>
              <w:rPr>
                <w:rFonts w:hint="eastAsia"/>
                <w:kern w:val="2"/>
                <w:szCs w:val="21"/>
                <w:lang w:val="en-US" w:eastAsia="zh-CN"/>
              </w:rPr>
              <w:t>TVOC</w:t>
            </w:r>
          </w:p>
        </w:tc>
        <w:tc>
          <w:tcPr>
            <w:tcW w:w="920" w:type="dxa"/>
            <w:vAlign w:val="center"/>
          </w:tcPr>
          <w:p>
            <w:pPr>
              <w:pStyle w:val="26"/>
              <w:rPr>
                <w:kern w:val="2"/>
                <w:szCs w:val="21"/>
                <w:lang w:val="en-US" w:eastAsia="zh-CN"/>
              </w:rPr>
            </w:pPr>
            <w:r>
              <w:rPr>
                <w:kern w:val="2"/>
                <w:szCs w:val="21"/>
                <w:lang w:val="en-US" w:eastAsia="zh-CN"/>
              </w:rPr>
              <w:t>-</w:t>
            </w:r>
          </w:p>
        </w:tc>
        <w:tc>
          <w:tcPr>
            <w:tcW w:w="1365" w:type="dxa"/>
            <w:vAlign w:val="center"/>
          </w:tcPr>
          <w:p>
            <w:pPr>
              <w:pStyle w:val="26"/>
              <w:rPr>
                <w:kern w:val="2"/>
                <w:szCs w:val="21"/>
                <w:lang w:val="en-US" w:eastAsia="zh-CN"/>
              </w:rPr>
            </w:pPr>
            <w:r>
              <w:rPr>
                <w:kern w:val="2"/>
                <w:szCs w:val="21"/>
                <w:lang w:val="en-US" w:eastAsia="zh-CN"/>
              </w:rPr>
              <w:t>-</w:t>
            </w:r>
          </w:p>
        </w:tc>
        <w:tc>
          <w:tcPr>
            <w:tcW w:w="1560" w:type="dxa"/>
            <w:vAlign w:val="center"/>
          </w:tcPr>
          <w:p>
            <w:pPr>
              <w:pStyle w:val="26"/>
              <w:rPr>
                <w:kern w:val="2"/>
                <w:szCs w:val="21"/>
                <w:lang w:val="en-US" w:eastAsia="zh-CN"/>
              </w:rPr>
            </w:pPr>
            <w:r>
              <w:rPr>
                <w:rFonts w:hint="eastAsia"/>
                <w:kern w:val="2"/>
                <w:szCs w:val="21"/>
                <w:lang w:val="en-US" w:eastAsia="zh-CN"/>
              </w:rPr>
              <w:t>0.6（8小时）</w:t>
            </w:r>
          </w:p>
        </w:tc>
        <w:tc>
          <w:tcPr>
            <w:tcW w:w="1004" w:type="dxa"/>
            <w:vAlign w:val="center"/>
          </w:tcPr>
          <w:p>
            <w:pPr>
              <w:pStyle w:val="26"/>
              <w:spacing w:line="240" w:lineRule="auto"/>
              <w:rPr>
                <w:kern w:val="2"/>
                <w:szCs w:val="21"/>
                <w:lang w:val="en-US" w:eastAsia="zh-CN"/>
              </w:rPr>
            </w:pPr>
            <w:r>
              <w:rPr>
                <w:kern w:val="2"/>
                <w:szCs w:val="21"/>
                <w:lang w:val="en-US" w:eastAsia="zh-CN"/>
              </w:rPr>
              <w:t>mg/m</w:t>
            </w:r>
            <w:r>
              <w:rPr>
                <w:kern w:val="2"/>
                <w:szCs w:val="21"/>
                <w:vertAlign w:val="superscript"/>
                <w:lang w:val="en-US" w:eastAsia="zh-CN"/>
              </w:rPr>
              <w:t>3</w:t>
            </w:r>
          </w:p>
        </w:tc>
        <w:tc>
          <w:tcPr>
            <w:tcW w:w="2792" w:type="dxa"/>
            <w:vAlign w:val="center"/>
          </w:tcPr>
          <w:p>
            <w:pPr>
              <w:pStyle w:val="26"/>
              <w:spacing w:line="240" w:lineRule="auto"/>
              <w:rPr>
                <w:kern w:val="2"/>
                <w:szCs w:val="21"/>
                <w:lang w:val="en-US" w:eastAsia="zh-CN"/>
              </w:rPr>
            </w:pPr>
            <w:r>
              <w:rPr>
                <w:kern w:val="2"/>
                <w:szCs w:val="21"/>
                <w:lang w:val="en-US" w:eastAsia="zh-CN"/>
              </w:rPr>
              <w:t>《室内空气质量标准》（GB/T 18883-2002）</w:t>
            </w:r>
          </w:p>
        </w:tc>
      </w:tr>
    </w:tbl>
    <w:p>
      <w:pPr>
        <w:ind w:firstLine="480"/>
      </w:pPr>
      <w:r>
        <w:t>2</w:t>
      </w:r>
      <w:r>
        <w:rPr>
          <w:rFonts w:hint="eastAsia"/>
        </w:rPr>
        <w:t>、地表水环境</w:t>
      </w:r>
    </w:p>
    <w:p>
      <w:pPr>
        <w:ind w:firstLine="480"/>
      </w:pPr>
      <w:r>
        <w:rPr>
          <w:rFonts w:hint="eastAsia"/>
        </w:rPr>
        <w:t>项目废水最终接纳水体为湘江，湘江执行《地表水环境质量标准》（</w:t>
      </w:r>
      <w:r>
        <w:t>GB3838-2002</w:t>
      </w:r>
      <w:r>
        <w:rPr>
          <w:rFonts w:hint="eastAsia"/>
        </w:rPr>
        <w:t>）中Ⅲ类水质标准，具体标准值见表</w:t>
      </w:r>
      <w:r>
        <w:t>2.3-2</w:t>
      </w:r>
      <w:r>
        <w:rPr>
          <w:rFonts w:hint="eastAsia"/>
        </w:rPr>
        <w:t>。</w:t>
      </w:r>
    </w:p>
    <w:p>
      <w:pPr>
        <w:pStyle w:val="25"/>
        <w:rPr>
          <w:b/>
          <w:bCs/>
        </w:rPr>
      </w:pPr>
      <w:r>
        <w:rPr>
          <w:rFonts w:hint="eastAsia"/>
          <w:b/>
          <w:bCs/>
        </w:rPr>
        <w:t>表</w:t>
      </w:r>
      <w:r>
        <w:rPr>
          <w:b/>
          <w:bCs/>
        </w:rPr>
        <w:t xml:space="preserve">2.3-2  </w:t>
      </w:r>
      <w:r>
        <w:rPr>
          <w:rFonts w:hint="eastAsia"/>
          <w:b/>
          <w:bCs/>
        </w:rPr>
        <w:t>地表水环境质量标准单位：</w:t>
      </w:r>
      <w:r>
        <w:rPr>
          <w:b/>
          <w:bCs/>
        </w:rPr>
        <w:t>mg/L</w:t>
      </w:r>
      <w:r>
        <w:rPr>
          <w:rFonts w:hint="eastAsia"/>
          <w:b/>
          <w:bCs/>
        </w:rPr>
        <w:t>（</w:t>
      </w:r>
      <w:r>
        <w:rPr>
          <w:b/>
          <w:bCs/>
        </w:rPr>
        <w:t>pH</w:t>
      </w:r>
      <w:r>
        <w:rPr>
          <w:rFonts w:hint="eastAsia"/>
          <w:b/>
          <w:bCs/>
        </w:rPr>
        <w:t>无量纲）</w:t>
      </w:r>
    </w:p>
    <w:tbl>
      <w:tblPr>
        <w:tblStyle w:val="23"/>
        <w:tblW w:w="96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4"/>
        <w:gridCol w:w="946"/>
        <w:gridCol w:w="947"/>
        <w:gridCol w:w="1056"/>
        <w:gridCol w:w="958"/>
        <w:gridCol w:w="974"/>
        <w:gridCol w:w="1138"/>
        <w:gridCol w:w="821"/>
        <w:gridCol w:w="822"/>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1184" w:type="dxa"/>
            <w:tcMar>
              <w:top w:w="15" w:type="dxa"/>
              <w:left w:w="15" w:type="dxa"/>
              <w:bottom w:w="0" w:type="dxa"/>
              <w:right w:w="15" w:type="dxa"/>
            </w:tcMar>
            <w:vAlign w:val="center"/>
          </w:tcPr>
          <w:p>
            <w:pPr>
              <w:pStyle w:val="25"/>
              <w:rPr>
                <w:kern w:val="2"/>
                <w:szCs w:val="21"/>
                <w:lang w:val="en-US" w:eastAsia="zh-CN"/>
              </w:rPr>
            </w:pPr>
            <w:r>
              <w:rPr>
                <w:rFonts w:hint="eastAsia"/>
                <w:kern w:val="2"/>
                <w:szCs w:val="21"/>
                <w:lang w:val="en-US" w:eastAsia="zh-CN"/>
              </w:rPr>
              <w:t>项目</w:t>
            </w:r>
          </w:p>
        </w:tc>
        <w:tc>
          <w:tcPr>
            <w:tcW w:w="946" w:type="dxa"/>
            <w:vAlign w:val="center"/>
          </w:tcPr>
          <w:p>
            <w:pPr>
              <w:pStyle w:val="25"/>
              <w:rPr>
                <w:kern w:val="2"/>
                <w:szCs w:val="21"/>
                <w:lang w:val="en-US" w:eastAsia="zh-CN"/>
              </w:rPr>
            </w:pPr>
            <w:r>
              <w:rPr>
                <w:rFonts w:hint="eastAsia"/>
                <w:kern w:val="2"/>
                <w:szCs w:val="21"/>
                <w:lang w:val="en-US" w:eastAsia="zh-CN"/>
              </w:rPr>
              <w:t>类别</w:t>
            </w:r>
          </w:p>
        </w:tc>
        <w:tc>
          <w:tcPr>
            <w:tcW w:w="947" w:type="dxa"/>
            <w:vAlign w:val="center"/>
          </w:tcPr>
          <w:p>
            <w:pPr>
              <w:pStyle w:val="25"/>
              <w:rPr>
                <w:kern w:val="2"/>
                <w:szCs w:val="21"/>
                <w:lang w:val="en-US" w:eastAsia="zh-CN"/>
              </w:rPr>
            </w:pPr>
            <w:r>
              <w:rPr>
                <w:kern w:val="2"/>
                <w:szCs w:val="21"/>
                <w:lang w:val="en-US" w:eastAsia="zh-CN"/>
              </w:rPr>
              <w:t>pH</w:t>
            </w:r>
          </w:p>
        </w:tc>
        <w:tc>
          <w:tcPr>
            <w:tcW w:w="1056" w:type="dxa"/>
            <w:vAlign w:val="center"/>
          </w:tcPr>
          <w:p>
            <w:pPr>
              <w:pStyle w:val="25"/>
              <w:rPr>
                <w:kern w:val="2"/>
                <w:szCs w:val="21"/>
                <w:lang w:val="en-US" w:eastAsia="zh-CN"/>
              </w:rPr>
            </w:pPr>
            <w:r>
              <w:rPr>
                <w:kern w:val="2"/>
                <w:szCs w:val="21"/>
                <w:lang w:val="en-US" w:eastAsia="zh-CN"/>
              </w:rPr>
              <w:t>COD</w:t>
            </w:r>
          </w:p>
        </w:tc>
        <w:tc>
          <w:tcPr>
            <w:tcW w:w="958" w:type="dxa"/>
            <w:vAlign w:val="center"/>
          </w:tcPr>
          <w:p>
            <w:pPr>
              <w:pStyle w:val="25"/>
              <w:rPr>
                <w:kern w:val="2"/>
                <w:szCs w:val="21"/>
                <w:lang w:val="en-US" w:eastAsia="zh-CN"/>
              </w:rPr>
            </w:pPr>
            <w:r>
              <w:rPr>
                <w:kern w:val="2"/>
                <w:szCs w:val="21"/>
                <w:lang w:val="en-US" w:eastAsia="zh-CN"/>
              </w:rPr>
              <w:t>BOD5</w:t>
            </w:r>
          </w:p>
        </w:tc>
        <w:tc>
          <w:tcPr>
            <w:tcW w:w="974" w:type="dxa"/>
            <w:vAlign w:val="center"/>
          </w:tcPr>
          <w:p>
            <w:pPr>
              <w:pStyle w:val="25"/>
              <w:rPr>
                <w:kern w:val="2"/>
                <w:szCs w:val="21"/>
                <w:lang w:val="en-US" w:eastAsia="zh-CN"/>
              </w:rPr>
            </w:pPr>
            <w:r>
              <w:rPr>
                <w:rFonts w:hint="eastAsia"/>
                <w:kern w:val="2"/>
                <w:szCs w:val="21"/>
                <w:lang w:val="en-US" w:eastAsia="zh-CN"/>
              </w:rPr>
              <w:t>氨氮</w:t>
            </w:r>
          </w:p>
        </w:tc>
        <w:tc>
          <w:tcPr>
            <w:tcW w:w="1138" w:type="dxa"/>
            <w:vAlign w:val="center"/>
          </w:tcPr>
          <w:p>
            <w:pPr>
              <w:pStyle w:val="25"/>
              <w:rPr>
                <w:kern w:val="2"/>
                <w:szCs w:val="21"/>
                <w:lang w:val="en-US" w:eastAsia="zh-CN"/>
              </w:rPr>
            </w:pPr>
            <w:r>
              <w:rPr>
                <w:rFonts w:hint="eastAsia"/>
                <w:kern w:val="2"/>
                <w:szCs w:val="21"/>
                <w:lang w:val="en-US" w:eastAsia="zh-CN"/>
              </w:rPr>
              <w:t>总磷</w:t>
            </w:r>
          </w:p>
        </w:tc>
        <w:tc>
          <w:tcPr>
            <w:tcW w:w="821" w:type="dxa"/>
            <w:vAlign w:val="center"/>
          </w:tcPr>
          <w:p>
            <w:pPr>
              <w:pStyle w:val="25"/>
              <w:rPr>
                <w:kern w:val="2"/>
                <w:szCs w:val="21"/>
                <w:lang w:val="en-US" w:eastAsia="zh-CN"/>
              </w:rPr>
            </w:pPr>
            <w:r>
              <w:rPr>
                <w:kern w:val="2"/>
                <w:szCs w:val="21"/>
                <w:lang w:val="en-US" w:eastAsia="zh-CN"/>
              </w:rPr>
              <w:t>DO</w:t>
            </w:r>
          </w:p>
        </w:tc>
        <w:tc>
          <w:tcPr>
            <w:tcW w:w="822" w:type="dxa"/>
            <w:vAlign w:val="center"/>
          </w:tcPr>
          <w:p>
            <w:pPr>
              <w:pStyle w:val="25"/>
              <w:rPr>
                <w:kern w:val="2"/>
                <w:szCs w:val="21"/>
                <w:lang w:val="en-US" w:eastAsia="zh-CN"/>
              </w:rPr>
            </w:pPr>
            <w:r>
              <w:rPr>
                <w:rFonts w:hint="eastAsia"/>
                <w:kern w:val="2"/>
                <w:szCs w:val="21"/>
                <w:lang w:val="en-US" w:eastAsia="zh-CN"/>
              </w:rPr>
              <w:t>石油类</w:t>
            </w:r>
          </w:p>
        </w:tc>
        <w:tc>
          <w:tcPr>
            <w:tcW w:w="822" w:type="dxa"/>
            <w:vAlign w:val="center"/>
          </w:tcPr>
          <w:p>
            <w:pPr>
              <w:pStyle w:val="25"/>
              <w:rPr>
                <w:kern w:val="2"/>
                <w:szCs w:val="21"/>
                <w:lang w:val="en-US" w:eastAsia="zh-CN"/>
              </w:rPr>
            </w:pPr>
            <w:r>
              <w:rPr>
                <w:kern w:val="2"/>
                <w:szCs w:val="21"/>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184" w:type="dxa"/>
            <w:tcMar>
              <w:top w:w="15" w:type="dxa"/>
              <w:left w:w="15" w:type="dxa"/>
              <w:bottom w:w="0" w:type="dxa"/>
              <w:right w:w="15" w:type="dxa"/>
            </w:tcMar>
            <w:vAlign w:val="center"/>
          </w:tcPr>
          <w:p>
            <w:pPr>
              <w:pStyle w:val="25"/>
              <w:rPr>
                <w:kern w:val="2"/>
                <w:szCs w:val="21"/>
                <w:lang w:val="en-US" w:eastAsia="zh-CN"/>
              </w:rPr>
            </w:pPr>
            <w:r>
              <w:rPr>
                <w:rFonts w:hint="eastAsia"/>
                <w:kern w:val="2"/>
                <w:szCs w:val="21"/>
                <w:lang w:val="en-US" w:eastAsia="zh-CN"/>
              </w:rPr>
              <w:t>标准值</w:t>
            </w:r>
          </w:p>
        </w:tc>
        <w:tc>
          <w:tcPr>
            <w:tcW w:w="946" w:type="dxa"/>
            <w:vAlign w:val="center"/>
          </w:tcPr>
          <w:p>
            <w:pPr>
              <w:pStyle w:val="25"/>
              <w:rPr>
                <w:kern w:val="2"/>
                <w:szCs w:val="21"/>
                <w:lang w:val="en-US" w:eastAsia="zh-CN"/>
              </w:rPr>
            </w:pPr>
            <w:r>
              <w:rPr>
                <w:rFonts w:hint="eastAsia"/>
                <w:kern w:val="2"/>
                <w:szCs w:val="21"/>
                <w:lang w:val="en-US" w:eastAsia="zh-CN"/>
              </w:rPr>
              <w:t>Ⅲ</w:t>
            </w:r>
          </w:p>
        </w:tc>
        <w:tc>
          <w:tcPr>
            <w:tcW w:w="947" w:type="dxa"/>
            <w:vAlign w:val="center"/>
          </w:tcPr>
          <w:p>
            <w:pPr>
              <w:pStyle w:val="25"/>
              <w:rPr>
                <w:kern w:val="2"/>
                <w:szCs w:val="21"/>
                <w:lang w:val="en-US" w:eastAsia="zh-CN"/>
              </w:rPr>
            </w:pPr>
            <w:r>
              <w:rPr>
                <w:kern w:val="2"/>
                <w:szCs w:val="21"/>
                <w:lang w:val="en-US" w:eastAsia="zh-CN"/>
              </w:rPr>
              <w:t>6</w:t>
            </w:r>
            <w:r>
              <w:rPr>
                <w:rFonts w:hint="eastAsia"/>
                <w:kern w:val="2"/>
                <w:szCs w:val="21"/>
                <w:lang w:val="en-US" w:eastAsia="zh-CN"/>
              </w:rPr>
              <w:t>～</w:t>
            </w:r>
            <w:r>
              <w:rPr>
                <w:kern w:val="2"/>
                <w:szCs w:val="21"/>
                <w:lang w:val="en-US" w:eastAsia="zh-CN"/>
              </w:rPr>
              <w:t>9</w:t>
            </w:r>
          </w:p>
        </w:tc>
        <w:tc>
          <w:tcPr>
            <w:tcW w:w="1056" w:type="dxa"/>
            <w:vAlign w:val="center"/>
          </w:tcPr>
          <w:p>
            <w:pPr>
              <w:pStyle w:val="25"/>
              <w:rPr>
                <w:kern w:val="2"/>
                <w:szCs w:val="21"/>
                <w:lang w:val="en-US" w:eastAsia="zh-CN"/>
              </w:rPr>
            </w:pPr>
            <w:r>
              <w:rPr>
                <w:kern w:val="2"/>
                <w:szCs w:val="21"/>
                <w:lang w:val="en-US" w:eastAsia="zh-CN"/>
              </w:rPr>
              <w:t>≤20</w:t>
            </w:r>
          </w:p>
        </w:tc>
        <w:tc>
          <w:tcPr>
            <w:tcW w:w="958" w:type="dxa"/>
            <w:vAlign w:val="center"/>
          </w:tcPr>
          <w:p>
            <w:pPr>
              <w:pStyle w:val="25"/>
              <w:rPr>
                <w:kern w:val="2"/>
                <w:szCs w:val="21"/>
                <w:lang w:val="en-US" w:eastAsia="zh-CN"/>
              </w:rPr>
            </w:pPr>
            <w:r>
              <w:rPr>
                <w:kern w:val="2"/>
                <w:szCs w:val="21"/>
                <w:lang w:val="en-US" w:eastAsia="zh-CN"/>
              </w:rPr>
              <w:t>≤4</w:t>
            </w:r>
          </w:p>
        </w:tc>
        <w:tc>
          <w:tcPr>
            <w:tcW w:w="974" w:type="dxa"/>
            <w:vAlign w:val="center"/>
          </w:tcPr>
          <w:p>
            <w:pPr>
              <w:pStyle w:val="25"/>
              <w:rPr>
                <w:kern w:val="2"/>
                <w:szCs w:val="21"/>
                <w:lang w:val="en-US" w:eastAsia="zh-CN"/>
              </w:rPr>
            </w:pPr>
            <w:r>
              <w:rPr>
                <w:kern w:val="2"/>
                <w:szCs w:val="21"/>
                <w:lang w:val="en-US" w:eastAsia="zh-CN"/>
              </w:rPr>
              <w:t>≤1.0</w:t>
            </w:r>
          </w:p>
        </w:tc>
        <w:tc>
          <w:tcPr>
            <w:tcW w:w="1138" w:type="dxa"/>
            <w:vAlign w:val="center"/>
          </w:tcPr>
          <w:p>
            <w:pPr>
              <w:pStyle w:val="25"/>
              <w:rPr>
                <w:kern w:val="2"/>
                <w:szCs w:val="21"/>
                <w:lang w:val="en-US" w:eastAsia="zh-CN"/>
              </w:rPr>
            </w:pPr>
            <w:r>
              <w:rPr>
                <w:kern w:val="2"/>
                <w:szCs w:val="21"/>
                <w:lang w:val="en-US" w:eastAsia="zh-CN"/>
              </w:rPr>
              <w:t>≤0. 2</w:t>
            </w:r>
          </w:p>
        </w:tc>
        <w:tc>
          <w:tcPr>
            <w:tcW w:w="821" w:type="dxa"/>
            <w:vAlign w:val="center"/>
          </w:tcPr>
          <w:p>
            <w:pPr>
              <w:pStyle w:val="25"/>
              <w:rPr>
                <w:kern w:val="2"/>
                <w:szCs w:val="21"/>
                <w:lang w:val="en-US" w:eastAsia="zh-CN"/>
              </w:rPr>
            </w:pPr>
            <w:r>
              <w:rPr>
                <w:kern w:val="2"/>
                <w:szCs w:val="21"/>
                <w:lang w:val="en-US" w:eastAsia="zh-CN"/>
              </w:rPr>
              <w:t>≥5</w:t>
            </w:r>
          </w:p>
        </w:tc>
        <w:tc>
          <w:tcPr>
            <w:tcW w:w="822" w:type="dxa"/>
            <w:vAlign w:val="center"/>
          </w:tcPr>
          <w:p>
            <w:pPr>
              <w:pStyle w:val="25"/>
              <w:rPr>
                <w:kern w:val="2"/>
                <w:szCs w:val="21"/>
                <w:lang w:val="en-US" w:eastAsia="zh-CN"/>
              </w:rPr>
            </w:pPr>
            <w:r>
              <w:rPr>
                <w:kern w:val="2"/>
                <w:szCs w:val="21"/>
                <w:lang w:val="en-US" w:eastAsia="zh-CN"/>
              </w:rPr>
              <w:t>≤0.05</w:t>
            </w:r>
          </w:p>
        </w:tc>
        <w:tc>
          <w:tcPr>
            <w:tcW w:w="822" w:type="dxa"/>
            <w:vAlign w:val="center"/>
          </w:tcPr>
          <w:p>
            <w:pPr>
              <w:pStyle w:val="25"/>
              <w:rPr>
                <w:kern w:val="2"/>
                <w:szCs w:val="21"/>
                <w:lang w:val="en-US" w:eastAsia="zh-CN"/>
              </w:rPr>
            </w:pPr>
            <w:r>
              <w:rPr>
                <w:kern w:val="2"/>
                <w:szCs w:val="21"/>
                <w:lang w:val="en-US" w:eastAsia="zh-CN"/>
              </w:rPr>
              <w:t>/</w:t>
            </w:r>
          </w:p>
        </w:tc>
      </w:tr>
    </w:tbl>
    <w:p>
      <w:pPr>
        <w:ind w:firstLine="480"/>
      </w:pPr>
      <w:r>
        <w:t>3</w:t>
      </w:r>
      <w:r>
        <w:rPr>
          <w:rFonts w:hint="eastAsia"/>
        </w:rPr>
        <w:t>、地下水环境质量标准</w:t>
      </w:r>
    </w:p>
    <w:p>
      <w:pPr>
        <w:ind w:firstLine="480"/>
      </w:pPr>
      <w:r>
        <w:rPr>
          <w:rFonts w:hint="eastAsia"/>
        </w:rPr>
        <w:t>项目所在区域地下水参照执行《地下水质量标准》（</w:t>
      </w:r>
      <w:r>
        <w:t>GB/T14848-93</w:t>
      </w:r>
      <w:r>
        <w:rPr>
          <w:rFonts w:hint="eastAsia"/>
        </w:rPr>
        <w:t>）中的</w:t>
      </w:r>
      <w:r>
        <w:fldChar w:fldCharType="begin"/>
      </w:r>
      <w:r>
        <w:instrText xml:space="preserve"> = 3 \* ROMAN </w:instrText>
      </w:r>
      <w:r>
        <w:fldChar w:fldCharType="separate"/>
      </w:r>
      <w:r>
        <w:t>III</w:t>
      </w:r>
      <w:r>
        <w:fldChar w:fldCharType="end"/>
      </w:r>
      <w:r>
        <w:rPr>
          <w:rFonts w:hint="eastAsia"/>
        </w:rPr>
        <w:t>类标准，标准限值见表</w:t>
      </w:r>
      <w:r>
        <w:t>2.3-3</w:t>
      </w:r>
      <w:r>
        <w:rPr>
          <w:rFonts w:hint="eastAsia"/>
        </w:rPr>
        <w:t>。</w:t>
      </w:r>
    </w:p>
    <w:p>
      <w:pPr>
        <w:pStyle w:val="26"/>
        <w:rPr>
          <w:b/>
          <w:bCs/>
        </w:rPr>
      </w:pPr>
      <w:r>
        <w:rPr>
          <w:rFonts w:hint="eastAsia"/>
          <w:b/>
          <w:bCs/>
        </w:rPr>
        <w:t>表</w:t>
      </w:r>
      <w:r>
        <w:rPr>
          <w:b/>
          <w:bCs/>
        </w:rPr>
        <w:t xml:space="preserve">2.3-3  </w:t>
      </w:r>
      <w:r>
        <w:rPr>
          <w:rFonts w:hint="eastAsia"/>
          <w:b/>
          <w:bCs/>
        </w:rPr>
        <w:t>地下水质量分类指标（单位：除</w:t>
      </w:r>
      <w:r>
        <w:rPr>
          <w:b/>
          <w:bCs/>
        </w:rPr>
        <w:t xml:space="preserve">pH </w:t>
      </w:r>
      <w:r>
        <w:rPr>
          <w:rFonts w:hint="eastAsia"/>
          <w:b/>
          <w:bCs/>
        </w:rPr>
        <w:t>外</w:t>
      </w:r>
      <w:r>
        <w:rPr>
          <w:b/>
          <w:bCs/>
        </w:rPr>
        <w:t>mg/L</w:t>
      </w:r>
      <w:r>
        <w:rPr>
          <w:rFonts w:hint="eastAsia"/>
          <w:b/>
          <w:bCs/>
        </w:rPr>
        <w:t>）</w:t>
      </w:r>
    </w:p>
    <w:tbl>
      <w:tblPr>
        <w:tblStyle w:val="23"/>
        <w:tblW w:w="96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7"/>
        <w:gridCol w:w="1139"/>
        <w:gridCol w:w="1141"/>
        <w:gridCol w:w="1273"/>
        <w:gridCol w:w="1154"/>
        <w:gridCol w:w="1174"/>
        <w:gridCol w:w="1371"/>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1427" w:type="dxa"/>
            <w:tcMar>
              <w:top w:w="15" w:type="dxa"/>
              <w:left w:w="15" w:type="dxa"/>
              <w:bottom w:w="0" w:type="dxa"/>
              <w:right w:w="15" w:type="dxa"/>
            </w:tcMar>
            <w:vAlign w:val="center"/>
          </w:tcPr>
          <w:p>
            <w:pPr>
              <w:pStyle w:val="25"/>
              <w:rPr>
                <w:kern w:val="2"/>
                <w:szCs w:val="21"/>
                <w:lang w:val="en-US" w:eastAsia="zh-CN"/>
              </w:rPr>
            </w:pPr>
            <w:r>
              <w:rPr>
                <w:rFonts w:hint="eastAsia"/>
                <w:kern w:val="2"/>
                <w:szCs w:val="21"/>
                <w:lang w:val="en-US" w:eastAsia="zh-CN"/>
              </w:rPr>
              <w:t>项目</w:t>
            </w:r>
          </w:p>
        </w:tc>
        <w:tc>
          <w:tcPr>
            <w:tcW w:w="1139" w:type="dxa"/>
            <w:vAlign w:val="center"/>
          </w:tcPr>
          <w:p>
            <w:pPr>
              <w:pStyle w:val="25"/>
              <w:rPr>
                <w:kern w:val="2"/>
                <w:szCs w:val="21"/>
                <w:lang w:val="en-US" w:eastAsia="zh-CN"/>
              </w:rPr>
            </w:pPr>
            <w:r>
              <w:rPr>
                <w:kern w:val="2"/>
                <w:szCs w:val="21"/>
                <w:lang w:val="en-US" w:eastAsia="zh-CN"/>
              </w:rPr>
              <w:t>pH</w:t>
            </w:r>
          </w:p>
        </w:tc>
        <w:tc>
          <w:tcPr>
            <w:tcW w:w="1141" w:type="dxa"/>
            <w:vAlign w:val="center"/>
          </w:tcPr>
          <w:p>
            <w:pPr>
              <w:pStyle w:val="25"/>
              <w:rPr>
                <w:kern w:val="2"/>
                <w:szCs w:val="21"/>
                <w:lang w:val="en-US" w:eastAsia="zh-CN"/>
              </w:rPr>
            </w:pPr>
            <w:r>
              <w:rPr>
                <w:rFonts w:hint="eastAsia"/>
                <w:kern w:val="2"/>
                <w:szCs w:val="21"/>
                <w:lang w:val="en-US" w:eastAsia="zh-CN"/>
              </w:rPr>
              <w:t>氨氮</w:t>
            </w:r>
            <w:r>
              <w:rPr>
                <w:kern w:val="2"/>
                <w:szCs w:val="21"/>
                <w:lang w:val="en-US" w:eastAsia="zh-CN"/>
              </w:rPr>
              <w:t>≤</w:t>
            </w:r>
          </w:p>
        </w:tc>
        <w:tc>
          <w:tcPr>
            <w:tcW w:w="1273" w:type="dxa"/>
            <w:vAlign w:val="center"/>
          </w:tcPr>
          <w:p>
            <w:pPr>
              <w:pStyle w:val="25"/>
              <w:rPr>
                <w:kern w:val="2"/>
                <w:szCs w:val="21"/>
                <w:lang w:val="en-US" w:eastAsia="zh-CN"/>
              </w:rPr>
            </w:pPr>
            <w:r>
              <w:rPr>
                <w:rFonts w:hint="eastAsia"/>
                <w:kern w:val="2"/>
                <w:szCs w:val="21"/>
                <w:lang w:val="en-US" w:eastAsia="zh-CN"/>
              </w:rPr>
              <w:t>挥发性酚类</w:t>
            </w:r>
            <w:r>
              <w:rPr>
                <w:kern w:val="2"/>
                <w:szCs w:val="21"/>
                <w:lang w:val="en-US" w:eastAsia="zh-CN"/>
              </w:rPr>
              <w:t>≤</w:t>
            </w:r>
          </w:p>
        </w:tc>
        <w:tc>
          <w:tcPr>
            <w:tcW w:w="1154" w:type="dxa"/>
            <w:vAlign w:val="center"/>
          </w:tcPr>
          <w:p>
            <w:pPr>
              <w:pStyle w:val="25"/>
              <w:rPr>
                <w:kern w:val="2"/>
                <w:szCs w:val="21"/>
                <w:lang w:val="en-US" w:eastAsia="zh-CN"/>
              </w:rPr>
            </w:pPr>
            <w:r>
              <w:rPr>
                <w:rFonts w:hint="eastAsia"/>
                <w:kern w:val="2"/>
                <w:szCs w:val="21"/>
                <w:lang w:val="en-US" w:eastAsia="zh-CN"/>
              </w:rPr>
              <w:t>氰化物</w:t>
            </w:r>
            <w:r>
              <w:rPr>
                <w:kern w:val="2"/>
                <w:szCs w:val="21"/>
                <w:lang w:val="en-US" w:eastAsia="zh-CN"/>
              </w:rPr>
              <w:t>≤</w:t>
            </w:r>
          </w:p>
        </w:tc>
        <w:tc>
          <w:tcPr>
            <w:tcW w:w="1174" w:type="dxa"/>
            <w:vAlign w:val="center"/>
          </w:tcPr>
          <w:p>
            <w:pPr>
              <w:pStyle w:val="25"/>
              <w:rPr>
                <w:kern w:val="2"/>
                <w:szCs w:val="21"/>
                <w:lang w:val="en-US" w:eastAsia="zh-CN"/>
              </w:rPr>
            </w:pPr>
            <w:r>
              <w:rPr>
                <w:rFonts w:hint="eastAsia"/>
                <w:kern w:val="2"/>
                <w:szCs w:val="21"/>
                <w:lang w:val="en-US" w:eastAsia="zh-CN"/>
              </w:rPr>
              <w:t>总硬度</w:t>
            </w:r>
            <w:r>
              <w:rPr>
                <w:kern w:val="2"/>
                <w:szCs w:val="21"/>
                <w:lang w:val="en-US" w:eastAsia="zh-CN"/>
              </w:rPr>
              <w:t>≤</w:t>
            </w:r>
          </w:p>
        </w:tc>
        <w:tc>
          <w:tcPr>
            <w:tcW w:w="1371" w:type="dxa"/>
            <w:vAlign w:val="center"/>
          </w:tcPr>
          <w:p>
            <w:pPr>
              <w:pStyle w:val="25"/>
              <w:rPr>
                <w:kern w:val="2"/>
                <w:szCs w:val="21"/>
                <w:lang w:val="en-US" w:eastAsia="zh-CN"/>
              </w:rPr>
            </w:pPr>
            <w:r>
              <w:rPr>
                <w:rFonts w:hint="eastAsia"/>
                <w:kern w:val="2"/>
                <w:szCs w:val="21"/>
                <w:lang w:val="en-US" w:eastAsia="zh-CN"/>
              </w:rPr>
              <w:t>镉</w:t>
            </w:r>
            <w:r>
              <w:rPr>
                <w:kern w:val="2"/>
                <w:szCs w:val="21"/>
                <w:lang w:val="en-US" w:eastAsia="zh-CN"/>
              </w:rPr>
              <w:t>≤</w:t>
            </w:r>
          </w:p>
        </w:tc>
        <w:tc>
          <w:tcPr>
            <w:tcW w:w="989" w:type="dxa"/>
            <w:vAlign w:val="center"/>
          </w:tcPr>
          <w:p>
            <w:pPr>
              <w:pStyle w:val="25"/>
              <w:rPr>
                <w:kern w:val="2"/>
                <w:szCs w:val="21"/>
                <w:lang w:val="en-US" w:eastAsia="zh-CN"/>
              </w:rPr>
            </w:pPr>
            <w:r>
              <w:rPr>
                <w:rFonts w:hint="eastAsia"/>
                <w:kern w:val="2"/>
                <w:szCs w:val="21"/>
                <w:lang w:val="en-US" w:eastAsia="zh-CN"/>
              </w:rPr>
              <w:t>锰</w:t>
            </w: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27" w:type="dxa"/>
            <w:tcMar>
              <w:top w:w="15" w:type="dxa"/>
              <w:left w:w="15" w:type="dxa"/>
              <w:bottom w:w="0" w:type="dxa"/>
              <w:right w:w="15" w:type="dxa"/>
            </w:tcMar>
            <w:vAlign w:val="center"/>
          </w:tcPr>
          <w:p>
            <w:pPr>
              <w:pStyle w:val="25"/>
              <w:rPr>
                <w:kern w:val="2"/>
                <w:szCs w:val="21"/>
                <w:lang w:val="en-US" w:eastAsia="zh-CN"/>
              </w:rPr>
            </w:pPr>
            <w:r>
              <w:rPr>
                <w:rFonts w:hint="eastAsia"/>
                <w:kern w:val="2"/>
                <w:szCs w:val="21"/>
                <w:lang w:val="en-US" w:eastAsia="zh-CN"/>
              </w:rPr>
              <w:t>标准值</w:t>
            </w:r>
          </w:p>
        </w:tc>
        <w:tc>
          <w:tcPr>
            <w:tcW w:w="1139" w:type="dxa"/>
            <w:vAlign w:val="center"/>
          </w:tcPr>
          <w:p>
            <w:pPr>
              <w:pStyle w:val="25"/>
              <w:rPr>
                <w:kern w:val="2"/>
                <w:szCs w:val="21"/>
                <w:lang w:val="en-US" w:eastAsia="zh-CN"/>
              </w:rPr>
            </w:pPr>
            <w:r>
              <w:rPr>
                <w:kern w:val="2"/>
                <w:szCs w:val="21"/>
                <w:lang w:val="en-US" w:eastAsia="zh-CN"/>
              </w:rPr>
              <w:t>6.5</w:t>
            </w:r>
            <w:r>
              <w:rPr>
                <w:rFonts w:hint="eastAsia"/>
                <w:kern w:val="2"/>
                <w:szCs w:val="21"/>
                <w:lang w:val="en-US" w:eastAsia="zh-CN"/>
              </w:rPr>
              <w:t>～</w:t>
            </w:r>
            <w:r>
              <w:rPr>
                <w:kern w:val="2"/>
                <w:szCs w:val="21"/>
                <w:lang w:val="en-US" w:eastAsia="zh-CN"/>
              </w:rPr>
              <w:t>8.5</w:t>
            </w:r>
          </w:p>
        </w:tc>
        <w:tc>
          <w:tcPr>
            <w:tcW w:w="1141" w:type="dxa"/>
            <w:vAlign w:val="center"/>
          </w:tcPr>
          <w:p>
            <w:pPr>
              <w:pStyle w:val="25"/>
              <w:rPr>
                <w:kern w:val="2"/>
                <w:szCs w:val="21"/>
                <w:lang w:val="en-US" w:eastAsia="zh-CN"/>
              </w:rPr>
            </w:pPr>
            <w:r>
              <w:rPr>
                <w:kern w:val="2"/>
                <w:szCs w:val="21"/>
                <w:lang w:val="en-US" w:eastAsia="zh-CN"/>
              </w:rPr>
              <w:t>0.2</w:t>
            </w:r>
          </w:p>
        </w:tc>
        <w:tc>
          <w:tcPr>
            <w:tcW w:w="1273" w:type="dxa"/>
            <w:vAlign w:val="center"/>
          </w:tcPr>
          <w:p>
            <w:pPr>
              <w:pStyle w:val="25"/>
              <w:rPr>
                <w:kern w:val="2"/>
                <w:szCs w:val="21"/>
                <w:lang w:val="en-US" w:eastAsia="zh-CN"/>
              </w:rPr>
            </w:pPr>
            <w:r>
              <w:rPr>
                <w:kern w:val="2"/>
                <w:szCs w:val="21"/>
                <w:lang w:val="en-US" w:eastAsia="zh-CN"/>
              </w:rPr>
              <w:t>0.002</w:t>
            </w:r>
          </w:p>
        </w:tc>
        <w:tc>
          <w:tcPr>
            <w:tcW w:w="1154" w:type="dxa"/>
            <w:vAlign w:val="center"/>
          </w:tcPr>
          <w:p>
            <w:pPr>
              <w:pStyle w:val="25"/>
              <w:rPr>
                <w:kern w:val="2"/>
                <w:szCs w:val="21"/>
                <w:lang w:val="en-US" w:eastAsia="zh-CN"/>
              </w:rPr>
            </w:pPr>
            <w:r>
              <w:rPr>
                <w:kern w:val="2"/>
                <w:szCs w:val="21"/>
                <w:lang w:val="en-US" w:eastAsia="zh-CN"/>
              </w:rPr>
              <w:t>0.05</w:t>
            </w:r>
          </w:p>
        </w:tc>
        <w:tc>
          <w:tcPr>
            <w:tcW w:w="1174" w:type="dxa"/>
            <w:vAlign w:val="center"/>
          </w:tcPr>
          <w:p>
            <w:pPr>
              <w:pStyle w:val="25"/>
              <w:rPr>
                <w:kern w:val="2"/>
                <w:szCs w:val="21"/>
                <w:lang w:val="en-US" w:eastAsia="zh-CN"/>
              </w:rPr>
            </w:pPr>
            <w:r>
              <w:rPr>
                <w:kern w:val="2"/>
                <w:szCs w:val="21"/>
                <w:lang w:val="en-US" w:eastAsia="zh-CN"/>
              </w:rPr>
              <w:t>450</w:t>
            </w:r>
          </w:p>
        </w:tc>
        <w:tc>
          <w:tcPr>
            <w:tcW w:w="1371" w:type="dxa"/>
            <w:vAlign w:val="center"/>
          </w:tcPr>
          <w:p>
            <w:pPr>
              <w:pStyle w:val="25"/>
              <w:rPr>
                <w:kern w:val="2"/>
                <w:szCs w:val="21"/>
                <w:lang w:val="en-US" w:eastAsia="zh-CN"/>
              </w:rPr>
            </w:pPr>
            <w:r>
              <w:rPr>
                <w:kern w:val="2"/>
                <w:szCs w:val="21"/>
                <w:lang w:val="en-US" w:eastAsia="zh-CN"/>
              </w:rPr>
              <w:t>0.01</w:t>
            </w:r>
          </w:p>
        </w:tc>
        <w:tc>
          <w:tcPr>
            <w:tcW w:w="989" w:type="dxa"/>
            <w:vAlign w:val="center"/>
          </w:tcPr>
          <w:p>
            <w:pPr>
              <w:pStyle w:val="25"/>
              <w:rPr>
                <w:kern w:val="2"/>
                <w:szCs w:val="21"/>
                <w:lang w:val="en-US" w:eastAsia="zh-CN"/>
              </w:rPr>
            </w:pPr>
            <w:r>
              <w:rPr>
                <w:kern w:val="2"/>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27" w:type="dxa"/>
            <w:tcMar>
              <w:top w:w="15" w:type="dxa"/>
              <w:left w:w="15" w:type="dxa"/>
              <w:bottom w:w="0" w:type="dxa"/>
              <w:right w:w="15" w:type="dxa"/>
            </w:tcMar>
            <w:vAlign w:val="center"/>
          </w:tcPr>
          <w:p>
            <w:pPr>
              <w:pStyle w:val="25"/>
              <w:rPr>
                <w:kern w:val="2"/>
                <w:szCs w:val="21"/>
                <w:lang w:val="en-US" w:eastAsia="zh-CN"/>
              </w:rPr>
            </w:pPr>
            <w:r>
              <w:rPr>
                <w:rFonts w:hint="eastAsia"/>
                <w:kern w:val="2"/>
                <w:szCs w:val="21"/>
                <w:lang w:val="en-US" w:eastAsia="zh-CN"/>
              </w:rPr>
              <w:t>项目</w:t>
            </w:r>
          </w:p>
        </w:tc>
        <w:tc>
          <w:tcPr>
            <w:tcW w:w="2280" w:type="dxa"/>
            <w:gridSpan w:val="2"/>
            <w:vAlign w:val="center"/>
          </w:tcPr>
          <w:p>
            <w:pPr>
              <w:pStyle w:val="25"/>
              <w:rPr>
                <w:kern w:val="2"/>
                <w:szCs w:val="21"/>
                <w:lang w:val="en-US" w:eastAsia="zh-CN"/>
              </w:rPr>
            </w:pPr>
            <w:r>
              <w:rPr>
                <w:rFonts w:hint="eastAsia"/>
                <w:kern w:val="2"/>
                <w:szCs w:val="21"/>
                <w:lang w:val="en-US" w:eastAsia="zh-CN"/>
              </w:rPr>
              <w:t>高锰酸盐指数</w:t>
            </w:r>
            <w:r>
              <w:rPr>
                <w:kern w:val="2"/>
                <w:szCs w:val="21"/>
                <w:lang w:val="en-US" w:eastAsia="zh-CN"/>
              </w:rPr>
              <w:t>≤</w:t>
            </w:r>
          </w:p>
        </w:tc>
        <w:tc>
          <w:tcPr>
            <w:tcW w:w="1273" w:type="dxa"/>
            <w:vAlign w:val="center"/>
          </w:tcPr>
          <w:p>
            <w:pPr>
              <w:pStyle w:val="25"/>
              <w:rPr>
                <w:kern w:val="2"/>
                <w:szCs w:val="21"/>
                <w:lang w:val="en-US" w:eastAsia="zh-CN"/>
              </w:rPr>
            </w:pPr>
            <w:r>
              <w:rPr>
                <w:rFonts w:hint="eastAsia"/>
                <w:kern w:val="2"/>
                <w:szCs w:val="21"/>
                <w:lang w:val="en-US" w:eastAsia="zh-CN"/>
              </w:rPr>
              <w:t>硫酸盐</w:t>
            </w:r>
            <w:r>
              <w:rPr>
                <w:kern w:val="2"/>
                <w:szCs w:val="21"/>
                <w:lang w:val="en-US" w:eastAsia="zh-CN"/>
              </w:rPr>
              <w:t>≤</w:t>
            </w:r>
          </w:p>
        </w:tc>
        <w:tc>
          <w:tcPr>
            <w:tcW w:w="1154" w:type="dxa"/>
            <w:vAlign w:val="center"/>
          </w:tcPr>
          <w:p>
            <w:pPr>
              <w:pStyle w:val="25"/>
              <w:rPr>
                <w:kern w:val="2"/>
                <w:szCs w:val="21"/>
                <w:lang w:val="en-US" w:eastAsia="zh-CN"/>
              </w:rPr>
            </w:pPr>
            <w:r>
              <w:rPr>
                <w:rFonts w:hint="eastAsia"/>
                <w:kern w:val="2"/>
                <w:szCs w:val="21"/>
                <w:lang w:val="en-US" w:eastAsia="zh-CN"/>
              </w:rPr>
              <w:t>氯化物</w:t>
            </w:r>
            <w:r>
              <w:rPr>
                <w:kern w:val="2"/>
                <w:szCs w:val="21"/>
                <w:lang w:val="en-US" w:eastAsia="zh-CN"/>
              </w:rPr>
              <w:t>≤</w:t>
            </w:r>
          </w:p>
        </w:tc>
        <w:tc>
          <w:tcPr>
            <w:tcW w:w="1174" w:type="dxa"/>
            <w:vAlign w:val="center"/>
          </w:tcPr>
          <w:p>
            <w:pPr>
              <w:pStyle w:val="25"/>
              <w:rPr>
                <w:kern w:val="2"/>
                <w:szCs w:val="21"/>
                <w:lang w:val="en-US" w:eastAsia="zh-CN"/>
              </w:rPr>
            </w:pPr>
            <w:r>
              <w:rPr>
                <w:rFonts w:hint="eastAsia"/>
                <w:kern w:val="2"/>
                <w:szCs w:val="21"/>
                <w:lang w:val="en-US" w:eastAsia="zh-CN"/>
              </w:rPr>
              <w:t>镍</w:t>
            </w:r>
            <w:r>
              <w:rPr>
                <w:kern w:val="2"/>
                <w:szCs w:val="21"/>
                <w:lang w:val="en-US" w:eastAsia="zh-CN"/>
              </w:rPr>
              <w:t>≤</w:t>
            </w:r>
          </w:p>
        </w:tc>
        <w:tc>
          <w:tcPr>
            <w:tcW w:w="1371" w:type="dxa"/>
            <w:vAlign w:val="center"/>
          </w:tcPr>
          <w:p>
            <w:pPr>
              <w:pStyle w:val="25"/>
              <w:rPr>
                <w:kern w:val="2"/>
                <w:szCs w:val="21"/>
                <w:lang w:val="en-US" w:eastAsia="zh-CN"/>
              </w:rPr>
            </w:pPr>
            <w:r>
              <w:rPr>
                <w:rFonts w:hint="eastAsia"/>
                <w:kern w:val="2"/>
                <w:szCs w:val="21"/>
                <w:lang w:val="en-US" w:eastAsia="zh-CN"/>
              </w:rPr>
              <w:t>六价铬</w:t>
            </w:r>
            <w:r>
              <w:rPr>
                <w:kern w:val="2"/>
                <w:szCs w:val="21"/>
                <w:lang w:val="en-US" w:eastAsia="zh-CN"/>
              </w:rPr>
              <w:t>≤</w:t>
            </w:r>
          </w:p>
        </w:tc>
        <w:tc>
          <w:tcPr>
            <w:tcW w:w="989" w:type="dxa"/>
            <w:vAlign w:val="center"/>
          </w:tcPr>
          <w:p>
            <w:pPr>
              <w:pStyle w:val="25"/>
              <w:rPr>
                <w:kern w:val="2"/>
                <w:szCs w:val="21"/>
                <w:lang w:val="en-US" w:eastAsia="zh-CN"/>
              </w:rPr>
            </w:pP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27" w:type="dxa"/>
            <w:tcMar>
              <w:top w:w="15" w:type="dxa"/>
              <w:left w:w="15" w:type="dxa"/>
              <w:bottom w:w="0" w:type="dxa"/>
              <w:right w:w="15" w:type="dxa"/>
            </w:tcMar>
            <w:vAlign w:val="center"/>
          </w:tcPr>
          <w:p>
            <w:pPr>
              <w:pStyle w:val="25"/>
              <w:rPr>
                <w:kern w:val="2"/>
                <w:szCs w:val="21"/>
                <w:lang w:val="en-US" w:eastAsia="zh-CN"/>
              </w:rPr>
            </w:pPr>
            <w:r>
              <w:rPr>
                <w:rFonts w:hint="eastAsia"/>
                <w:kern w:val="2"/>
                <w:szCs w:val="21"/>
                <w:lang w:val="en-US" w:eastAsia="zh-CN"/>
              </w:rPr>
              <w:t>标准值</w:t>
            </w:r>
          </w:p>
        </w:tc>
        <w:tc>
          <w:tcPr>
            <w:tcW w:w="2280" w:type="dxa"/>
            <w:gridSpan w:val="2"/>
            <w:vAlign w:val="center"/>
          </w:tcPr>
          <w:p>
            <w:pPr>
              <w:pStyle w:val="25"/>
              <w:rPr>
                <w:kern w:val="2"/>
                <w:szCs w:val="21"/>
                <w:lang w:val="en-US" w:eastAsia="zh-CN"/>
              </w:rPr>
            </w:pPr>
            <w:r>
              <w:rPr>
                <w:kern w:val="2"/>
                <w:szCs w:val="21"/>
                <w:lang w:val="en-US" w:eastAsia="zh-CN"/>
              </w:rPr>
              <w:t>3.0</w:t>
            </w:r>
          </w:p>
        </w:tc>
        <w:tc>
          <w:tcPr>
            <w:tcW w:w="1273" w:type="dxa"/>
            <w:vAlign w:val="center"/>
          </w:tcPr>
          <w:p>
            <w:pPr>
              <w:pStyle w:val="25"/>
              <w:rPr>
                <w:kern w:val="2"/>
                <w:szCs w:val="21"/>
                <w:lang w:val="en-US" w:eastAsia="zh-CN"/>
              </w:rPr>
            </w:pPr>
            <w:r>
              <w:rPr>
                <w:kern w:val="2"/>
                <w:szCs w:val="21"/>
                <w:lang w:val="en-US" w:eastAsia="zh-CN"/>
              </w:rPr>
              <w:t>250</w:t>
            </w:r>
          </w:p>
        </w:tc>
        <w:tc>
          <w:tcPr>
            <w:tcW w:w="1154" w:type="dxa"/>
            <w:vAlign w:val="center"/>
          </w:tcPr>
          <w:p>
            <w:pPr>
              <w:pStyle w:val="25"/>
              <w:rPr>
                <w:kern w:val="2"/>
                <w:szCs w:val="21"/>
                <w:lang w:val="en-US" w:eastAsia="zh-CN"/>
              </w:rPr>
            </w:pPr>
            <w:r>
              <w:rPr>
                <w:kern w:val="2"/>
                <w:szCs w:val="21"/>
                <w:lang w:val="en-US" w:eastAsia="zh-CN"/>
              </w:rPr>
              <w:t>250</w:t>
            </w:r>
          </w:p>
        </w:tc>
        <w:tc>
          <w:tcPr>
            <w:tcW w:w="1174" w:type="dxa"/>
            <w:vAlign w:val="center"/>
          </w:tcPr>
          <w:p>
            <w:pPr>
              <w:pStyle w:val="25"/>
              <w:rPr>
                <w:kern w:val="2"/>
                <w:szCs w:val="21"/>
                <w:lang w:val="en-US" w:eastAsia="zh-CN"/>
              </w:rPr>
            </w:pPr>
            <w:r>
              <w:rPr>
                <w:kern w:val="2"/>
                <w:szCs w:val="21"/>
                <w:lang w:val="en-US" w:eastAsia="zh-CN"/>
              </w:rPr>
              <w:t>0.05</w:t>
            </w:r>
          </w:p>
        </w:tc>
        <w:tc>
          <w:tcPr>
            <w:tcW w:w="1371" w:type="dxa"/>
            <w:vAlign w:val="center"/>
          </w:tcPr>
          <w:p>
            <w:pPr>
              <w:pStyle w:val="25"/>
              <w:rPr>
                <w:kern w:val="2"/>
                <w:szCs w:val="21"/>
                <w:lang w:val="en-US" w:eastAsia="zh-CN"/>
              </w:rPr>
            </w:pPr>
            <w:r>
              <w:rPr>
                <w:kern w:val="2"/>
                <w:szCs w:val="21"/>
                <w:lang w:val="en-US" w:eastAsia="zh-CN"/>
              </w:rPr>
              <w:t>0.05</w:t>
            </w:r>
          </w:p>
        </w:tc>
        <w:tc>
          <w:tcPr>
            <w:tcW w:w="989" w:type="dxa"/>
            <w:vAlign w:val="center"/>
          </w:tcPr>
          <w:p>
            <w:pPr>
              <w:pStyle w:val="25"/>
              <w:rPr>
                <w:kern w:val="2"/>
                <w:szCs w:val="21"/>
                <w:lang w:val="en-US" w:eastAsia="zh-CN"/>
              </w:rPr>
            </w:pPr>
            <w:r>
              <w:rPr>
                <w:rFonts w:hint="eastAsia"/>
                <w:kern w:val="2"/>
                <w:szCs w:val="21"/>
                <w:lang w:val="en-US" w:eastAsia="zh-CN"/>
              </w:rPr>
              <w:t>/</w:t>
            </w:r>
          </w:p>
        </w:tc>
      </w:tr>
    </w:tbl>
    <w:p>
      <w:pPr>
        <w:ind w:firstLine="480"/>
      </w:pPr>
      <w:r>
        <w:t>4</w:t>
      </w:r>
      <w:r>
        <w:rPr>
          <w:rFonts w:hint="eastAsia"/>
        </w:rPr>
        <w:t>、声环境</w:t>
      </w:r>
    </w:p>
    <w:p>
      <w:pPr>
        <w:spacing w:line="480" w:lineRule="exact"/>
        <w:ind w:right="2" w:rightChars="1" w:firstLine="480"/>
        <w:rPr>
          <w:rFonts w:hAnsi="宋体"/>
        </w:rPr>
      </w:pPr>
      <w:r>
        <w:rPr>
          <w:rFonts w:hint="eastAsia"/>
        </w:rPr>
        <w:t>项目所在地厂界声环境执行《声环境质量标准》（</w:t>
      </w:r>
      <w:r>
        <w:t>GB3096-2008</w:t>
      </w:r>
      <w:r>
        <w:rPr>
          <w:rFonts w:hint="eastAsia"/>
        </w:rPr>
        <w:t>）中的</w:t>
      </w:r>
      <w:r>
        <w:t>2</w:t>
      </w:r>
      <w:r>
        <w:rPr>
          <w:rFonts w:hint="eastAsia"/>
        </w:rPr>
        <w:t>类声</w:t>
      </w:r>
      <w:r>
        <w:rPr>
          <w:rFonts w:hint="eastAsia" w:ascii="宋体" w:hAnsi="宋体"/>
        </w:rPr>
        <w:t>环境功能区标准</w:t>
      </w:r>
      <w:r>
        <w:rPr>
          <w:rFonts w:hint="eastAsia"/>
        </w:rPr>
        <w:t>。具</w:t>
      </w:r>
      <w:r>
        <w:rPr>
          <w:rFonts w:hint="eastAsia" w:hAnsi="宋体"/>
        </w:rPr>
        <w:t>体相关标准值见表</w:t>
      </w:r>
      <w:r>
        <w:t>2.3-4</w:t>
      </w:r>
      <w:r>
        <w:rPr>
          <w:rFonts w:hint="eastAsia" w:hAnsi="宋体"/>
        </w:rPr>
        <w:t>。</w:t>
      </w:r>
    </w:p>
    <w:p>
      <w:pPr>
        <w:pStyle w:val="26"/>
        <w:rPr>
          <w:b/>
          <w:bCs/>
        </w:rPr>
      </w:pPr>
      <w:r>
        <w:rPr>
          <w:rFonts w:hint="eastAsia"/>
          <w:b/>
          <w:bCs/>
        </w:rPr>
        <w:t>表</w:t>
      </w:r>
      <w:r>
        <w:rPr>
          <w:b/>
          <w:bCs/>
        </w:rPr>
        <w:t xml:space="preserve">2.3-4    </w:t>
      </w:r>
      <w:r>
        <w:rPr>
          <w:rFonts w:hint="eastAsia"/>
          <w:b/>
          <w:bCs/>
        </w:rPr>
        <w:t>《声环境质量标准》限值单位：</w:t>
      </w:r>
      <w:r>
        <w:rPr>
          <w:b/>
          <w:bCs/>
        </w:rPr>
        <w:t>dB</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4"/>
        <w:gridCol w:w="3496"/>
        <w:gridCol w:w="3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3" w:hRule="atLeast"/>
        </w:trPr>
        <w:tc>
          <w:tcPr>
            <w:tcW w:w="2854" w:type="dxa"/>
            <w:vMerge w:val="restart"/>
            <w:vAlign w:val="center"/>
          </w:tcPr>
          <w:p>
            <w:pPr>
              <w:pStyle w:val="26"/>
              <w:rPr>
                <w:kern w:val="2"/>
                <w:szCs w:val="21"/>
                <w:lang w:val="en-US" w:eastAsia="zh-CN"/>
              </w:rPr>
            </w:pPr>
            <w:r>
              <w:rPr>
                <w:rFonts w:hint="eastAsia"/>
                <w:kern w:val="2"/>
                <w:szCs w:val="21"/>
                <w:lang w:val="en-US" w:eastAsia="zh-CN"/>
              </w:rPr>
              <w:t>类别</w:t>
            </w:r>
          </w:p>
        </w:tc>
        <w:tc>
          <w:tcPr>
            <w:tcW w:w="7000" w:type="dxa"/>
            <w:gridSpan w:val="2"/>
            <w:vAlign w:val="center"/>
          </w:tcPr>
          <w:p>
            <w:pPr>
              <w:pStyle w:val="26"/>
              <w:rPr>
                <w:kern w:val="2"/>
                <w:szCs w:val="21"/>
                <w:lang w:val="en-US" w:eastAsia="zh-CN"/>
              </w:rPr>
            </w:pPr>
            <w:r>
              <w:rPr>
                <w:rFonts w:hint="eastAsia"/>
                <w:kern w:val="2"/>
                <w:szCs w:val="21"/>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3" w:hRule="atLeast"/>
        </w:trPr>
        <w:tc>
          <w:tcPr>
            <w:tcW w:w="2854" w:type="dxa"/>
            <w:vMerge w:val="continue"/>
            <w:vAlign w:val="center"/>
          </w:tcPr>
          <w:p>
            <w:pPr>
              <w:pStyle w:val="26"/>
              <w:rPr>
                <w:kern w:val="2"/>
                <w:szCs w:val="21"/>
                <w:lang w:val="en-US" w:eastAsia="zh-CN"/>
              </w:rPr>
            </w:pPr>
          </w:p>
        </w:tc>
        <w:tc>
          <w:tcPr>
            <w:tcW w:w="3496" w:type="dxa"/>
            <w:vAlign w:val="center"/>
          </w:tcPr>
          <w:p>
            <w:pPr>
              <w:pStyle w:val="26"/>
              <w:rPr>
                <w:kern w:val="2"/>
                <w:szCs w:val="21"/>
                <w:lang w:val="en-US" w:eastAsia="zh-CN"/>
              </w:rPr>
            </w:pPr>
            <w:r>
              <w:rPr>
                <w:rFonts w:hint="eastAsia"/>
                <w:kern w:val="2"/>
                <w:szCs w:val="21"/>
                <w:lang w:val="en-US" w:eastAsia="zh-CN"/>
              </w:rPr>
              <w:t>昼间</w:t>
            </w:r>
          </w:p>
        </w:tc>
        <w:tc>
          <w:tcPr>
            <w:tcW w:w="3504" w:type="dxa"/>
            <w:vAlign w:val="center"/>
          </w:tcPr>
          <w:p>
            <w:pPr>
              <w:pStyle w:val="26"/>
              <w:rPr>
                <w:kern w:val="2"/>
                <w:szCs w:val="21"/>
                <w:lang w:val="en-US" w:eastAsia="zh-CN"/>
              </w:rPr>
            </w:pPr>
            <w:r>
              <w:rPr>
                <w:rFonts w:hint="eastAsia"/>
                <w:kern w:val="2"/>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trPr>
        <w:tc>
          <w:tcPr>
            <w:tcW w:w="2854" w:type="dxa"/>
            <w:vAlign w:val="center"/>
          </w:tcPr>
          <w:p>
            <w:pPr>
              <w:pStyle w:val="26"/>
              <w:rPr>
                <w:kern w:val="2"/>
                <w:szCs w:val="21"/>
                <w:lang w:val="en-US" w:eastAsia="zh-CN"/>
              </w:rPr>
            </w:pPr>
            <w:r>
              <w:rPr>
                <w:kern w:val="2"/>
                <w:szCs w:val="21"/>
                <w:lang w:val="en-US" w:eastAsia="zh-CN"/>
              </w:rPr>
              <w:t>2</w:t>
            </w:r>
            <w:r>
              <w:rPr>
                <w:rFonts w:hint="eastAsia"/>
                <w:kern w:val="2"/>
                <w:szCs w:val="21"/>
                <w:lang w:val="en-US" w:eastAsia="zh-CN"/>
              </w:rPr>
              <w:t>类</w:t>
            </w:r>
          </w:p>
        </w:tc>
        <w:tc>
          <w:tcPr>
            <w:tcW w:w="3496" w:type="dxa"/>
            <w:vAlign w:val="center"/>
          </w:tcPr>
          <w:p>
            <w:pPr>
              <w:pStyle w:val="26"/>
              <w:rPr>
                <w:kern w:val="2"/>
                <w:szCs w:val="21"/>
                <w:lang w:val="en-US" w:eastAsia="zh-CN"/>
              </w:rPr>
            </w:pPr>
            <w:r>
              <w:rPr>
                <w:kern w:val="2"/>
                <w:szCs w:val="21"/>
                <w:lang w:val="en-US" w:eastAsia="zh-CN"/>
              </w:rPr>
              <w:t>60</w:t>
            </w:r>
          </w:p>
        </w:tc>
        <w:tc>
          <w:tcPr>
            <w:tcW w:w="3504" w:type="dxa"/>
            <w:vAlign w:val="center"/>
          </w:tcPr>
          <w:p>
            <w:pPr>
              <w:pStyle w:val="26"/>
              <w:rPr>
                <w:kern w:val="2"/>
                <w:szCs w:val="21"/>
                <w:lang w:val="en-US" w:eastAsia="zh-CN"/>
              </w:rPr>
            </w:pPr>
            <w:r>
              <w:rPr>
                <w:kern w:val="2"/>
                <w:szCs w:val="21"/>
                <w:lang w:val="en-US" w:eastAsia="zh-CN"/>
              </w:rPr>
              <w:t>50</w:t>
            </w:r>
          </w:p>
        </w:tc>
      </w:tr>
    </w:tbl>
    <w:p>
      <w:pPr>
        <w:pStyle w:val="4"/>
      </w:pPr>
      <w:r>
        <w:rPr>
          <w:rFonts w:hint="eastAsia"/>
        </w:rPr>
        <w:t>污染物排放标准</w:t>
      </w:r>
    </w:p>
    <w:p>
      <w:pPr>
        <w:ind w:firstLine="480"/>
      </w:pPr>
      <w:r>
        <w:t>1</w:t>
      </w:r>
      <w:r>
        <w:rPr>
          <w:rFonts w:hint="eastAsia"/>
        </w:rPr>
        <w:t>、废气排放标准</w:t>
      </w:r>
    </w:p>
    <w:p>
      <w:pPr>
        <w:ind w:firstLine="480"/>
      </w:pPr>
      <w:r>
        <w:rPr>
          <w:rFonts w:hint="eastAsia"/>
        </w:rPr>
        <w:t>（</w:t>
      </w:r>
      <w:r>
        <w:t>1</w:t>
      </w:r>
      <w:r>
        <w:rPr>
          <w:rFonts w:hint="eastAsia"/>
        </w:rPr>
        <w:t>）锅炉废气</w:t>
      </w:r>
    </w:p>
    <w:p>
      <w:pPr>
        <w:ind w:firstLine="480"/>
      </w:pPr>
      <w:r>
        <w:rPr>
          <w:rFonts w:hint="eastAsia"/>
        </w:rPr>
        <w:t>本项目技改后锅炉燃料均采用成型生物质，其锅炉废气执行《锅炉大气污染物排放标准》（</w:t>
      </w:r>
      <w:r>
        <w:t>GB13271-2014</w:t>
      </w:r>
      <w:r>
        <w:rPr>
          <w:rFonts w:hint="eastAsia"/>
        </w:rPr>
        <w:t>）中表</w:t>
      </w:r>
      <w:r>
        <w:t>2</w:t>
      </w:r>
      <w:r>
        <w:rPr>
          <w:rFonts w:hint="eastAsia"/>
        </w:rPr>
        <w:t>规定的大气污染物排放限值，相关标准值见表</w:t>
      </w:r>
      <w:r>
        <w:t>2.3-5</w:t>
      </w:r>
      <w:r>
        <w:rPr>
          <w:rFonts w:hint="eastAsia"/>
        </w:rPr>
        <w:t>。</w:t>
      </w:r>
    </w:p>
    <w:p>
      <w:pPr>
        <w:pStyle w:val="26"/>
        <w:rPr>
          <w:b/>
          <w:bCs/>
        </w:rPr>
      </w:pPr>
      <w:r>
        <w:rPr>
          <w:rFonts w:hint="eastAsia"/>
          <w:b/>
          <w:bCs/>
        </w:rPr>
        <w:t>表</w:t>
      </w:r>
      <w:r>
        <w:rPr>
          <w:b/>
          <w:bCs/>
        </w:rPr>
        <w:t xml:space="preserve">2.3-5  </w:t>
      </w:r>
      <w:r>
        <w:rPr>
          <w:rFonts w:hint="eastAsia"/>
          <w:b/>
          <w:bCs/>
        </w:rPr>
        <w:t>锅炉大气污染物排放标准</w:t>
      </w:r>
    </w:p>
    <w:tbl>
      <w:tblPr>
        <w:tblStyle w:val="23"/>
        <w:tblW w:w="96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39"/>
        <w:gridCol w:w="1627"/>
        <w:gridCol w:w="1626"/>
        <w:gridCol w:w="1629"/>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67" w:hRule="atLeast"/>
        </w:trPr>
        <w:tc>
          <w:tcPr>
            <w:tcW w:w="3139" w:type="dxa"/>
            <w:tcBorders>
              <w:tl2br w:val="single" w:color="auto" w:sz="4" w:space="0"/>
            </w:tcBorders>
            <w:vAlign w:val="center"/>
          </w:tcPr>
          <w:p>
            <w:pPr>
              <w:pStyle w:val="26"/>
              <w:rPr>
                <w:kern w:val="2"/>
                <w:szCs w:val="21"/>
                <w:lang w:val="en-US" w:eastAsia="zh-CN"/>
              </w:rPr>
            </w:pPr>
            <w:r>
              <w:rPr>
                <w:rFonts w:hint="eastAsia"/>
                <w:kern w:val="2"/>
                <w:szCs w:val="21"/>
                <w:lang w:val="en-US" w:eastAsia="zh-CN"/>
              </w:rPr>
              <w:t>标准限值</w:t>
            </w:r>
          </w:p>
          <w:p>
            <w:pPr>
              <w:pStyle w:val="26"/>
              <w:jc w:val="both"/>
              <w:rPr>
                <w:kern w:val="2"/>
                <w:szCs w:val="21"/>
                <w:lang w:val="en-US" w:eastAsia="zh-CN"/>
              </w:rPr>
            </w:pPr>
            <w:r>
              <w:rPr>
                <w:rFonts w:hint="eastAsia"/>
                <w:kern w:val="2"/>
                <w:szCs w:val="21"/>
                <w:lang w:val="en-US" w:eastAsia="zh-CN"/>
              </w:rPr>
              <w:t>锅炉</w:t>
            </w:r>
          </w:p>
        </w:tc>
        <w:tc>
          <w:tcPr>
            <w:tcW w:w="1627" w:type="dxa"/>
            <w:vAlign w:val="center"/>
          </w:tcPr>
          <w:p>
            <w:pPr>
              <w:pStyle w:val="26"/>
              <w:rPr>
                <w:kern w:val="2"/>
                <w:szCs w:val="21"/>
                <w:lang w:val="en-US" w:eastAsia="zh-CN"/>
              </w:rPr>
            </w:pPr>
            <w:r>
              <w:rPr>
                <w:rFonts w:hint="eastAsia"/>
                <w:kern w:val="2"/>
                <w:szCs w:val="21"/>
                <w:lang w:val="en-US" w:eastAsia="zh-CN"/>
              </w:rPr>
              <w:t>颗粒物</w:t>
            </w:r>
          </w:p>
          <w:p>
            <w:pPr>
              <w:pStyle w:val="26"/>
              <w:rPr>
                <w:kern w:val="2"/>
                <w:szCs w:val="21"/>
                <w:lang w:val="en-US" w:eastAsia="zh-CN"/>
              </w:rPr>
            </w:pPr>
            <w:r>
              <w:rPr>
                <w:kern w:val="2"/>
                <w:szCs w:val="21"/>
                <w:lang w:val="en-US" w:eastAsia="zh-CN"/>
              </w:rPr>
              <w:t>(mg/Nm</w:t>
            </w:r>
            <w:r>
              <w:rPr>
                <w:kern w:val="2"/>
                <w:szCs w:val="21"/>
                <w:vertAlign w:val="superscript"/>
                <w:lang w:val="en-US" w:eastAsia="zh-CN"/>
              </w:rPr>
              <w:t>3</w:t>
            </w:r>
            <w:r>
              <w:rPr>
                <w:kern w:val="2"/>
                <w:szCs w:val="21"/>
                <w:lang w:val="en-US" w:eastAsia="zh-CN"/>
              </w:rPr>
              <w:t>)</w:t>
            </w:r>
          </w:p>
        </w:tc>
        <w:tc>
          <w:tcPr>
            <w:tcW w:w="1626" w:type="dxa"/>
            <w:vAlign w:val="center"/>
          </w:tcPr>
          <w:p>
            <w:pPr>
              <w:pStyle w:val="26"/>
              <w:rPr>
                <w:kern w:val="2"/>
                <w:szCs w:val="21"/>
                <w:lang w:val="en-US" w:eastAsia="zh-CN"/>
              </w:rPr>
            </w:pPr>
            <w:r>
              <w:rPr>
                <w:kern w:val="2"/>
                <w:szCs w:val="21"/>
                <w:lang w:val="en-US" w:eastAsia="zh-CN"/>
              </w:rPr>
              <w:t>SO</w:t>
            </w:r>
            <w:r>
              <w:rPr>
                <w:kern w:val="2"/>
                <w:szCs w:val="21"/>
                <w:vertAlign w:val="subscript"/>
                <w:lang w:val="en-US" w:eastAsia="zh-CN"/>
              </w:rPr>
              <w:t>2</w:t>
            </w:r>
          </w:p>
          <w:p>
            <w:pPr>
              <w:pStyle w:val="26"/>
              <w:rPr>
                <w:kern w:val="2"/>
                <w:szCs w:val="21"/>
                <w:lang w:val="en-US" w:eastAsia="zh-CN"/>
              </w:rPr>
            </w:pPr>
            <w:r>
              <w:rPr>
                <w:kern w:val="2"/>
                <w:szCs w:val="21"/>
                <w:lang w:val="en-US" w:eastAsia="zh-CN"/>
              </w:rPr>
              <w:t>(mg/Nm</w:t>
            </w:r>
            <w:r>
              <w:rPr>
                <w:kern w:val="2"/>
                <w:szCs w:val="21"/>
                <w:vertAlign w:val="superscript"/>
                <w:lang w:val="en-US" w:eastAsia="zh-CN"/>
              </w:rPr>
              <w:t>3</w:t>
            </w:r>
            <w:r>
              <w:rPr>
                <w:kern w:val="2"/>
                <w:szCs w:val="21"/>
                <w:lang w:val="en-US" w:eastAsia="zh-CN"/>
              </w:rPr>
              <w:t>)</w:t>
            </w:r>
          </w:p>
        </w:tc>
        <w:tc>
          <w:tcPr>
            <w:tcW w:w="1629" w:type="dxa"/>
            <w:vAlign w:val="center"/>
          </w:tcPr>
          <w:p>
            <w:pPr>
              <w:pStyle w:val="26"/>
              <w:rPr>
                <w:kern w:val="2"/>
                <w:szCs w:val="21"/>
                <w:lang w:val="en-US" w:eastAsia="zh-CN"/>
              </w:rPr>
            </w:pPr>
            <w:r>
              <w:rPr>
                <w:kern w:val="2"/>
                <w:szCs w:val="21"/>
                <w:lang w:val="en-US" w:eastAsia="zh-CN"/>
              </w:rPr>
              <w:t>NOx</w:t>
            </w:r>
          </w:p>
          <w:p>
            <w:pPr>
              <w:pStyle w:val="26"/>
              <w:rPr>
                <w:kern w:val="2"/>
                <w:szCs w:val="21"/>
                <w:lang w:val="en-US" w:eastAsia="zh-CN"/>
              </w:rPr>
            </w:pPr>
            <w:r>
              <w:rPr>
                <w:kern w:val="2"/>
                <w:szCs w:val="21"/>
                <w:lang w:val="en-US" w:eastAsia="zh-CN"/>
              </w:rPr>
              <w:t>(mg/Nm</w:t>
            </w:r>
            <w:r>
              <w:rPr>
                <w:kern w:val="2"/>
                <w:szCs w:val="21"/>
                <w:vertAlign w:val="superscript"/>
                <w:lang w:val="en-US" w:eastAsia="zh-CN"/>
              </w:rPr>
              <w:t>3</w:t>
            </w:r>
            <w:r>
              <w:rPr>
                <w:kern w:val="2"/>
                <w:szCs w:val="21"/>
                <w:lang w:val="en-US" w:eastAsia="zh-CN"/>
              </w:rPr>
              <w:t>)</w:t>
            </w:r>
          </w:p>
        </w:tc>
        <w:tc>
          <w:tcPr>
            <w:tcW w:w="1627" w:type="dxa"/>
            <w:vAlign w:val="center"/>
          </w:tcPr>
          <w:p>
            <w:pPr>
              <w:pStyle w:val="26"/>
              <w:rPr>
                <w:kern w:val="2"/>
                <w:szCs w:val="21"/>
                <w:lang w:val="en-US" w:eastAsia="zh-CN"/>
              </w:rPr>
            </w:pPr>
            <w:r>
              <w:rPr>
                <w:rFonts w:hint="eastAsia"/>
                <w:kern w:val="2"/>
                <w:szCs w:val="21"/>
                <w:lang w:val="en-US" w:eastAsia="zh-CN"/>
              </w:rPr>
              <w:t>烟囱最低允许</w:t>
            </w:r>
          </w:p>
          <w:p>
            <w:pPr>
              <w:pStyle w:val="26"/>
              <w:rPr>
                <w:kern w:val="2"/>
                <w:szCs w:val="21"/>
                <w:lang w:val="en-US" w:eastAsia="zh-CN"/>
              </w:rPr>
            </w:pPr>
            <w:r>
              <w:rPr>
                <w:rFonts w:hint="eastAsia"/>
                <w:kern w:val="2"/>
                <w:szCs w:val="21"/>
                <w:lang w:val="en-US" w:eastAsia="zh-CN"/>
              </w:rPr>
              <w:t>高度</w:t>
            </w:r>
            <w:r>
              <w:rPr>
                <w:kern w:val="2"/>
                <w:szCs w:val="21"/>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1" w:hRule="atLeast"/>
        </w:trPr>
        <w:tc>
          <w:tcPr>
            <w:tcW w:w="3139" w:type="dxa"/>
            <w:vAlign w:val="center"/>
          </w:tcPr>
          <w:p>
            <w:pPr>
              <w:pStyle w:val="26"/>
              <w:rPr>
                <w:kern w:val="2"/>
                <w:szCs w:val="21"/>
                <w:lang w:val="en-US" w:eastAsia="zh-CN"/>
              </w:rPr>
            </w:pPr>
            <w:r>
              <w:rPr>
                <w:rFonts w:hint="eastAsia"/>
                <w:kern w:val="2"/>
                <w:szCs w:val="21"/>
                <w:lang w:val="en-US" w:eastAsia="zh-CN"/>
              </w:rPr>
              <w:t>燃生物质锅炉</w:t>
            </w:r>
          </w:p>
        </w:tc>
        <w:tc>
          <w:tcPr>
            <w:tcW w:w="1627" w:type="dxa"/>
            <w:vAlign w:val="center"/>
          </w:tcPr>
          <w:p>
            <w:pPr>
              <w:pStyle w:val="26"/>
              <w:rPr>
                <w:kern w:val="2"/>
                <w:szCs w:val="21"/>
                <w:lang w:val="en-US" w:eastAsia="zh-CN"/>
              </w:rPr>
            </w:pPr>
            <w:r>
              <w:rPr>
                <w:kern w:val="2"/>
                <w:szCs w:val="21"/>
                <w:lang w:val="en-US" w:eastAsia="zh-CN"/>
              </w:rPr>
              <w:t>50</w:t>
            </w:r>
          </w:p>
        </w:tc>
        <w:tc>
          <w:tcPr>
            <w:tcW w:w="1626" w:type="dxa"/>
            <w:vAlign w:val="center"/>
          </w:tcPr>
          <w:p>
            <w:pPr>
              <w:pStyle w:val="26"/>
              <w:rPr>
                <w:kern w:val="2"/>
                <w:szCs w:val="21"/>
                <w:lang w:val="en-US" w:eastAsia="zh-CN"/>
              </w:rPr>
            </w:pPr>
            <w:r>
              <w:rPr>
                <w:kern w:val="2"/>
                <w:szCs w:val="21"/>
                <w:lang w:val="en-US" w:eastAsia="zh-CN"/>
              </w:rPr>
              <w:t>300</w:t>
            </w:r>
          </w:p>
        </w:tc>
        <w:tc>
          <w:tcPr>
            <w:tcW w:w="1629" w:type="dxa"/>
            <w:vAlign w:val="center"/>
          </w:tcPr>
          <w:p>
            <w:pPr>
              <w:pStyle w:val="26"/>
              <w:rPr>
                <w:kern w:val="2"/>
                <w:szCs w:val="21"/>
                <w:lang w:val="en-US" w:eastAsia="zh-CN"/>
              </w:rPr>
            </w:pPr>
            <w:r>
              <w:rPr>
                <w:kern w:val="2"/>
                <w:szCs w:val="21"/>
                <w:lang w:val="en-US" w:eastAsia="zh-CN"/>
              </w:rPr>
              <w:t>300</w:t>
            </w:r>
          </w:p>
        </w:tc>
        <w:tc>
          <w:tcPr>
            <w:tcW w:w="1627" w:type="dxa"/>
            <w:vAlign w:val="center"/>
          </w:tcPr>
          <w:p>
            <w:pPr>
              <w:pStyle w:val="26"/>
              <w:rPr>
                <w:kern w:val="2"/>
                <w:szCs w:val="21"/>
                <w:lang w:val="en-US" w:eastAsia="zh-CN"/>
              </w:rPr>
            </w:pPr>
            <w:r>
              <w:rPr>
                <w:kern w:val="2"/>
                <w:szCs w:val="21"/>
                <w:lang w:val="en-US" w:eastAsia="zh-CN"/>
              </w:rPr>
              <w:t>40</w:t>
            </w:r>
          </w:p>
        </w:tc>
      </w:tr>
    </w:tbl>
    <w:p>
      <w:pPr>
        <w:pStyle w:val="26"/>
        <w:ind w:firstLine="420" w:firstLineChars="200"/>
        <w:jc w:val="both"/>
      </w:pPr>
      <w:r>
        <w:rPr>
          <w:rFonts w:hint="eastAsia"/>
        </w:rPr>
        <w:t>注：《锅炉大气污染物排放标准》规定燃油锅炉烟囱不得底于</w:t>
      </w:r>
      <w:r>
        <w:t>8m</w:t>
      </w:r>
      <w:r>
        <w:rPr>
          <w:rFonts w:hint="eastAsia"/>
        </w:rPr>
        <w:t>、燃煤锅炉房装机总容量</w:t>
      </w:r>
      <w:r>
        <w:t>10~</w:t>
      </w:r>
      <w:r>
        <w:rPr>
          <w:rFonts w:hint="eastAsia"/>
        </w:rPr>
        <w:t>＜</w:t>
      </w:r>
      <w:r>
        <w:t>20t/h</w:t>
      </w:r>
      <w:r>
        <w:rPr>
          <w:rFonts w:hint="eastAsia"/>
        </w:rPr>
        <w:t>烟囱不得低于</w:t>
      </w:r>
      <w:r>
        <w:t>40m</w:t>
      </w:r>
      <w:r>
        <w:rPr>
          <w:rFonts w:hint="eastAsia"/>
        </w:rPr>
        <w:t>，最终由批准的环境文件确定高度为准。</w:t>
      </w:r>
    </w:p>
    <w:p>
      <w:pPr>
        <w:ind w:firstLine="480"/>
      </w:pPr>
      <w:r>
        <w:rPr>
          <w:rFonts w:hint="eastAsia"/>
        </w:rPr>
        <w:t>（</w:t>
      </w:r>
      <w:r>
        <w:t>2</w:t>
      </w:r>
      <w:r>
        <w:rPr>
          <w:rFonts w:hint="eastAsia"/>
        </w:rPr>
        <w:t>）工艺废气</w:t>
      </w:r>
    </w:p>
    <w:p>
      <w:pPr>
        <w:spacing w:line="480" w:lineRule="exact"/>
        <w:ind w:firstLine="480"/>
      </w:pPr>
      <w:r>
        <w:rPr>
          <w:rFonts w:hint="eastAsia"/>
        </w:rPr>
        <w:t>工艺废气排放执行《大气污染物综合排放标准》（</w:t>
      </w:r>
      <w:r>
        <w:t>GB16297-1996</w:t>
      </w:r>
      <w:r>
        <w:rPr>
          <w:rFonts w:hint="eastAsia"/>
        </w:rPr>
        <w:t>）表</w:t>
      </w:r>
      <w:r>
        <w:t>2</w:t>
      </w:r>
      <w:r>
        <w:rPr>
          <w:rFonts w:hint="eastAsia"/>
        </w:rPr>
        <w:t>中排放限值，</w:t>
      </w:r>
      <w:r>
        <w:t>VOCs</w:t>
      </w:r>
      <w:r>
        <w:rPr>
          <w:rFonts w:hint="eastAsia"/>
        </w:rPr>
        <w:t>参照天津市地方标准《工业企业挥发性有机物排放控制标准》（</w:t>
      </w:r>
      <w:r>
        <w:t>DB12/524-2014</w:t>
      </w:r>
      <w:r>
        <w:rPr>
          <w:rFonts w:hint="eastAsia"/>
        </w:rPr>
        <w:t>），具体见表</w:t>
      </w:r>
      <w:r>
        <w:t>2.3-6</w:t>
      </w:r>
      <w:r>
        <w:rPr>
          <w:rFonts w:hint="eastAsia"/>
        </w:rPr>
        <w:t>。</w:t>
      </w:r>
    </w:p>
    <w:p>
      <w:pPr>
        <w:pStyle w:val="26"/>
      </w:pPr>
      <w:r>
        <w:rPr>
          <w:rFonts w:hint="eastAsia"/>
          <w:b/>
          <w:bCs/>
        </w:rPr>
        <w:t>表</w:t>
      </w:r>
      <w:r>
        <w:rPr>
          <w:b/>
          <w:bCs/>
        </w:rPr>
        <w:t xml:space="preserve">2.3-6    </w:t>
      </w:r>
      <w:r>
        <w:rPr>
          <w:rFonts w:hint="eastAsia"/>
          <w:b/>
          <w:bCs/>
        </w:rPr>
        <w:t>大气污染物排放标准单位：</w:t>
      </w:r>
      <w:r>
        <w:rPr>
          <w:b/>
          <w:bCs/>
        </w:rPr>
        <w:t>mg/m</w:t>
      </w:r>
      <w:r>
        <w:rPr>
          <w:b/>
          <w:bCs/>
          <w:vertAlign w:val="superscript"/>
        </w:rPr>
        <w:t>3</w:t>
      </w:r>
    </w:p>
    <w:tbl>
      <w:tblPr>
        <w:tblStyle w:val="23"/>
        <w:tblW w:w="97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565"/>
        <w:gridCol w:w="1913"/>
        <w:gridCol w:w="2140"/>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1025" w:type="dxa"/>
            <w:vMerge w:val="restart"/>
            <w:vAlign w:val="center"/>
          </w:tcPr>
          <w:p>
            <w:pPr>
              <w:pStyle w:val="26"/>
              <w:rPr>
                <w:kern w:val="2"/>
                <w:szCs w:val="21"/>
                <w:lang w:val="en-US" w:eastAsia="zh-CN"/>
              </w:rPr>
            </w:pPr>
            <w:r>
              <w:rPr>
                <w:rFonts w:hint="eastAsia"/>
                <w:kern w:val="2"/>
                <w:szCs w:val="21"/>
                <w:lang w:val="en-US" w:eastAsia="zh-CN"/>
              </w:rPr>
              <w:t>序号</w:t>
            </w:r>
          </w:p>
        </w:tc>
        <w:tc>
          <w:tcPr>
            <w:tcW w:w="2565" w:type="dxa"/>
            <w:vMerge w:val="restart"/>
            <w:vAlign w:val="center"/>
          </w:tcPr>
          <w:p>
            <w:pPr>
              <w:pStyle w:val="26"/>
              <w:rPr>
                <w:kern w:val="2"/>
                <w:szCs w:val="21"/>
                <w:lang w:val="en-US" w:eastAsia="zh-CN"/>
              </w:rPr>
            </w:pPr>
            <w:r>
              <w:rPr>
                <w:rFonts w:hint="eastAsia"/>
                <w:kern w:val="2"/>
                <w:szCs w:val="21"/>
                <w:lang w:val="en-US" w:eastAsia="zh-CN"/>
              </w:rPr>
              <w:t>污染物项目</w:t>
            </w:r>
          </w:p>
        </w:tc>
        <w:tc>
          <w:tcPr>
            <w:tcW w:w="4053" w:type="dxa"/>
            <w:gridSpan w:val="2"/>
            <w:vAlign w:val="center"/>
          </w:tcPr>
          <w:p>
            <w:pPr>
              <w:pStyle w:val="26"/>
              <w:rPr>
                <w:kern w:val="2"/>
                <w:szCs w:val="21"/>
                <w:lang w:val="en-US" w:eastAsia="zh-CN"/>
              </w:rPr>
            </w:pPr>
            <w:r>
              <w:rPr>
                <w:rFonts w:hint="eastAsia"/>
                <w:kern w:val="2"/>
                <w:szCs w:val="21"/>
                <w:lang w:val="en-US" w:eastAsia="zh-CN"/>
              </w:rPr>
              <w:t>标准限值</w:t>
            </w:r>
          </w:p>
        </w:tc>
        <w:tc>
          <w:tcPr>
            <w:tcW w:w="2125" w:type="dxa"/>
            <w:vMerge w:val="restart"/>
            <w:vAlign w:val="center"/>
          </w:tcPr>
          <w:p>
            <w:pPr>
              <w:pStyle w:val="26"/>
              <w:rPr>
                <w:kern w:val="2"/>
                <w:szCs w:val="21"/>
                <w:lang w:val="en-US" w:eastAsia="zh-CN"/>
              </w:rPr>
            </w:pPr>
            <w:r>
              <w:rPr>
                <w:rFonts w:hint="eastAsia"/>
                <w:kern w:val="2"/>
                <w:szCs w:val="21"/>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 w:hRule="atLeast"/>
          <w:jc w:val="center"/>
        </w:trPr>
        <w:tc>
          <w:tcPr>
            <w:tcW w:w="1025" w:type="dxa"/>
            <w:vMerge w:val="continue"/>
            <w:vAlign w:val="center"/>
          </w:tcPr>
          <w:p>
            <w:pPr>
              <w:pStyle w:val="26"/>
              <w:rPr>
                <w:kern w:val="2"/>
                <w:szCs w:val="21"/>
                <w:lang w:val="en-US" w:eastAsia="zh-CN"/>
              </w:rPr>
            </w:pPr>
          </w:p>
        </w:tc>
        <w:tc>
          <w:tcPr>
            <w:tcW w:w="2565" w:type="dxa"/>
            <w:vMerge w:val="continue"/>
            <w:vAlign w:val="center"/>
          </w:tcPr>
          <w:p>
            <w:pPr>
              <w:pStyle w:val="26"/>
              <w:rPr>
                <w:kern w:val="2"/>
                <w:szCs w:val="21"/>
                <w:lang w:val="en-US" w:eastAsia="zh-CN"/>
              </w:rPr>
            </w:pPr>
          </w:p>
        </w:tc>
        <w:tc>
          <w:tcPr>
            <w:tcW w:w="1913" w:type="dxa"/>
            <w:vAlign w:val="center"/>
          </w:tcPr>
          <w:p>
            <w:pPr>
              <w:pStyle w:val="26"/>
              <w:rPr>
                <w:kern w:val="2"/>
                <w:szCs w:val="21"/>
                <w:lang w:val="en-US" w:eastAsia="zh-CN"/>
              </w:rPr>
            </w:pPr>
            <w:r>
              <w:rPr>
                <w:rFonts w:hint="eastAsia"/>
                <w:kern w:val="2"/>
                <w:szCs w:val="21"/>
                <w:lang w:val="en-US" w:eastAsia="zh-CN"/>
              </w:rPr>
              <w:t>有组织</w:t>
            </w:r>
          </w:p>
        </w:tc>
        <w:tc>
          <w:tcPr>
            <w:tcW w:w="2140" w:type="dxa"/>
            <w:vAlign w:val="center"/>
          </w:tcPr>
          <w:p>
            <w:pPr>
              <w:pStyle w:val="26"/>
              <w:rPr>
                <w:kern w:val="2"/>
                <w:szCs w:val="21"/>
                <w:lang w:val="en-US" w:eastAsia="zh-CN"/>
              </w:rPr>
            </w:pPr>
            <w:r>
              <w:rPr>
                <w:rFonts w:hint="eastAsia"/>
                <w:kern w:val="2"/>
                <w:szCs w:val="21"/>
                <w:lang w:val="en-US" w:eastAsia="zh-CN"/>
              </w:rPr>
              <w:t>无组织</w:t>
            </w:r>
          </w:p>
        </w:tc>
        <w:tc>
          <w:tcPr>
            <w:tcW w:w="2125"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 w:hRule="atLeast"/>
          <w:jc w:val="center"/>
        </w:trPr>
        <w:tc>
          <w:tcPr>
            <w:tcW w:w="1025" w:type="dxa"/>
            <w:vAlign w:val="center"/>
          </w:tcPr>
          <w:p>
            <w:pPr>
              <w:pStyle w:val="26"/>
              <w:rPr>
                <w:kern w:val="2"/>
                <w:szCs w:val="21"/>
                <w:lang w:val="en-US" w:eastAsia="zh-CN"/>
              </w:rPr>
            </w:pPr>
            <w:r>
              <w:rPr>
                <w:kern w:val="2"/>
                <w:szCs w:val="21"/>
                <w:lang w:val="en-US" w:eastAsia="zh-CN"/>
              </w:rPr>
              <w:t>1</w:t>
            </w:r>
          </w:p>
        </w:tc>
        <w:tc>
          <w:tcPr>
            <w:tcW w:w="2565" w:type="dxa"/>
            <w:vAlign w:val="center"/>
          </w:tcPr>
          <w:p>
            <w:pPr>
              <w:pStyle w:val="26"/>
              <w:rPr>
                <w:kern w:val="2"/>
                <w:szCs w:val="21"/>
                <w:lang w:val="en-US" w:eastAsia="zh-CN"/>
              </w:rPr>
            </w:pPr>
            <w:r>
              <w:rPr>
                <w:rFonts w:hint="eastAsia"/>
                <w:kern w:val="2"/>
                <w:szCs w:val="21"/>
                <w:lang w:val="en-US" w:eastAsia="zh-CN"/>
              </w:rPr>
              <w:t>颗粒物</w:t>
            </w:r>
          </w:p>
        </w:tc>
        <w:tc>
          <w:tcPr>
            <w:tcW w:w="1913" w:type="dxa"/>
            <w:vAlign w:val="center"/>
          </w:tcPr>
          <w:p>
            <w:pPr>
              <w:pStyle w:val="26"/>
              <w:rPr>
                <w:kern w:val="2"/>
                <w:szCs w:val="21"/>
                <w:lang w:val="en-US" w:eastAsia="zh-CN"/>
              </w:rPr>
            </w:pPr>
            <w:r>
              <w:rPr>
                <w:kern w:val="2"/>
                <w:szCs w:val="21"/>
                <w:lang w:val="en-US" w:eastAsia="zh-CN"/>
              </w:rPr>
              <w:t>120</w:t>
            </w:r>
          </w:p>
        </w:tc>
        <w:tc>
          <w:tcPr>
            <w:tcW w:w="2140" w:type="dxa"/>
            <w:vAlign w:val="center"/>
          </w:tcPr>
          <w:p>
            <w:pPr>
              <w:pStyle w:val="26"/>
              <w:rPr>
                <w:kern w:val="2"/>
                <w:szCs w:val="21"/>
                <w:lang w:val="en-US" w:eastAsia="zh-CN"/>
              </w:rPr>
            </w:pPr>
            <w:r>
              <w:rPr>
                <w:kern w:val="2"/>
                <w:szCs w:val="21"/>
                <w:lang w:val="en-US" w:eastAsia="zh-CN"/>
              </w:rPr>
              <w:t>1.0</w:t>
            </w:r>
          </w:p>
        </w:tc>
        <w:tc>
          <w:tcPr>
            <w:tcW w:w="2125" w:type="dxa"/>
            <w:vAlign w:val="center"/>
          </w:tcPr>
          <w:p>
            <w:pPr>
              <w:pStyle w:val="26"/>
              <w:rPr>
                <w:kern w:val="2"/>
                <w:szCs w:val="21"/>
                <w:lang w:val="en-US" w:eastAsia="zh-CN"/>
              </w:rPr>
            </w:pPr>
            <w:r>
              <w:rPr>
                <w:szCs w:val="21"/>
                <w:lang w:val="en-US" w:eastAsia="zh-CN"/>
              </w:rPr>
              <w:t>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 w:hRule="atLeast"/>
          <w:jc w:val="center"/>
        </w:trPr>
        <w:tc>
          <w:tcPr>
            <w:tcW w:w="1025" w:type="dxa"/>
            <w:vAlign w:val="center"/>
          </w:tcPr>
          <w:p>
            <w:pPr>
              <w:pStyle w:val="26"/>
              <w:rPr>
                <w:kern w:val="2"/>
                <w:szCs w:val="21"/>
                <w:lang w:val="en-US" w:eastAsia="zh-CN"/>
              </w:rPr>
            </w:pPr>
            <w:r>
              <w:rPr>
                <w:rFonts w:hint="eastAsia"/>
                <w:kern w:val="2"/>
                <w:szCs w:val="21"/>
                <w:lang w:val="en-US" w:eastAsia="zh-CN"/>
              </w:rPr>
              <w:t>2</w:t>
            </w:r>
          </w:p>
        </w:tc>
        <w:tc>
          <w:tcPr>
            <w:tcW w:w="2565" w:type="dxa"/>
            <w:vAlign w:val="center"/>
          </w:tcPr>
          <w:p>
            <w:pPr>
              <w:pStyle w:val="26"/>
              <w:rPr>
                <w:kern w:val="2"/>
                <w:szCs w:val="21"/>
                <w:lang w:val="en-US" w:eastAsia="zh-CN"/>
              </w:rPr>
            </w:pPr>
            <w:r>
              <w:rPr>
                <w:kern w:val="2"/>
                <w:szCs w:val="21"/>
                <w:lang w:val="en-US" w:eastAsia="zh-CN"/>
              </w:rPr>
              <w:t>VOCs</w:t>
            </w:r>
          </w:p>
        </w:tc>
        <w:tc>
          <w:tcPr>
            <w:tcW w:w="1913" w:type="dxa"/>
            <w:vAlign w:val="center"/>
          </w:tcPr>
          <w:p>
            <w:pPr>
              <w:pStyle w:val="26"/>
              <w:rPr>
                <w:kern w:val="2"/>
                <w:szCs w:val="21"/>
                <w:lang w:val="en-US" w:eastAsia="zh-CN"/>
              </w:rPr>
            </w:pPr>
            <w:r>
              <w:rPr>
                <w:kern w:val="2"/>
                <w:szCs w:val="21"/>
                <w:lang w:val="en-US" w:eastAsia="zh-CN"/>
              </w:rPr>
              <w:t>80</w:t>
            </w:r>
          </w:p>
        </w:tc>
        <w:tc>
          <w:tcPr>
            <w:tcW w:w="2140" w:type="dxa"/>
            <w:vAlign w:val="center"/>
          </w:tcPr>
          <w:p>
            <w:pPr>
              <w:pStyle w:val="26"/>
              <w:rPr>
                <w:kern w:val="2"/>
                <w:szCs w:val="21"/>
                <w:lang w:val="en-US" w:eastAsia="zh-CN"/>
              </w:rPr>
            </w:pPr>
            <w:r>
              <w:rPr>
                <w:kern w:val="2"/>
                <w:szCs w:val="21"/>
                <w:lang w:val="en-US" w:eastAsia="zh-CN"/>
              </w:rPr>
              <w:t>2.0</w:t>
            </w:r>
          </w:p>
        </w:tc>
        <w:tc>
          <w:tcPr>
            <w:tcW w:w="2125" w:type="dxa"/>
            <w:vAlign w:val="center"/>
          </w:tcPr>
          <w:p>
            <w:pPr>
              <w:pStyle w:val="26"/>
              <w:rPr>
                <w:kern w:val="2"/>
                <w:szCs w:val="21"/>
                <w:lang w:val="en-US" w:eastAsia="zh-CN"/>
              </w:rPr>
            </w:pPr>
            <w:r>
              <w:rPr>
                <w:szCs w:val="21"/>
                <w:lang w:val="en-US" w:eastAsia="zh-CN"/>
              </w:rPr>
              <w:t>DB12/524-2014</w:t>
            </w:r>
          </w:p>
        </w:tc>
      </w:tr>
    </w:tbl>
    <w:p>
      <w:pPr>
        <w:ind w:firstLine="480"/>
      </w:pPr>
      <w:r>
        <w:rPr>
          <w:rFonts w:hint="eastAsia"/>
        </w:rPr>
        <w:t>（</w:t>
      </w:r>
      <w:r>
        <w:t>3</w:t>
      </w:r>
      <w:r>
        <w:rPr>
          <w:rFonts w:hint="eastAsia"/>
        </w:rPr>
        <w:t>）恶臭污染物</w:t>
      </w:r>
    </w:p>
    <w:p>
      <w:pPr>
        <w:ind w:firstLine="480"/>
      </w:pPr>
      <w:r>
        <w:rPr>
          <w:rFonts w:hint="eastAsia"/>
        </w:rPr>
        <w:t>污水处理站恶臭污染物排放执行《恶臭污染物排放标准》</w:t>
      </w:r>
      <w:r>
        <w:t>(GB14554-93)</w:t>
      </w:r>
      <w:r>
        <w:rPr>
          <w:rFonts w:hint="eastAsia"/>
        </w:rPr>
        <w:t>，具体见表</w:t>
      </w:r>
      <w:r>
        <w:t>2.3-7</w:t>
      </w:r>
      <w:r>
        <w:rPr>
          <w:rFonts w:hint="eastAsia"/>
        </w:rPr>
        <w:t>。</w:t>
      </w:r>
    </w:p>
    <w:p>
      <w:pPr>
        <w:pStyle w:val="26"/>
        <w:rPr>
          <w:b/>
          <w:bCs/>
        </w:rPr>
      </w:pPr>
      <w:r>
        <w:rPr>
          <w:rFonts w:hint="eastAsia"/>
          <w:b/>
          <w:bCs/>
        </w:rPr>
        <w:t>表</w:t>
      </w:r>
      <w:r>
        <w:rPr>
          <w:b/>
          <w:bCs/>
        </w:rPr>
        <w:t xml:space="preserve">2.3-7   </w:t>
      </w:r>
      <w:r>
        <w:rPr>
          <w:rFonts w:hint="eastAsia"/>
          <w:b/>
          <w:bCs/>
        </w:rPr>
        <w:t>恶臭污染物排放标准</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0"/>
        <w:gridCol w:w="6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4" w:hRule="atLeast"/>
          <w:jc w:val="center"/>
        </w:trPr>
        <w:tc>
          <w:tcPr>
            <w:tcW w:w="3470" w:type="dxa"/>
            <w:vAlign w:val="center"/>
          </w:tcPr>
          <w:p>
            <w:pPr>
              <w:pStyle w:val="26"/>
              <w:rPr>
                <w:kern w:val="2"/>
                <w:szCs w:val="21"/>
                <w:lang w:val="en-US" w:eastAsia="zh-CN"/>
              </w:rPr>
            </w:pPr>
            <w:r>
              <w:rPr>
                <w:rFonts w:hint="eastAsia"/>
                <w:kern w:val="2"/>
                <w:szCs w:val="21"/>
                <w:lang w:val="en-US" w:eastAsia="zh-CN"/>
              </w:rPr>
              <w:t>名称</w:t>
            </w:r>
          </w:p>
        </w:tc>
        <w:tc>
          <w:tcPr>
            <w:tcW w:w="6384" w:type="dxa"/>
            <w:vAlign w:val="center"/>
          </w:tcPr>
          <w:p>
            <w:pPr>
              <w:pStyle w:val="26"/>
              <w:rPr>
                <w:kern w:val="2"/>
                <w:szCs w:val="21"/>
                <w:lang w:val="en-US" w:eastAsia="zh-CN"/>
              </w:rPr>
            </w:pPr>
            <w:r>
              <w:rPr>
                <w:rFonts w:hint="eastAsia"/>
                <w:kern w:val="2"/>
                <w:szCs w:val="21"/>
                <w:lang w:val="en-US" w:eastAsia="zh-CN"/>
              </w:rPr>
              <w:t>恶臭污染物厂界二级标准值</w:t>
            </w:r>
            <w:r>
              <w:rPr>
                <w:kern w:val="2"/>
                <w:szCs w:val="21"/>
                <w:lang w:val="en-US" w:eastAsia="zh-CN"/>
              </w:rPr>
              <w:t xml:space="preserve"> (mg/m</w:t>
            </w:r>
            <w:r>
              <w:rPr>
                <w:kern w:val="2"/>
                <w:szCs w:val="21"/>
                <w:vertAlign w:val="superscript"/>
                <w:lang w:val="en-US" w:eastAsia="zh-CN"/>
              </w:rPr>
              <w:t>3</w:t>
            </w: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4" w:hRule="atLeast"/>
          <w:jc w:val="center"/>
        </w:trPr>
        <w:tc>
          <w:tcPr>
            <w:tcW w:w="3470" w:type="dxa"/>
            <w:vAlign w:val="center"/>
          </w:tcPr>
          <w:p>
            <w:pPr>
              <w:pStyle w:val="26"/>
              <w:rPr>
                <w:kern w:val="2"/>
                <w:szCs w:val="21"/>
                <w:lang w:val="en-US" w:eastAsia="zh-CN"/>
              </w:rPr>
            </w:pPr>
            <w:r>
              <w:rPr>
                <w:rFonts w:hint="eastAsia"/>
                <w:kern w:val="2"/>
                <w:szCs w:val="21"/>
                <w:lang w:val="en-US" w:eastAsia="zh-CN"/>
              </w:rPr>
              <w:t>氨</w:t>
            </w:r>
          </w:p>
        </w:tc>
        <w:tc>
          <w:tcPr>
            <w:tcW w:w="6384" w:type="dxa"/>
            <w:vAlign w:val="center"/>
          </w:tcPr>
          <w:p>
            <w:pPr>
              <w:pStyle w:val="26"/>
              <w:rPr>
                <w:kern w:val="2"/>
                <w:szCs w:val="21"/>
                <w:lang w:val="en-US" w:eastAsia="zh-CN"/>
              </w:rPr>
            </w:pPr>
            <w:r>
              <w:rPr>
                <w:kern w:val="2"/>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4" w:hRule="atLeast"/>
          <w:jc w:val="center"/>
        </w:trPr>
        <w:tc>
          <w:tcPr>
            <w:tcW w:w="3470" w:type="dxa"/>
            <w:vAlign w:val="center"/>
          </w:tcPr>
          <w:p>
            <w:pPr>
              <w:pStyle w:val="26"/>
              <w:rPr>
                <w:kern w:val="2"/>
                <w:szCs w:val="21"/>
                <w:lang w:val="en-US" w:eastAsia="zh-CN"/>
              </w:rPr>
            </w:pPr>
            <w:r>
              <w:rPr>
                <w:rFonts w:hint="eastAsia"/>
                <w:kern w:val="2"/>
                <w:szCs w:val="21"/>
                <w:lang w:val="en-US" w:eastAsia="zh-CN"/>
              </w:rPr>
              <w:t>硫化氢</w:t>
            </w:r>
          </w:p>
        </w:tc>
        <w:tc>
          <w:tcPr>
            <w:tcW w:w="6384" w:type="dxa"/>
            <w:vAlign w:val="center"/>
          </w:tcPr>
          <w:p>
            <w:pPr>
              <w:pStyle w:val="26"/>
              <w:rPr>
                <w:kern w:val="2"/>
                <w:szCs w:val="21"/>
                <w:lang w:val="en-US" w:eastAsia="zh-CN"/>
              </w:rPr>
            </w:pPr>
            <w:r>
              <w:rPr>
                <w:kern w:val="2"/>
                <w:szCs w:val="21"/>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3" w:hRule="atLeast"/>
          <w:jc w:val="center"/>
        </w:trPr>
        <w:tc>
          <w:tcPr>
            <w:tcW w:w="3470" w:type="dxa"/>
            <w:vAlign w:val="center"/>
          </w:tcPr>
          <w:p>
            <w:pPr>
              <w:pStyle w:val="26"/>
              <w:rPr>
                <w:kern w:val="2"/>
                <w:szCs w:val="21"/>
                <w:lang w:val="en-US" w:eastAsia="zh-CN"/>
              </w:rPr>
            </w:pPr>
            <w:r>
              <w:rPr>
                <w:rFonts w:hint="eastAsia"/>
                <w:kern w:val="2"/>
                <w:szCs w:val="21"/>
                <w:lang w:val="en-US" w:eastAsia="zh-CN"/>
              </w:rPr>
              <w:t>臭气浓度</w:t>
            </w:r>
          </w:p>
        </w:tc>
        <w:tc>
          <w:tcPr>
            <w:tcW w:w="6384" w:type="dxa"/>
            <w:vAlign w:val="center"/>
          </w:tcPr>
          <w:p>
            <w:pPr>
              <w:pStyle w:val="26"/>
              <w:rPr>
                <w:kern w:val="2"/>
                <w:szCs w:val="21"/>
                <w:lang w:val="en-US" w:eastAsia="zh-CN"/>
              </w:rPr>
            </w:pPr>
            <w:r>
              <w:rPr>
                <w:kern w:val="2"/>
                <w:szCs w:val="21"/>
                <w:lang w:val="en-US" w:eastAsia="zh-CN"/>
              </w:rPr>
              <w:t>20</w:t>
            </w:r>
            <w:r>
              <w:rPr>
                <w:rFonts w:hint="eastAsia"/>
                <w:kern w:val="2"/>
                <w:szCs w:val="21"/>
                <w:lang w:val="en-US" w:eastAsia="zh-CN"/>
              </w:rPr>
              <w:t>（无量纲）</w:t>
            </w:r>
          </w:p>
        </w:tc>
      </w:tr>
    </w:tbl>
    <w:p>
      <w:pPr>
        <w:ind w:firstLine="480"/>
      </w:pPr>
      <w:r>
        <w:rPr>
          <w:rFonts w:hint="eastAsia"/>
        </w:rPr>
        <w:t>（</w:t>
      </w:r>
      <w:r>
        <w:t>4</w:t>
      </w:r>
      <w:r>
        <w:rPr>
          <w:rFonts w:hint="eastAsia"/>
        </w:rPr>
        <w:t>）食堂油烟</w:t>
      </w:r>
    </w:p>
    <w:p>
      <w:pPr>
        <w:ind w:firstLine="480"/>
      </w:pPr>
      <w:r>
        <w:rPr>
          <w:rFonts w:hint="eastAsia"/>
        </w:rPr>
        <w:t>油烟废气：执行《饮食业油烟排放标准》（</w:t>
      </w:r>
      <w:r>
        <w:t>GB18483-2001</w:t>
      </w:r>
      <w:r>
        <w:rPr>
          <w:rFonts w:hint="eastAsia"/>
        </w:rPr>
        <w:t>）中中型规模标准，相关标准值见表</w:t>
      </w:r>
      <w:r>
        <w:t>2.3-8</w:t>
      </w:r>
      <w:r>
        <w:rPr>
          <w:rFonts w:hint="eastAsia"/>
        </w:rPr>
        <w:t>。</w:t>
      </w:r>
    </w:p>
    <w:p>
      <w:pPr>
        <w:pStyle w:val="26"/>
        <w:rPr>
          <w:b/>
          <w:bCs/>
        </w:rPr>
      </w:pPr>
      <w:r>
        <w:rPr>
          <w:rFonts w:hint="eastAsia"/>
          <w:b/>
          <w:bCs/>
        </w:rPr>
        <w:t>表</w:t>
      </w:r>
      <w:r>
        <w:rPr>
          <w:b/>
          <w:bCs/>
        </w:rPr>
        <w:t xml:space="preserve">2.3-8   </w:t>
      </w:r>
      <w:r>
        <w:rPr>
          <w:rFonts w:hint="eastAsia"/>
          <w:b/>
          <w:bCs/>
        </w:rPr>
        <w:t>饮食业油烟排放标准</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9"/>
        <w:gridCol w:w="2245"/>
        <w:gridCol w:w="2076"/>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629" w:type="dxa"/>
            <w:vAlign w:val="center"/>
          </w:tcPr>
          <w:p>
            <w:pPr>
              <w:pStyle w:val="26"/>
              <w:rPr>
                <w:kern w:val="2"/>
                <w:szCs w:val="21"/>
                <w:lang w:val="en-US" w:eastAsia="zh-CN"/>
              </w:rPr>
            </w:pPr>
            <w:r>
              <w:rPr>
                <w:rFonts w:hint="eastAsia"/>
                <w:kern w:val="2"/>
                <w:szCs w:val="21"/>
                <w:lang w:val="en-US" w:eastAsia="zh-CN"/>
              </w:rPr>
              <w:t>规模</w:t>
            </w:r>
          </w:p>
        </w:tc>
        <w:tc>
          <w:tcPr>
            <w:tcW w:w="2245" w:type="dxa"/>
            <w:vAlign w:val="center"/>
          </w:tcPr>
          <w:p>
            <w:pPr>
              <w:pStyle w:val="26"/>
              <w:rPr>
                <w:kern w:val="2"/>
                <w:szCs w:val="21"/>
                <w:lang w:val="en-US" w:eastAsia="zh-CN"/>
              </w:rPr>
            </w:pPr>
            <w:r>
              <w:rPr>
                <w:rFonts w:hint="eastAsia"/>
                <w:kern w:val="2"/>
                <w:szCs w:val="21"/>
                <w:lang w:val="en-US" w:eastAsia="zh-CN"/>
              </w:rPr>
              <w:t>小型</w:t>
            </w:r>
          </w:p>
        </w:tc>
        <w:tc>
          <w:tcPr>
            <w:tcW w:w="2076" w:type="dxa"/>
            <w:vAlign w:val="center"/>
          </w:tcPr>
          <w:p>
            <w:pPr>
              <w:pStyle w:val="26"/>
              <w:rPr>
                <w:kern w:val="2"/>
                <w:szCs w:val="21"/>
                <w:lang w:val="en-US" w:eastAsia="zh-CN"/>
              </w:rPr>
            </w:pPr>
            <w:r>
              <w:rPr>
                <w:rFonts w:hint="eastAsia"/>
                <w:kern w:val="2"/>
                <w:szCs w:val="21"/>
                <w:lang w:val="en-US" w:eastAsia="zh-CN"/>
              </w:rPr>
              <w:t>中型</w:t>
            </w:r>
          </w:p>
        </w:tc>
        <w:tc>
          <w:tcPr>
            <w:tcW w:w="1904" w:type="dxa"/>
            <w:vAlign w:val="center"/>
          </w:tcPr>
          <w:p>
            <w:pPr>
              <w:pStyle w:val="26"/>
              <w:rPr>
                <w:kern w:val="2"/>
                <w:szCs w:val="21"/>
                <w:lang w:val="en-US" w:eastAsia="zh-CN"/>
              </w:rPr>
            </w:pPr>
            <w:r>
              <w:rPr>
                <w:rFonts w:hint="eastAsia"/>
                <w:kern w:val="2"/>
                <w:szCs w:val="21"/>
                <w:lang w:val="en-US" w:eastAsia="zh-CN"/>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629" w:type="dxa"/>
            <w:vAlign w:val="center"/>
          </w:tcPr>
          <w:p>
            <w:pPr>
              <w:pStyle w:val="26"/>
              <w:rPr>
                <w:kern w:val="2"/>
                <w:szCs w:val="21"/>
                <w:lang w:val="en-US" w:eastAsia="zh-CN"/>
              </w:rPr>
            </w:pPr>
            <w:r>
              <w:rPr>
                <w:rFonts w:hint="eastAsia"/>
                <w:kern w:val="2"/>
                <w:szCs w:val="21"/>
                <w:lang w:val="en-US" w:eastAsia="zh-CN"/>
              </w:rPr>
              <w:t>基准灶头数</w:t>
            </w:r>
          </w:p>
        </w:tc>
        <w:tc>
          <w:tcPr>
            <w:tcW w:w="2245"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1,&lt;3</w:t>
            </w:r>
          </w:p>
        </w:tc>
        <w:tc>
          <w:tcPr>
            <w:tcW w:w="2076"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3, &lt;6</w:t>
            </w:r>
          </w:p>
        </w:tc>
        <w:tc>
          <w:tcPr>
            <w:tcW w:w="1904"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629" w:type="dxa"/>
            <w:vAlign w:val="center"/>
          </w:tcPr>
          <w:p>
            <w:pPr>
              <w:pStyle w:val="26"/>
              <w:rPr>
                <w:kern w:val="2"/>
                <w:szCs w:val="21"/>
                <w:lang w:val="en-US" w:eastAsia="zh-CN"/>
              </w:rPr>
            </w:pPr>
            <w:r>
              <w:rPr>
                <w:rFonts w:hint="eastAsia"/>
                <w:kern w:val="2"/>
                <w:szCs w:val="21"/>
                <w:lang w:val="en-US" w:eastAsia="zh-CN"/>
              </w:rPr>
              <w:t>对应灶头总功率</w:t>
            </w:r>
            <w:r>
              <w:rPr>
                <w:kern w:val="2"/>
                <w:szCs w:val="21"/>
                <w:lang w:val="en-US" w:eastAsia="zh-CN"/>
              </w:rPr>
              <w:t>(108j/h)</w:t>
            </w:r>
          </w:p>
        </w:tc>
        <w:tc>
          <w:tcPr>
            <w:tcW w:w="2245"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1.67, &lt;5.00</w:t>
            </w:r>
          </w:p>
        </w:tc>
        <w:tc>
          <w:tcPr>
            <w:tcW w:w="2076"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5.00, &lt;10</w:t>
            </w:r>
          </w:p>
        </w:tc>
        <w:tc>
          <w:tcPr>
            <w:tcW w:w="1904"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3629" w:type="dxa"/>
            <w:vAlign w:val="center"/>
          </w:tcPr>
          <w:p>
            <w:pPr>
              <w:pStyle w:val="26"/>
              <w:rPr>
                <w:kern w:val="2"/>
                <w:szCs w:val="21"/>
                <w:lang w:val="en-US" w:eastAsia="zh-CN"/>
              </w:rPr>
            </w:pPr>
            <w:r>
              <w:rPr>
                <w:rFonts w:hint="eastAsia"/>
                <w:kern w:val="2"/>
                <w:szCs w:val="21"/>
                <w:lang w:val="en-US" w:eastAsia="zh-CN"/>
              </w:rPr>
              <w:t>对应排气罩灶面总投影面积（</w:t>
            </w:r>
            <w:r>
              <w:rPr>
                <w:kern w:val="2"/>
                <w:szCs w:val="21"/>
                <w:lang w:val="en-US" w:eastAsia="zh-CN"/>
              </w:rPr>
              <w:t>m2</w:t>
            </w:r>
            <w:r>
              <w:rPr>
                <w:rFonts w:hint="eastAsia"/>
                <w:kern w:val="2"/>
                <w:szCs w:val="21"/>
                <w:lang w:val="en-US" w:eastAsia="zh-CN"/>
              </w:rPr>
              <w:t>）</w:t>
            </w:r>
          </w:p>
        </w:tc>
        <w:tc>
          <w:tcPr>
            <w:tcW w:w="2245"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1.1, &lt;3.3</w:t>
            </w:r>
          </w:p>
        </w:tc>
        <w:tc>
          <w:tcPr>
            <w:tcW w:w="2076"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3.3, &lt;6.6</w:t>
            </w:r>
          </w:p>
        </w:tc>
        <w:tc>
          <w:tcPr>
            <w:tcW w:w="1904"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 w:hRule="atLeast"/>
          <w:jc w:val="center"/>
        </w:trPr>
        <w:tc>
          <w:tcPr>
            <w:tcW w:w="3629" w:type="dxa"/>
            <w:vAlign w:val="center"/>
          </w:tcPr>
          <w:p>
            <w:pPr>
              <w:pStyle w:val="26"/>
              <w:rPr>
                <w:kern w:val="2"/>
                <w:szCs w:val="21"/>
                <w:lang w:val="en-US" w:eastAsia="zh-CN"/>
              </w:rPr>
            </w:pPr>
            <w:r>
              <w:rPr>
                <w:rFonts w:hint="eastAsia"/>
                <w:kern w:val="2"/>
                <w:szCs w:val="21"/>
                <w:lang w:val="en-US" w:eastAsia="zh-CN"/>
              </w:rPr>
              <w:t>最高允许排放浓度（</w:t>
            </w:r>
            <w:r>
              <w:rPr>
                <w:kern w:val="2"/>
                <w:szCs w:val="21"/>
                <w:lang w:val="en-US" w:eastAsia="zh-CN"/>
              </w:rPr>
              <w:t>mg/m3</w:t>
            </w:r>
            <w:r>
              <w:rPr>
                <w:rFonts w:hint="eastAsia"/>
                <w:kern w:val="2"/>
                <w:szCs w:val="21"/>
                <w:lang w:val="en-US" w:eastAsia="zh-CN"/>
              </w:rPr>
              <w:t>）</w:t>
            </w:r>
          </w:p>
        </w:tc>
        <w:tc>
          <w:tcPr>
            <w:tcW w:w="6225" w:type="dxa"/>
            <w:gridSpan w:val="3"/>
            <w:vAlign w:val="center"/>
          </w:tcPr>
          <w:p>
            <w:pPr>
              <w:pStyle w:val="26"/>
              <w:rPr>
                <w:kern w:val="2"/>
                <w:szCs w:val="21"/>
                <w:lang w:val="en-US" w:eastAsia="zh-CN"/>
              </w:rPr>
            </w:pPr>
            <w:r>
              <w:rPr>
                <w:kern w:val="2"/>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629" w:type="dxa"/>
            <w:vAlign w:val="center"/>
          </w:tcPr>
          <w:p>
            <w:pPr>
              <w:pStyle w:val="26"/>
              <w:rPr>
                <w:kern w:val="2"/>
                <w:szCs w:val="21"/>
                <w:lang w:val="en-US" w:eastAsia="zh-CN"/>
              </w:rPr>
            </w:pPr>
            <w:r>
              <w:rPr>
                <w:rFonts w:hint="eastAsia"/>
                <w:kern w:val="2"/>
                <w:szCs w:val="21"/>
                <w:lang w:val="en-US" w:eastAsia="zh-CN"/>
              </w:rPr>
              <w:t>净化设施最低去除率（</w:t>
            </w:r>
            <w:r>
              <w:rPr>
                <w:kern w:val="2"/>
                <w:szCs w:val="21"/>
                <w:lang w:val="en-US" w:eastAsia="zh-CN"/>
              </w:rPr>
              <w:t>%</w:t>
            </w:r>
            <w:r>
              <w:rPr>
                <w:rFonts w:hint="eastAsia"/>
                <w:kern w:val="2"/>
                <w:szCs w:val="21"/>
                <w:lang w:val="en-US" w:eastAsia="zh-CN"/>
              </w:rPr>
              <w:t>）</w:t>
            </w:r>
          </w:p>
        </w:tc>
        <w:tc>
          <w:tcPr>
            <w:tcW w:w="2245" w:type="dxa"/>
            <w:vAlign w:val="center"/>
          </w:tcPr>
          <w:p>
            <w:pPr>
              <w:pStyle w:val="26"/>
              <w:rPr>
                <w:kern w:val="2"/>
                <w:szCs w:val="21"/>
                <w:lang w:val="en-US" w:eastAsia="zh-CN"/>
              </w:rPr>
            </w:pPr>
            <w:r>
              <w:rPr>
                <w:kern w:val="2"/>
                <w:szCs w:val="21"/>
                <w:lang w:val="en-US" w:eastAsia="zh-CN"/>
              </w:rPr>
              <w:t>60</w:t>
            </w:r>
          </w:p>
        </w:tc>
        <w:tc>
          <w:tcPr>
            <w:tcW w:w="2076" w:type="dxa"/>
            <w:vAlign w:val="center"/>
          </w:tcPr>
          <w:p>
            <w:pPr>
              <w:pStyle w:val="26"/>
              <w:rPr>
                <w:kern w:val="2"/>
                <w:szCs w:val="21"/>
                <w:lang w:val="en-US" w:eastAsia="zh-CN"/>
              </w:rPr>
            </w:pPr>
            <w:r>
              <w:rPr>
                <w:kern w:val="2"/>
                <w:szCs w:val="21"/>
                <w:lang w:val="en-US" w:eastAsia="zh-CN"/>
              </w:rPr>
              <w:t>75</w:t>
            </w:r>
          </w:p>
        </w:tc>
        <w:tc>
          <w:tcPr>
            <w:tcW w:w="1904" w:type="dxa"/>
            <w:vAlign w:val="center"/>
          </w:tcPr>
          <w:p>
            <w:pPr>
              <w:pStyle w:val="26"/>
              <w:rPr>
                <w:kern w:val="2"/>
                <w:szCs w:val="21"/>
                <w:lang w:val="en-US" w:eastAsia="zh-CN"/>
              </w:rPr>
            </w:pPr>
            <w:r>
              <w:rPr>
                <w:kern w:val="2"/>
                <w:szCs w:val="21"/>
                <w:lang w:val="en-US" w:eastAsia="zh-CN"/>
              </w:rPr>
              <w:t>85</w:t>
            </w:r>
          </w:p>
        </w:tc>
      </w:tr>
    </w:tbl>
    <w:p>
      <w:pPr>
        <w:ind w:firstLine="480"/>
      </w:pPr>
      <w:r>
        <w:t>2</w:t>
      </w:r>
      <w:r>
        <w:rPr>
          <w:rFonts w:hint="eastAsia"/>
        </w:rPr>
        <w:t>、废水排放标准</w:t>
      </w:r>
    </w:p>
    <w:p>
      <w:pPr>
        <w:ind w:firstLine="480"/>
      </w:pPr>
      <w:r>
        <w:rPr>
          <w:rFonts w:hint="eastAsia"/>
        </w:rPr>
        <w:t>本项目废水经厂区内污水处理站预处理达到</w:t>
      </w:r>
      <w:r>
        <w:rPr>
          <w:rFonts w:hint="eastAsia"/>
          <w:szCs w:val="21"/>
        </w:rPr>
        <w:t>《纺织染整工业水污染物排放标准》</w:t>
      </w:r>
      <w:r>
        <w:rPr>
          <w:szCs w:val="21"/>
        </w:rPr>
        <w:t>(GB4287-2012)</w:t>
      </w:r>
      <w:r>
        <w:rPr>
          <w:rFonts w:hint="eastAsia"/>
          <w:szCs w:val="21"/>
        </w:rPr>
        <w:t>中的间接排放标准及修改单中标准要求及</w:t>
      </w:r>
      <w:r>
        <w:rPr>
          <w:rFonts w:hint="eastAsia"/>
        </w:rPr>
        <w:t>营田镇污水处理厂进水水质标准后进入营田镇污水处理厂进一步处理；营田镇污水处理厂出水达到《城镇污水处理厂污染物排放标准》</w:t>
      </w:r>
      <w:r>
        <w:t>(GB18918-2002)</w:t>
      </w:r>
      <w:r>
        <w:rPr>
          <w:rFonts w:hint="eastAsia"/>
        </w:rPr>
        <w:t>一级标准的</w:t>
      </w:r>
      <w:r>
        <w:t>A</w:t>
      </w:r>
      <w:r>
        <w:rPr>
          <w:rFonts w:hint="eastAsia"/>
        </w:rPr>
        <w:t>类标准。</w:t>
      </w:r>
    </w:p>
    <w:p>
      <w:pPr>
        <w:pStyle w:val="26"/>
        <w:rPr>
          <w:b/>
          <w:bCs/>
        </w:rPr>
      </w:pPr>
      <w:r>
        <w:rPr>
          <w:rFonts w:hint="eastAsia"/>
          <w:b/>
          <w:bCs/>
        </w:rPr>
        <w:t>表</w:t>
      </w:r>
      <w:r>
        <w:rPr>
          <w:b/>
          <w:bCs/>
        </w:rPr>
        <w:t xml:space="preserve">2.3-9  </w:t>
      </w:r>
      <w:r>
        <w:rPr>
          <w:rFonts w:hint="eastAsia"/>
          <w:b/>
          <w:bCs/>
        </w:rPr>
        <w:t>污水排放标准</w:t>
      </w:r>
      <w:r>
        <w:rPr>
          <w:b/>
          <w:bCs/>
        </w:rPr>
        <w:t xml:space="preserve">       (</w:t>
      </w:r>
      <w:r>
        <w:rPr>
          <w:rFonts w:hint="eastAsia"/>
          <w:b/>
          <w:bCs/>
        </w:rPr>
        <w:t>单位：除</w:t>
      </w:r>
      <w:r>
        <w:rPr>
          <w:b/>
          <w:bCs/>
        </w:rPr>
        <w:t>pH</w:t>
      </w:r>
      <w:r>
        <w:rPr>
          <w:rFonts w:hint="eastAsia"/>
          <w:b/>
          <w:bCs/>
        </w:rPr>
        <w:t>外为</w:t>
      </w:r>
      <w:r>
        <w:rPr>
          <w:b/>
          <w:bCs/>
        </w:rPr>
        <w:t>mg/L)</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0"/>
        <w:gridCol w:w="2610"/>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 w:hRule="atLeast"/>
          <w:tblHeader/>
          <w:jc w:val="center"/>
        </w:trPr>
        <w:tc>
          <w:tcPr>
            <w:tcW w:w="4630" w:type="dxa"/>
            <w:vAlign w:val="center"/>
          </w:tcPr>
          <w:p>
            <w:pPr>
              <w:pStyle w:val="26"/>
              <w:rPr>
                <w:kern w:val="2"/>
                <w:szCs w:val="21"/>
                <w:lang w:val="en-US" w:eastAsia="zh-CN"/>
              </w:rPr>
            </w:pPr>
            <w:r>
              <w:rPr>
                <w:rFonts w:hint="eastAsia"/>
                <w:kern w:val="2"/>
                <w:szCs w:val="21"/>
                <w:lang w:val="en-US" w:eastAsia="zh-CN"/>
              </w:rPr>
              <w:t>指标</w:t>
            </w:r>
          </w:p>
        </w:tc>
        <w:tc>
          <w:tcPr>
            <w:tcW w:w="2610" w:type="dxa"/>
            <w:vAlign w:val="center"/>
          </w:tcPr>
          <w:p>
            <w:pPr>
              <w:pStyle w:val="26"/>
              <w:rPr>
                <w:kern w:val="2"/>
                <w:szCs w:val="21"/>
                <w:lang w:val="en-US" w:eastAsia="zh-CN"/>
              </w:rPr>
            </w:pPr>
            <w:r>
              <w:rPr>
                <w:rFonts w:hint="eastAsia"/>
                <w:kern w:val="2"/>
                <w:szCs w:val="21"/>
                <w:lang w:val="en-US" w:eastAsia="zh-CN"/>
              </w:rPr>
              <w:t>企业出水</w:t>
            </w:r>
          </w:p>
        </w:tc>
        <w:tc>
          <w:tcPr>
            <w:tcW w:w="2614" w:type="dxa"/>
            <w:vAlign w:val="center"/>
          </w:tcPr>
          <w:p>
            <w:pPr>
              <w:pStyle w:val="26"/>
              <w:rPr>
                <w:kern w:val="2"/>
                <w:szCs w:val="21"/>
                <w:lang w:val="en-US" w:eastAsia="zh-CN"/>
              </w:rPr>
            </w:pPr>
            <w:r>
              <w:rPr>
                <w:rFonts w:hint="eastAsia"/>
                <w:kern w:val="2"/>
                <w:szCs w:val="21"/>
                <w:lang w:val="en-US" w:eastAsia="zh-CN"/>
              </w:rPr>
              <w:t>排环境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 w:hRule="atLeast"/>
          <w:jc w:val="center"/>
        </w:trPr>
        <w:tc>
          <w:tcPr>
            <w:tcW w:w="4630" w:type="dxa"/>
            <w:vAlign w:val="center"/>
          </w:tcPr>
          <w:p>
            <w:pPr>
              <w:pStyle w:val="26"/>
              <w:rPr>
                <w:kern w:val="2"/>
                <w:szCs w:val="21"/>
                <w:lang w:val="en-US" w:eastAsia="zh-CN"/>
              </w:rPr>
            </w:pPr>
            <w:r>
              <w:rPr>
                <w:kern w:val="2"/>
                <w:szCs w:val="21"/>
                <w:lang w:val="en-US" w:eastAsia="zh-CN"/>
              </w:rPr>
              <w:t>pH</w:t>
            </w:r>
          </w:p>
        </w:tc>
        <w:tc>
          <w:tcPr>
            <w:tcW w:w="2610" w:type="dxa"/>
            <w:vAlign w:val="center"/>
          </w:tcPr>
          <w:p>
            <w:pPr>
              <w:pStyle w:val="26"/>
              <w:rPr>
                <w:kern w:val="2"/>
                <w:szCs w:val="21"/>
                <w:lang w:val="en-US" w:eastAsia="zh-CN"/>
              </w:rPr>
            </w:pPr>
            <w:r>
              <w:rPr>
                <w:kern w:val="2"/>
                <w:szCs w:val="21"/>
                <w:lang w:val="en-US" w:eastAsia="zh-CN"/>
              </w:rPr>
              <w:t>6</w:t>
            </w:r>
            <w:r>
              <w:rPr>
                <w:rFonts w:hint="eastAsia"/>
                <w:kern w:val="2"/>
                <w:szCs w:val="21"/>
                <w:lang w:val="en-US" w:eastAsia="zh-CN"/>
              </w:rPr>
              <w:t>～</w:t>
            </w:r>
            <w:r>
              <w:rPr>
                <w:kern w:val="2"/>
                <w:szCs w:val="21"/>
                <w:lang w:val="en-US" w:eastAsia="zh-CN"/>
              </w:rPr>
              <w:t>9</w:t>
            </w:r>
          </w:p>
        </w:tc>
        <w:tc>
          <w:tcPr>
            <w:tcW w:w="2614" w:type="dxa"/>
            <w:vAlign w:val="center"/>
          </w:tcPr>
          <w:p>
            <w:pPr>
              <w:pStyle w:val="26"/>
              <w:rPr>
                <w:kern w:val="2"/>
                <w:szCs w:val="21"/>
                <w:lang w:val="en-US" w:eastAsia="zh-CN"/>
              </w:rPr>
            </w:pPr>
            <w:r>
              <w:rPr>
                <w:kern w:val="2"/>
                <w:szCs w:val="21"/>
                <w:lang w:val="en-US" w:eastAsia="zh-CN"/>
              </w:rPr>
              <w:t>6</w:t>
            </w:r>
            <w:r>
              <w:rPr>
                <w:rFonts w:hint="eastAsia"/>
                <w:kern w:val="2"/>
                <w:szCs w:val="21"/>
                <w:lang w:val="en-US" w:eastAsia="zh-CN"/>
              </w:rPr>
              <w:t>～</w:t>
            </w:r>
            <w:r>
              <w:rPr>
                <w:kern w:val="2"/>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 w:hRule="atLeast"/>
          <w:jc w:val="center"/>
        </w:trPr>
        <w:tc>
          <w:tcPr>
            <w:tcW w:w="4630" w:type="dxa"/>
            <w:vAlign w:val="center"/>
          </w:tcPr>
          <w:p>
            <w:pPr>
              <w:pStyle w:val="26"/>
              <w:rPr>
                <w:kern w:val="2"/>
                <w:szCs w:val="21"/>
                <w:lang w:val="en-US" w:eastAsia="zh-CN"/>
              </w:rPr>
            </w:pPr>
            <w:r>
              <w:rPr>
                <w:kern w:val="2"/>
                <w:szCs w:val="21"/>
                <w:lang w:val="en-US" w:eastAsia="zh-CN"/>
              </w:rPr>
              <w:t>CODcr</w:t>
            </w:r>
            <w:r>
              <w:rPr>
                <w:rFonts w:hint="eastAsia"/>
                <w:kern w:val="2"/>
                <w:szCs w:val="21"/>
                <w:lang w:val="en-US" w:eastAsia="zh-CN"/>
              </w:rPr>
              <w:t>≤</w:t>
            </w:r>
          </w:p>
        </w:tc>
        <w:tc>
          <w:tcPr>
            <w:tcW w:w="2610" w:type="dxa"/>
            <w:vAlign w:val="center"/>
          </w:tcPr>
          <w:p>
            <w:pPr>
              <w:pStyle w:val="26"/>
              <w:rPr>
                <w:kern w:val="2"/>
                <w:szCs w:val="21"/>
                <w:lang w:val="en-US" w:eastAsia="zh-CN"/>
              </w:rPr>
            </w:pPr>
            <w:r>
              <w:rPr>
                <w:kern w:val="2"/>
                <w:szCs w:val="21"/>
                <w:lang w:val="en-US" w:eastAsia="zh-CN"/>
              </w:rPr>
              <w:t>200</w:t>
            </w:r>
          </w:p>
        </w:tc>
        <w:tc>
          <w:tcPr>
            <w:tcW w:w="2614" w:type="dxa"/>
            <w:vAlign w:val="center"/>
          </w:tcPr>
          <w:p>
            <w:pPr>
              <w:pStyle w:val="26"/>
              <w:rPr>
                <w:kern w:val="2"/>
                <w:szCs w:val="21"/>
                <w:lang w:val="en-US" w:eastAsia="zh-CN"/>
              </w:rPr>
            </w:pPr>
            <w:r>
              <w:rPr>
                <w:kern w:val="2"/>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 w:hRule="atLeast"/>
          <w:jc w:val="center"/>
        </w:trPr>
        <w:tc>
          <w:tcPr>
            <w:tcW w:w="4630" w:type="dxa"/>
            <w:vAlign w:val="center"/>
          </w:tcPr>
          <w:p>
            <w:pPr>
              <w:pStyle w:val="26"/>
              <w:rPr>
                <w:kern w:val="2"/>
                <w:szCs w:val="21"/>
                <w:lang w:val="en-US" w:eastAsia="zh-CN"/>
              </w:rPr>
            </w:pPr>
            <w:r>
              <w:rPr>
                <w:kern w:val="2"/>
                <w:szCs w:val="21"/>
                <w:lang w:val="en-US" w:eastAsia="zh-CN"/>
              </w:rPr>
              <w:t>BOD5</w:t>
            </w:r>
            <w:r>
              <w:rPr>
                <w:rFonts w:hint="eastAsia"/>
                <w:kern w:val="2"/>
                <w:szCs w:val="21"/>
                <w:lang w:val="en-US" w:eastAsia="zh-CN"/>
              </w:rPr>
              <w:t>≤</w:t>
            </w:r>
          </w:p>
        </w:tc>
        <w:tc>
          <w:tcPr>
            <w:tcW w:w="2610" w:type="dxa"/>
            <w:vAlign w:val="center"/>
          </w:tcPr>
          <w:p>
            <w:pPr>
              <w:pStyle w:val="26"/>
              <w:rPr>
                <w:kern w:val="2"/>
                <w:szCs w:val="21"/>
                <w:lang w:val="en-US" w:eastAsia="zh-CN"/>
              </w:rPr>
            </w:pPr>
            <w:r>
              <w:rPr>
                <w:kern w:val="2"/>
                <w:szCs w:val="21"/>
                <w:lang w:val="en-US" w:eastAsia="zh-CN"/>
              </w:rPr>
              <w:t>50</w:t>
            </w:r>
          </w:p>
        </w:tc>
        <w:tc>
          <w:tcPr>
            <w:tcW w:w="2614" w:type="dxa"/>
            <w:vAlign w:val="center"/>
          </w:tcPr>
          <w:p>
            <w:pPr>
              <w:pStyle w:val="26"/>
              <w:rPr>
                <w:kern w:val="2"/>
                <w:szCs w:val="21"/>
                <w:lang w:val="en-US" w:eastAsia="zh-CN"/>
              </w:rPr>
            </w:pPr>
            <w:r>
              <w:rPr>
                <w:kern w:val="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 w:hRule="atLeast"/>
          <w:jc w:val="center"/>
        </w:trPr>
        <w:tc>
          <w:tcPr>
            <w:tcW w:w="4630" w:type="dxa"/>
            <w:vAlign w:val="center"/>
          </w:tcPr>
          <w:p>
            <w:pPr>
              <w:pStyle w:val="26"/>
              <w:rPr>
                <w:kern w:val="2"/>
                <w:szCs w:val="21"/>
                <w:lang w:val="en-US" w:eastAsia="zh-CN"/>
              </w:rPr>
            </w:pPr>
            <w:r>
              <w:rPr>
                <w:kern w:val="2"/>
                <w:szCs w:val="21"/>
                <w:lang w:val="en-US" w:eastAsia="zh-CN"/>
              </w:rPr>
              <w:t>SS</w:t>
            </w:r>
            <w:r>
              <w:rPr>
                <w:rFonts w:hint="eastAsia"/>
                <w:kern w:val="2"/>
                <w:szCs w:val="21"/>
                <w:lang w:val="en-US" w:eastAsia="zh-CN"/>
              </w:rPr>
              <w:t>≤</w:t>
            </w:r>
          </w:p>
        </w:tc>
        <w:tc>
          <w:tcPr>
            <w:tcW w:w="2610" w:type="dxa"/>
            <w:vAlign w:val="center"/>
          </w:tcPr>
          <w:p>
            <w:pPr>
              <w:pStyle w:val="26"/>
              <w:rPr>
                <w:kern w:val="2"/>
                <w:szCs w:val="21"/>
                <w:lang w:val="en-US" w:eastAsia="zh-CN"/>
              </w:rPr>
            </w:pPr>
            <w:r>
              <w:rPr>
                <w:kern w:val="2"/>
                <w:szCs w:val="21"/>
                <w:lang w:val="en-US" w:eastAsia="zh-CN"/>
              </w:rPr>
              <w:t>100</w:t>
            </w:r>
          </w:p>
        </w:tc>
        <w:tc>
          <w:tcPr>
            <w:tcW w:w="2614" w:type="dxa"/>
            <w:vAlign w:val="center"/>
          </w:tcPr>
          <w:p>
            <w:pPr>
              <w:pStyle w:val="26"/>
              <w:rPr>
                <w:kern w:val="2"/>
                <w:szCs w:val="21"/>
                <w:lang w:val="en-US" w:eastAsia="zh-CN"/>
              </w:rPr>
            </w:pPr>
            <w:r>
              <w:rPr>
                <w:kern w:val="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 w:hRule="atLeast"/>
          <w:jc w:val="center"/>
        </w:trPr>
        <w:tc>
          <w:tcPr>
            <w:tcW w:w="4630" w:type="dxa"/>
            <w:vAlign w:val="center"/>
          </w:tcPr>
          <w:p>
            <w:pPr>
              <w:pStyle w:val="26"/>
              <w:rPr>
                <w:kern w:val="2"/>
                <w:szCs w:val="21"/>
                <w:lang w:val="en-US" w:eastAsia="zh-CN"/>
              </w:rPr>
            </w:pPr>
            <w:r>
              <w:rPr>
                <w:rFonts w:hint="eastAsia"/>
                <w:kern w:val="2"/>
                <w:szCs w:val="21"/>
                <w:lang w:val="en-US" w:eastAsia="zh-CN"/>
              </w:rPr>
              <w:t>氨氮≤</w:t>
            </w:r>
          </w:p>
        </w:tc>
        <w:tc>
          <w:tcPr>
            <w:tcW w:w="2610" w:type="dxa"/>
            <w:vAlign w:val="center"/>
          </w:tcPr>
          <w:p>
            <w:pPr>
              <w:pStyle w:val="26"/>
              <w:rPr>
                <w:kern w:val="2"/>
                <w:szCs w:val="21"/>
                <w:lang w:val="en-US" w:eastAsia="zh-CN"/>
              </w:rPr>
            </w:pPr>
            <w:r>
              <w:rPr>
                <w:kern w:val="2"/>
                <w:szCs w:val="21"/>
                <w:lang w:val="en-US" w:eastAsia="zh-CN"/>
              </w:rPr>
              <w:t>20</w:t>
            </w:r>
          </w:p>
        </w:tc>
        <w:tc>
          <w:tcPr>
            <w:tcW w:w="2614" w:type="dxa"/>
            <w:vAlign w:val="center"/>
          </w:tcPr>
          <w:p>
            <w:pPr>
              <w:pStyle w:val="26"/>
              <w:rPr>
                <w:kern w:val="2"/>
                <w:szCs w:val="21"/>
                <w:lang w:val="en-US" w:eastAsia="zh-CN"/>
              </w:rPr>
            </w:pPr>
            <w:r>
              <w:rPr>
                <w:kern w:val="2"/>
                <w:szCs w:val="21"/>
                <w:lang w:val="en-US" w:eastAsia="zh-CN"/>
              </w:rPr>
              <w:t>5</w:t>
            </w:r>
            <w:r>
              <w:rPr>
                <w:rFonts w:hint="eastAsia"/>
                <w:kern w:val="2"/>
                <w:szCs w:val="21"/>
                <w:lang w:val="en-US" w:eastAsia="zh-CN"/>
              </w:rPr>
              <w:t>（</w:t>
            </w:r>
            <w:r>
              <w:rPr>
                <w:kern w:val="2"/>
                <w:szCs w:val="21"/>
                <w:lang w:val="en-US" w:eastAsia="zh-CN"/>
              </w:rPr>
              <w:t>8</w:t>
            </w: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 w:hRule="atLeast"/>
          <w:jc w:val="center"/>
        </w:trPr>
        <w:tc>
          <w:tcPr>
            <w:tcW w:w="4630" w:type="dxa"/>
            <w:vAlign w:val="center"/>
          </w:tcPr>
          <w:p>
            <w:pPr>
              <w:pStyle w:val="26"/>
              <w:rPr>
                <w:kern w:val="2"/>
                <w:szCs w:val="21"/>
                <w:lang w:val="en-US" w:eastAsia="zh-CN"/>
              </w:rPr>
            </w:pPr>
            <w:r>
              <w:rPr>
                <w:rFonts w:hint="eastAsia"/>
                <w:kern w:val="2"/>
                <w:szCs w:val="21"/>
                <w:lang w:val="en-US" w:eastAsia="zh-CN"/>
              </w:rPr>
              <w:t>总氮≤</w:t>
            </w:r>
          </w:p>
        </w:tc>
        <w:tc>
          <w:tcPr>
            <w:tcW w:w="2610" w:type="dxa"/>
            <w:vAlign w:val="center"/>
          </w:tcPr>
          <w:p>
            <w:pPr>
              <w:pStyle w:val="26"/>
              <w:rPr>
                <w:kern w:val="2"/>
                <w:szCs w:val="21"/>
                <w:lang w:val="en-US" w:eastAsia="zh-CN"/>
              </w:rPr>
            </w:pPr>
            <w:r>
              <w:rPr>
                <w:kern w:val="2"/>
                <w:szCs w:val="21"/>
                <w:lang w:val="en-US" w:eastAsia="zh-CN"/>
              </w:rPr>
              <w:t>30</w:t>
            </w:r>
          </w:p>
        </w:tc>
        <w:tc>
          <w:tcPr>
            <w:tcW w:w="2614" w:type="dxa"/>
            <w:vAlign w:val="center"/>
          </w:tcPr>
          <w:p>
            <w:pPr>
              <w:pStyle w:val="26"/>
              <w:rPr>
                <w:kern w:val="2"/>
                <w:szCs w:val="21"/>
                <w:lang w:val="en-US" w:eastAsia="zh-CN"/>
              </w:rPr>
            </w:pPr>
            <w:r>
              <w:rPr>
                <w:kern w:val="2"/>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 w:hRule="atLeast"/>
          <w:jc w:val="center"/>
        </w:trPr>
        <w:tc>
          <w:tcPr>
            <w:tcW w:w="4630" w:type="dxa"/>
            <w:vAlign w:val="center"/>
          </w:tcPr>
          <w:p>
            <w:pPr>
              <w:pStyle w:val="26"/>
              <w:rPr>
                <w:kern w:val="2"/>
                <w:szCs w:val="21"/>
                <w:lang w:val="en-US" w:eastAsia="zh-CN"/>
              </w:rPr>
            </w:pPr>
            <w:r>
              <w:rPr>
                <w:rFonts w:hint="eastAsia"/>
                <w:kern w:val="2"/>
                <w:szCs w:val="21"/>
                <w:lang w:val="en-US" w:eastAsia="zh-CN"/>
              </w:rPr>
              <w:t>总磷≤</w:t>
            </w:r>
          </w:p>
        </w:tc>
        <w:tc>
          <w:tcPr>
            <w:tcW w:w="2610" w:type="dxa"/>
            <w:vAlign w:val="center"/>
          </w:tcPr>
          <w:p>
            <w:pPr>
              <w:pStyle w:val="26"/>
              <w:rPr>
                <w:kern w:val="2"/>
                <w:szCs w:val="21"/>
                <w:lang w:val="en-US" w:eastAsia="zh-CN"/>
              </w:rPr>
            </w:pPr>
            <w:r>
              <w:rPr>
                <w:kern w:val="2"/>
                <w:szCs w:val="21"/>
                <w:lang w:val="en-US" w:eastAsia="zh-CN"/>
              </w:rPr>
              <w:t>1.5</w:t>
            </w:r>
          </w:p>
        </w:tc>
        <w:tc>
          <w:tcPr>
            <w:tcW w:w="2614" w:type="dxa"/>
            <w:vAlign w:val="center"/>
          </w:tcPr>
          <w:p>
            <w:pPr>
              <w:pStyle w:val="26"/>
              <w:rPr>
                <w:kern w:val="2"/>
                <w:szCs w:val="21"/>
                <w:lang w:val="en-US" w:eastAsia="zh-CN"/>
              </w:rPr>
            </w:pPr>
            <w:r>
              <w:rPr>
                <w:kern w:val="2"/>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 w:hRule="atLeast"/>
          <w:jc w:val="center"/>
        </w:trPr>
        <w:tc>
          <w:tcPr>
            <w:tcW w:w="4630" w:type="dxa"/>
            <w:vAlign w:val="center"/>
          </w:tcPr>
          <w:p>
            <w:pPr>
              <w:pStyle w:val="26"/>
              <w:rPr>
                <w:kern w:val="2"/>
                <w:szCs w:val="21"/>
                <w:lang w:val="en-US" w:eastAsia="zh-CN"/>
              </w:rPr>
            </w:pPr>
            <w:r>
              <w:rPr>
                <w:rFonts w:hint="eastAsia"/>
                <w:kern w:val="2"/>
                <w:szCs w:val="21"/>
                <w:lang w:val="en-US" w:eastAsia="zh-CN"/>
              </w:rPr>
              <w:t>色度≤</w:t>
            </w:r>
          </w:p>
        </w:tc>
        <w:tc>
          <w:tcPr>
            <w:tcW w:w="2610" w:type="dxa"/>
            <w:vAlign w:val="center"/>
          </w:tcPr>
          <w:p>
            <w:pPr>
              <w:pStyle w:val="26"/>
              <w:rPr>
                <w:kern w:val="2"/>
                <w:szCs w:val="21"/>
                <w:lang w:val="en-US" w:eastAsia="zh-CN"/>
              </w:rPr>
            </w:pPr>
            <w:r>
              <w:rPr>
                <w:kern w:val="2"/>
                <w:szCs w:val="21"/>
                <w:lang w:val="en-US" w:eastAsia="zh-CN"/>
              </w:rPr>
              <w:t>80</w:t>
            </w:r>
          </w:p>
        </w:tc>
        <w:tc>
          <w:tcPr>
            <w:tcW w:w="2614" w:type="dxa"/>
            <w:vAlign w:val="center"/>
          </w:tcPr>
          <w:p>
            <w:pPr>
              <w:pStyle w:val="26"/>
              <w:rPr>
                <w:kern w:val="2"/>
                <w:szCs w:val="21"/>
                <w:lang w:val="en-US" w:eastAsia="zh-CN"/>
              </w:rPr>
            </w:pPr>
            <w:r>
              <w:rPr>
                <w:kern w:val="2"/>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 w:hRule="atLeast"/>
          <w:jc w:val="center"/>
        </w:trPr>
        <w:tc>
          <w:tcPr>
            <w:tcW w:w="4630" w:type="dxa"/>
            <w:vAlign w:val="center"/>
          </w:tcPr>
          <w:p>
            <w:pPr>
              <w:pStyle w:val="26"/>
              <w:rPr>
                <w:kern w:val="2"/>
                <w:szCs w:val="21"/>
                <w:lang w:val="en-US" w:eastAsia="zh-CN"/>
              </w:rPr>
            </w:pPr>
            <w:r>
              <w:rPr>
                <w:rFonts w:hint="eastAsia"/>
                <w:kern w:val="2"/>
                <w:szCs w:val="21"/>
                <w:lang w:val="en-US" w:eastAsia="zh-CN"/>
              </w:rPr>
              <w:t>硫化物≤</w:t>
            </w:r>
          </w:p>
        </w:tc>
        <w:tc>
          <w:tcPr>
            <w:tcW w:w="2610" w:type="dxa"/>
            <w:vAlign w:val="center"/>
          </w:tcPr>
          <w:p>
            <w:pPr>
              <w:pStyle w:val="26"/>
              <w:rPr>
                <w:kern w:val="2"/>
                <w:szCs w:val="21"/>
                <w:lang w:val="en-US" w:eastAsia="zh-CN"/>
              </w:rPr>
            </w:pPr>
            <w:r>
              <w:rPr>
                <w:kern w:val="2"/>
                <w:szCs w:val="21"/>
                <w:lang w:val="en-US" w:eastAsia="zh-CN"/>
              </w:rPr>
              <w:t>0.5</w:t>
            </w:r>
          </w:p>
        </w:tc>
        <w:tc>
          <w:tcPr>
            <w:tcW w:w="2614"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 w:hRule="atLeast"/>
          <w:jc w:val="center"/>
        </w:trPr>
        <w:tc>
          <w:tcPr>
            <w:tcW w:w="4630" w:type="dxa"/>
            <w:vAlign w:val="center"/>
          </w:tcPr>
          <w:p>
            <w:pPr>
              <w:pStyle w:val="26"/>
              <w:rPr>
                <w:kern w:val="2"/>
                <w:szCs w:val="21"/>
                <w:lang w:val="en-US" w:eastAsia="zh-CN"/>
              </w:rPr>
            </w:pPr>
            <w:r>
              <w:rPr>
                <w:kern w:val="2"/>
                <w:szCs w:val="21"/>
                <w:lang w:val="en-US" w:eastAsia="zh-CN"/>
              </w:rPr>
              <w:t>*</w:t>
            </w:r>
            <w:r>
              <w:rPr>
                <w:rFonts w:hint="eastAsia"/>
                <w:kern w:val="2"/>
                <w:szCs w:val="21"/>
                <w:lang w:val="en-US" w:eastAsia="zh-CN"/>
              </w:rPr>
              <w:t>苯胺类≤</w:t>
            </w:r>
          </w:p>
        </w:tc>
        <w:tc>
          <w:tcPr>
            <w:tcW w:w="2610" w:type="dxa"/>
            <w:vAlign w:val="center"/>
          </w:tcPr>
          <w:p>
            <w:pPr>
              <w:pStyle w:val="26"/>
              <w:rPr>
                <w:kern w:val="2"/>
                <w:szCs w:val="21"/>
                <w:lang w:val="en-US" w:eastAsia="zh-CN"/>
              </w:rPr>
            </w:pPr>
            <w:r>
              <w:rPr>
                <w:rFonts w:hint="eastAsia"/>
                <w:kern w:val="2"/>
                <w:szCs w:val="21"/>
                <w:lang w:val="en-US" w:eastAsia="zh-CN"/>
              </w:rPr>
              <w:t>1.0</w:t>
            </w:r>
          </w:p>
        </w:tc>
        <w:tc>
          <w:tcPr>
            <w:tcW w:w="2614"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 w:hRule="atLeast"/>
          <w:jc w:val="center"/>
        </w:trPr>
        <w:tc>
          <w:tcPr>
            <w:tcW w:w="4630" w:type="dxa"/>
            <w:vAlign w:val="center"/>
          </w:tcPr>
          <w:p>
            <w:pPr>
              <w:pStyle w:val="26"/>
              <w:rPr>
                <w:kern w:val="2"/>
                <w:szCs w:val="21"/>
                <w:lang w:val="en-US" w:eastAsia="zh-CN"/>
              </w:rPr>
            </w:pPr>
            <w:r>
              <w:rPr>
                <w:rFonts w:hint="eastAsia"/>
                <w:kern w:val="2"/>
                <w:szCs w:val="21"/>
                <w:lang w:val="en-US" w:eastAsia="zh-CN"/>
              </w:rPr>
              <w:t>总锑≤</w:t>
            </w:r>
          </w:p>
        </w:tc>
        <w:tc>
          <w:tcPr>
            <w:tcW w:w="2610" w:type="dxa"/>
            <w:vAlign w:val="center"/>
          </w:tcPr>
          <w:p>
            <w:pPr>
              <w:pStyle w:val="26"/>
              <w:rPr>
                <w:kern w:val="2"/>
                <w:szCs w:val="21"/>
                <w:lang w:val="en-US" w:eastAsia="zh-CN"/>
              </w:rPr>
            </w:pPr>
            <w:r>
              <w:rPr>
                <w:kern w:val="2"/>
                <w:szCs w:val="21"/>
                <w:lang w:val="en-US" w:eastAsia="zh-CN"/>
              </w:rPr>
              <w:t>0.1</w:t>
            </w:r>
          </w:p>
        </w:tc>
        <w:tc>
          <w:tcPr>
            <w:tcW w:w="2614"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 w:hRule="atLeast"/>
          <w:jc w:val="center"/>
        </w:trPr>
        <w:tc>
          <w:tcPr>
            <w:tcW w:w="4630" w:type="dxa"/>
            <w:vAlign w:val="center"/>
          </w:tcPr>
          <w:p>
            <w:pPr>
              <w:pStyle w:val="26"/>
              <w:rPr>
                <w:kern w:val="2"/>
                <w:szCs w:val="21"/>
                <w:lang w:val="en-US" w:eastAsia="zh-CN"/>
              </w:rPr>
            </w:pPr>
            <w:r>
              <w:rPr>
                <w:kern w:val="2"/>
                <w:szCs w:val="21"/>
                <w:lang w:val="en-US" w:eastAsia="zh-CN"/>
              </w:rPr>
              <w:t>*</w:t>
            </w:r>
            <w:r>
              <w:rPr>
                <w:rFonts w:hint="eastAsia"/>
                <w:kern w:val="2"/>
                <w:szCs w:val="21"/>
                <w:lang w:val="en-US" w:eastAsia="zh-CN"/>
              </w:rPr>
              <w:t>六价铬≤（车间或生产设施废水排放口）</w:t>
            </w:r>
          </w:p>
        </w:tc>
        <w:tc>
          <w:tcPr>
            <w:tcW w:w="2610" w:type="dxa"/>
            <w:vAlign w:val="center"/>
          </w:tcPr>
          <w:p>
            <w:pPr>
              <w:pStyle w:val="26"/>
              <w:rPr>
                <w:kern w:val="2"/>
                <w:szCs w:val="21"/>
                <w:lang w:val="en-US" w:eastAsia="zh-CN"/>
              </w:rPr>
            </w:pPr>
            <w:r>
              <w:rPr>
                <w:rFonts w:hint="eastAsia"/>
                <w:kern w:val="2"/>
                <w:szCs w:val="21"/>
                <w:lang w:val="en-US" w:eastAsia="zh-CN"/>
              </w:rPr>
              <w:t>0.5</w:t>
            </w:r>
          </w:p>
        </w:tc>
        <w:tc>
          <w:tcPr>
            <w:tcW w:w="2614" w:type="dxa"/>
            <w:vAlign w:val="center"/>
          </w:tcPr>
          <w:p>
            <w:pPr>
              <w:pStyle w:val="26"/>
              <w:rPr>
                <w:kern w:val="2"/>
                <w:szCs w:val="21"/>
                <w:lang w:val="en-US" w:eastAsia="zh-CN"/>
              </w:rPr>
            </w:pPr>
            <w:r>
              <w:rPr>
                <w:kern w:val="2"/>
                <w:szCs w:val="21"/>
                <w:lang w:val="en-US" w:eastAsia="zh-CN"/>
              </w:rPr>
              <w:t>-</w:t>
            </w:r>
          </w:p>
        </w:tc>
      </w:tr>
    </w:tbl>
    <w:p>
      <w:pPr>
        <w:ind w:firstLine="480"/>
      </w:pPr>
      <w:r>
        <w:t>3</w:t>
      </w:r>
      <w:r>
        <w:rPr>
          <w:rFonts w:hint="eastAsia"/>
        </w:rPr>
        <w:t>、噪声</w:t>
      </w:r>
    </w:p>
    <w:p>
      <w:pPr>
        <w:ind w:firstLine="480"/>
      </w:pPr>
      <w:r>
        <w:rPr>
          <w:rFonts w:hint="eastAsia"/>
        </w:rPr>
        <w:t>厂界噪声：执行《工业企业厂界环境噪声排放标准》（</w:t>
      </w:r>
      <w:r>
        <w:t>GB12348-2008</w:t>
      </w:r>
      <w:r>
        <w:rPr>
          <w:rFonts w:hint="eastAsia"/>
        </w:rPr>
        <w:t>）中的</w:t>
      </w:r>
      <w:r>
        <w:t>2</w:t>
      </w:r>
      <w:r>
        <w:rPr>
          <w:rFonts w:hint="eastAsia"/>
        </w:rPr>
        <w:t>类标准，具体见表</w:t>
      </w:r>
      <w:r>
        <w:t>2.3-10</w:t>
      </w:r>
      <w:r>
        <w:rPr>
          <w:rFonts w:hint="eastAsia"/>
        </w:rPr>
        <w:t>。</w:t>
      </w:r>
    </w:p>
    <w:p>
      <w:pPr>
        <w:pStyle w:val="26"/>
        <w:rPr>
          <w:b/>
          <w:bCs/>
        </w:rPr>
      </w:pPr>
      <w:r>
        <w:rPr>
          <w:rFonts w:hint="eastAsia"/>
          <w:b/>
          <w:bCs/>
        </w:rPr>
        <w:t>表</w:t>
      </w:r>
      <w:r>
        <w:rPr>
          <w:b/>
          <w:bCs/>
        </w:rPr>
        <w:t xml:space="preserve">2.3-10  </w:t>
      </w:r>
      <w:r>
        <w:rPr>
          <w:rFonts w:hint="eastAsia"/>
          <w:b/>
          <w:bCs/>
        </w:rPr>
        <w:t>《工业企业厂界环境噪声排放标准》限值单位：</w:t>
      </w:r>
      <w:r>
        <w:rPr>
          <w:b/>
          <w:bCs/>
        </w:rPr>
        <w:t>dB</w:t>
      </w:r>
    </w:p>
    <w:tbl>
      <w:tblPr>
        <w:tblStyle w:val="23"/>
        <w:tblW w:w="985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883"/>
        <w:gridCol w:w="2861"/>
        <w:gridCol w:w="21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6" w:hRule="atLeast"/>
          <w:jc w:val="center"/>
        </w:trPr>
        <w:tc>
          <w:tcPr>
            <w:tcW w:w="4883" w:type="dxa"/>
            <w:tcBorders>
              <w:tl2br w:val="single" w:color="auto" w:sz="6" w:space="0"/>
            </w:tcBorders>
            <w:vAlign w:val="center"/>
          </w:tcPr>
          <w:p>
            <w:pPr>
              <w:pStyle w:val="26"/>
              <w:spacing w:line="240" w:lineRule="auto"/>
              <w:rPr>
                <w:kern w:val="2"/>
                <w:szCs w:val="21"/>
                <w:lang w:val="en-US" w:eastAsia="zh-CN"/>
              </w:rPr>
            </w:pPr>
            <w:r>
              <w:rPr>
                <w:rFonts w:hint="eastAsia"/>
                <w:kern w:val="2"/>
                <w:szCs w:val="21"/>
                <w:lang w:val="en-US" w:eastAsia="zh-CN"/>
              </w:rPr>
              <w:t>时段</w:t>
            </w:r>
          </w:p>
          <w:p>
            <w:pPr>
              <w:pStyle w:val="26"/>
              <w:spacing w:line="240" w:lineRule="auto"/>
              <w:jc w:val="both"/>
              <w:rPr>
                <w:kern w:val="2"/>
                <w:szCs w:val="21"/>
                <w:lang w:val="en-US" w:eastAsia="zh-CN"/>
              </w:rPr>
            </w:pPr>
            <w:r>
              <w:rPr>
                <w:rFonts w:hint="eastAsia"/>
                <w:kern w:val="2"/>
                <w:szCs w:val="21"/>
                <w:lang w:val="en-US" w:eastAsia="zh-CN"/>
              </w:rPr>
              <w:t>厂界外声环境功能区类别</w:t>
            </w:r>
          </w:p>
        </w:tc>
        <w:tc>
          <w:tcPr>
            <w:tcW w:w="2861" w:type="dxa"/>
            <w:vAlign w:val="center"/>
          </w:tcPr>
          <w:p>
            <w:pPr>
              <w:pStyle w:val="26"/>
              <w:spacing w:line="240" w:lineRule="auto"/>
              <w:rPr>
                <w:kern w:val="2"/>
                <w:szCs w:val="21"/>
                <w:lang w:val="en-US" w:eastAsia="zh-CN"/>
              </w:rPr>
            </w:pPr>
            <w:r>
              <w:rPr>
                <w:rFonts w:hint="eastAsia"/>
                <w:kern w:val="2"/>
                <w:szCs w:val="21"/>
                <w:lang w:val="en-US" w:eastAsia="zh-CN"/>
              </w:rPr>
              <w:t>昼间</w:t>
            </w:r>
          </w:p>
        </w:tc>
        <w:tc>
          <w:tcPr>
            <w:tcW w:w="2110" w:type="dxa"/>
            <w:vAlign w:val="center"/>
          </w:tcPr>
          <w:p>
            <w:pPr>
              <w:pStyle w:val="26"/>
              <w:rPr>
                <w:kern w:val="2"/>
                <w:szCs w:val="21"/>
                <w:lang w:val="en-US" w:eastAsia="zh-CN"/>
              </w:rPr>
            </w:pPr>
            <w:r>
              <w:rPr>
                <w:rFonts w:hint="eastAsia"/>
                <w:kern w:val="2"/>
                <w:szCs w:val="21"/>
                <w:lang w:val="en-US" w:eastAsia="zh-CN"/>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883" w:type="dxa"/>
            <w:vAlign w:val="center"/>
          </w:tcPr>
          <w:p>
            <w:pPr>
              <w:pStyle w:val="26"/>
              <w:rPr>
                <w:kern w:val="2"/>
                <w:szCs w:val="21"/>
                <w:lang w:val="en-US" w:eastAsia="zh-CN"/>
              </w:rPr>
            </w:pPr>
            <w:r>
              <w:rPr>
                <w:kern w:val="2"/>
                <w:szCs w:val="21"/>
                <w:lang w:val="en-US" w:eastAsia="zh-CN"/>
              </w:rPr>
              <w:t>2</w:t>
            </w:r>
            <w:r>
              <w:rPr>
                <w:rFonts w:hint="eastAsia"/>
                <w:kern w:val="2"/>
                <w:szCs w:val="21"/>
                <w:lang w:val="en-US" w:eastAsia="zh-CN"/>
              </w:rPr>
              <w:t>类</w:t>
            </w:r>
          </w:p>
        </w:tc>
        <w:tc>
          <w:tcPr>
            <w:tcW w:w="2861" w:type="dxa"/>
            <w:vAlign w:val="center"/>
          </w:tcPr>
          <w:p>
            <w:pPr>
              <w:pStyle w:val="26"/>
              <w:rPr>
                <w:kern w:val="2"/>
                <w:szCs w:val="21"/>
                <w:lang w:val="en-US" w:eastAsia="zh-CN"/>
              </w:rPr>
            </w:pPr>
            <w:r>
              <w:rPr>
                <w:kern w:val="2"/>
                <w:szCs w:val="21"/>
                <w:lang w:val="en-US" w:eastAsia="zh-CN"/>
              </w:rPr>
              <w:t>60</w:t>
            </w:r>
          </w:p>
        </w:tc>
        <w:tc>
          <w:tcPr>
            <w:tcW w:w="2110" w:type="dxa"/>
            <w:vAlign w:val="center"/>
          </w:tcPr>
          <w:p>
            <w:pPr>
              <w:pStyle w:val="26"/>
              <w:rPr>
                <w:kern w:val="2"/>
                <w:szCs w:val="21"/>
                <w:lang w:val="en-US" w:eastAsia="zh-CN"/>
              </w:rPr>
            </w:pPr>
            <w:r>
              <w:rPr>
                <w:kern w:val="2"/>
                <w:szCs w:val="21"/>
                <w:lang w:val="en-US" w:eastAsia="zh-CN"/>
              </w:rPr>
              <w:t>50</w:t>
            </w:r>
          </w:p>
        </w:tc>
      </w:tr>
    </w:tbl>
    <w:p>
      <w:pPr>
        <w:ind w:firstLine="480"/>
      </w:pPr>
      <w:r>
        <w:t>4</w:t>
      </w:r>
      <w:r>
        <w:rPr>
          <w:rFonts w:hint="eastAsia"/>
        </w:rPr>
        <w:t>、固废</w:t>
      </w:r>
    </w:p>
    <w:p>
      <w:pPr>
        <w:ind w:firstLine="480"/>
      </w:pPr>
      <w:r>
        <w:rPr>
          <w:rFonts w:hint="eastAsia"/>
        </w:rPr>
        <w:t>固体废物处置依据《国家危险废物名录（</w:t>
      </w:r>
      <w:r>
        <w:t>2016</w:t>
      </w:r>
      <w:r>
        <w:rPr>
          <w:rFonts w:hint="eastAsia"/>
        </w:rPr>
        <w:t>）》和《危险废物鉴别标准》</w:t>
      </w:r>
      <w:r>
        <w:t>(GB5085.1</w:t>
      </w:r>
      <w:r>
        <w:rPr>
          <w:rFonts w:hint="eastAsia"/>
        </w:rPr>
        <w:t>～</w:t>
      </w:r>
      <w:r>
        <w:t>7-2007)</w:t>
      </w:r>
      <w:r>
        <w:rPr>
          <w:rFonts w:hint="eastAsia"/>
        </w:rPr>
        <w:t>，来鉴别一般工业废物和危险废物。</w:t>
      </w:r>
    </w:p>
    <w:p>
      <w:pPr>
        <w:ind w:firstLine="480"/>
      </w:pPr>
      <w:r>
        <w:rPr>
          <w:rFonts w:hint="eastAsia"/>
        </w:rPr>
        <w:t>根据固废的类别，一般固废在厂区内暂存、处置执行《一般工业固体废物贮存、处置场污染控制标准》（</w:t>
      </w:r>
      <w:r>
        <w:t>GB18599-2001</w:t>
      </w:r>
      <w:r>
        <w:rPr>
          <w:rFonts w:hint="eastAsia"/>
        </w:rPr>
        <w:t>）及修改单（环保部公告</w:t>
      </w:r>
      <w:r>
        <w:t>2013</w:t>
      </w:r>
      <w:r>
        <w:rPr>
          <w:rFonts w:hint="eastAsia"/>
        </w:rPr>
        <w:t>年第</w:t>
      </w:r>
      <w:r>
        <w:t>36</w:t>
      </w:r>
      <w:r>
        <w:rPr>
          <w:rFonts w:hint="eastAsia"/>
        </w:rPr>
        <w:t>号）；危险废物在厂区内暂存执行《危险废物贮存污染控制标准》（</w:t>
      </w:r>
      <w:r>
        <w:t>GB18597-2001</w:t>
      </w:r>
      <w:r>
        <w:rPr>
          <w:rFonts w:hint="eastAsia"/>
        </w:rPr>
        <w:t>）及修改单（环保部公告</w:t>
      </w:r>
      <w:r>
        <w:t>2013</w:t>
      </w:r>
      <w:r>
        <w:rPr>
          <w:rFonts w:hint="eastAsia"/>
        </w:rPr>
        <w:t>年第</w:t>
      </w:r>
      <w:r>
        <w:t>36</w:t>
      </w:r>
      <w:r>
        <w:rPr>
          <w:rFonts w:hint="eastAsia"/>
        </w:rPr>
        <w:t>号）；</w:t>
      </w:r>
    </w:p>
    <w:p>
      <w:pPr>
        <w:ind w:firstLine="480"/>
      </w:pPr>
      <w:r>
        <w:rPr>
          <w:rFonts w:hint="eastAsia"/>
        </w:rPr>
        <w:t>生活垃圾处理参照执行《城市生活垃圾处理及污染防治技术政策》（建城</w:t>
      </w:r>
      <w:r>
        <w:t>[2000]120</w:t>
      </w:r>
      <w:r>
        <w:rPr>
          <w:rFonts w:hint="eastAsia"/>
        </w:rPr>
        <w:t>号）和《生活垃圾处理技术指南》（建城</w:t>
      </w:r>
      <w:r>
        <w:t>[2010]61</w:t>
      </w:r>
      <w:r>
        <w:rPr>
          <w:rFonts w:hint="eastAsia"/>
        </w:rPr>
        <w:t>号）以及国家、省市关于固体废物污染环境防治的法律法规。</w:t>
      </w:r>
    </w:p>
    <w:p>
      <w:pPr>
        <w:pStyle w:val="3"/>
      </w:pPr>
      <w:bookmarkStart w:id="14" w:name="_Toc12625"/>
      <w:r>
        <w:rPr>
          <w:rFonts w:hint="eastAsia"/>
        </w:rPr>
        <w:t>评价工作等级与评价范围</w:t>
      </w:r>
      <w:bookmarkEnd w:id="14"/>
    </w:p>
    <w:p>
      <w:pPr>
        <w:pStyle w:val="4"/>
      </w:pPr>
      <w:r>
        <w:rPr>
          <w:rFonts w:hint="eastAsia"/>
        </w:rPr>
        <w:t>评价工作等级</w:t>
      </w:r>
    </w:p>
    <w:p>
      <w:pPr>
        <w:ind w:firstLine="480"/>
      </w:pPr>
      <w:r>
        <w:t>1</w:t>
      </w:r>
      <w:r>
        <w:rPr>
          <w:rFonts w:hint="eastAsia"/>
        </w:rPr>
        <w:t>、地面水环境影响评价等级</w:t>
      </w:r>
    </w:p>
    <w:p>
      <w:pPr>
        <w:ind w:firstLine="480"/>
      </w:pPr>
      <w:r>
        <w:rPr>
          <w:rFonts w:hint="eastAsia" w:ascii="宋体" w:hAnsi="宋体"/>
        </w:rPr>
        <w:t>企业日最大废水排放量为</w:t>
      </w:r>
      <w:r>
        <w:rPr>
          <w:rFonts w:hint="eastAsia"/>
          <w:lang w:val="en-US" w:eastAsia="zh-CN"/>
        </w:rPr>
        <w:t>659.8</w:t>
      </w:r>
      <w:r>
        <w:t>t/d</w:t>
      </w:r>
      <w:r>
        <w:rPr>
          <w:rFonts w:hint="eastAsia"/>
        </w:rPr>
        <w:t>，项目排</w:t>
      </w:r>
      <w:r>
        <w:rPr>
          <w:rFonts w:hint="eastAsia" w:ascii="宋体" w:hAnsi="宋体"/>
        </w:rPr>
        <w:t>放的废水</w:t>
      </w:r>
      <w:r>
        <w:rPr>
          <w:rFonts w:hint="eastAsia" w:ascii="宋体" w:hAnsi="宋体"/>
          <w:szCs w:val="21"/>
        </w:rPr>
        <w:t>经预处理达</w:t>
      </w:r>
      <w:r>
        <w:rPr>
          <w:rFonts w:hint="eastAsia"/>
          <w:szCs w:val="21"/>
        </w:rPr>
        <w:t>标后，</w:t>
      </w:r>
      <w:r>
        <w:rPr>
          <w:rFonts w:hint="eastAsia" w:ascii="宋体" w:hAnsi="宋体"/>
          <w:szCs w:val="21"/>
        </w:rPr>
        <w:t>出水进入</w:t>
      </w:r>
      <w:r>
        <w:rPr>
          <w:rFonts w:hint="eastAsia" w:ascii="宋体" w:hAnsi="宋体"/>
        </w:rPr>
        <w:t>营田镇污水处理厂集中处理，纳污水体为湘江，湘江水质要求为Ⅲ类，根据《环境影响评价技术导则地面水环境</w:t>
      </w:r>
      <w:r>
        <w:rPr>
          <w:rFonts w:hint="eastAsia"/>
        </w:rPr>
        <w:t>》（</w:t>
      </w:r>
      <w:r>
        <w:t>HJ/T2.3-93</w:t>
      </w:r>
      <w:r>
        <w:rPr>
          <w:rFonts w:hint="eastAsia"/>
        </w:rPr>
        <w:t>）中有关规定，确定项目水环境评价等级为三级。</w:t>
      </w:r>
    </w:p>
    <w:p>
      <w:pPr>
        <w:ind w:firstLine="480"/>
      </w:pPr>
      <w:r>
        <w:t>2</w:t>
      </w:r>
      <w:r>
        <w:rPr>
          <w:rFonts w:hint="eastAsia"/>
        </w:rPr>
        <w:t>、地下水环境影响评价等级</w:t>
      </w:r>
    </w:p>
    <w:p>
      <w:pPr>
        <w:ind w:firstLine="480"/>
      </w:pPr>
      <w:r>
        <w:rPr>
          <w:rFonts w:hint="eastAsia"/>
        </w:rPr>
        <w:t>根据《环境影响评价技术导则</w:t>
      </w:r>
      <w:r>
        <w:t>-</w:t>
      </w:r>
      <w:r>
        <w:rPr>
          <w:rFonts w:hint="eastAsia"/>
        </w:rPr>
        <w:t>地下水环境》（</w:t>
      </w:r>
      <w:r>
        <w:t>HJ610-2016</w:t>
      </w:r>
      <w:r>
        <w:rPr>
          <w:rFonts w:hint="eastAsia"/>
        </w:rPr>
        <w:t>），依据表</w:t>
      </w:r>
      <w:r>
        <w:t>2.4-1</w:t>
      </w:r>
      <w:r>
        <w:rPr>
          <w:rFonts w:hint="eastAsia"/>
        </w:rPr>
        <w:t>项目地下水评价工作等级划分依据，对照地下水环境影响评价行业分类表，本项目属</w:t>
      </w:r>
      <w:r>
        <w:fldChar w:fldCharType="begin"/>
      </w:r>
      <w:r>
        <w:instrText xml:space="preserve"> = 1 \* ROMAN </w:instrText>
      </w:r>
      <w:r>
        <w:fldChar w:fldCharType="separate"/>
      </w:r>
      <w:r>
        <w:t>I</w:t>
      </w:r>
      <w:r>
        <w:fldChar w:fldCharType="end"/>
      </w:r>
      <w:r>
        <w:rPr>
          <w:rFonts w:hint="eastAsia"/>
        </w:rPr>
        <w:t>类项目，周围环境不敏感，因此，本项目评价工作等级确定为二级。</w:t>
      </w:r>
    </w:p>
    <w:p>
      <w:pPr>
        <w:pStyle w:val="26"/>
        <w:rPr>
          <w:b/>
          <w:bCs/>
        </w:rPr>
      </w:pPr>
      <w:r>
        <w:rPr>
          <w:rFonts w:hint="eastAsia"/>
          <w:b/>
          <w:bCs/>
        </w:rPr>
        <w:t>表</w:t>
      </w:r>
      <w:r>
        <w:rPr>
          <w:b/>
          <w:bCs/>
        </w:rPr>
        <w:t xml:space="preserve">2.4-1    </w:t>
      </w:r>
      <w:r>
        <w:rPr>
          <w:rFonts w:hint="eastAsia"/>
          <w:b/>
          <w:bCs/>
        </w:rPr>
        <w:t>项目地下水评价工作等级划分</w:t>
      </w:r>
    </w:p>
    <w:tbl>
      <w:tblPr>
        <w:tblStyle w:val="23"/>
        <w:tblW w:w="985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450"/>
        <w:gridCol w:w="2135"/>
        <w:gridCol w:w="2134"/>
        <w:gridCol w:w="21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9" w:hRule="atLeast"/>
          <w:tblHeader/>
          <w:jc w:val="center"/>
        </w:trPr>
        <w:tc>
          <w:tcPr>
            <w:tcW w:w="3450" w:type="dxa"/>
            <w:tcBorders>
              <w:tl2br w:val="single" w:color="auto" w:sz="6" w:space="0"/>
            </w:tcBorders>
            <w:vAlign w:val="center"/>
          </w:tcPr>
          <w:p>
            <w:pPr>
              <w:pStyle w:val="26"/>
              <w:jc w:val="right"/>
              <w:rPr>
                <w:kern w:val="2"/>
                <w:szCs w:val="21"/>
                <w:lang w:val="en-US" w:eastAsia="zh-CN"/>
              </w:rPr>
            </w:pPr>
            <w:r>
              <w:rPr>
                <w:rFonts w:hint="eastAsia"/>
                <w:kern w:val="2"/>
                <w:szCs w:val="21"/>
                <w:lang w:val="en-US" w:eastAsia="zh-CN"/>
              </w:rPr>
              <w:t>项目类别</w:t>
            </w:r>
          </w:p>
          <w:p>
            <w:pPr>
              <w:pStyle w:val="26"/>
              <w:jc w:val="both"/>
              <w:rPr>
                <w:kern w:val="2"/>
                <w:szCs w:val="21"/>
                <w:lang w:val="en-US" w:eastAsia="zh-CN"/>
              </w:rPr>
            </w:pPr>
            <w:r>
              <w:rPr>
                <w:rFonts w:hint="eastAsia"/>
                <w:kern w:val="2"/>
                <w:szCs w:val="21"/>
                <w:lang w:val="en-US" w:eastAsia="zh-CN"/>
              </w:rPr>
              <w:t>环境敏感程度</w:t>
            </w:r>
          </w:p>
        </w:tc>
        <w:tc>
          <w:tcPr>
            <w:tcW w:w="2135" w:type="dxa"/>
            <w:tcBorders>
              <w:right w:val="single" w:color="auto" w:sz="4" w:space="0"/>
            </w:tcBorders>
            <w:vAlign w:val="center"/>
          </w:tcPr>
          <w:p>
            <w:pPr>
              <w:pStyle w:val="26"/>
              <w:rPr>
                <w:kern w:val="2"/>
                <w:szCs w:val="21"/>
                <w:lang w:val="en-US" w:eastAsia="zh-CN"/>
              </w:rPr>
            </w:pPr>
            <w:r>
              <w:rPr>
                <w:kern w:val="2"/>
                <w:szCs w:val="21"/>
                <w:lang w:val="en-US" w:eastAsia="zh-CN"/>
              </w:rPr>
              <w:fldChar w:fldCharType="begin"/>
            </w:r>
            <w:r>
              <w:rPr>
                <w:kern w:val="2"/>
                <w:szCs w:val="21"/>
                <w:lang w:val="en-US" w:eastAsia="zh-CN"/>
              </w:rPr>
              <w:instrText xml:space="preserve"> = 1 \* ROMAN </w:instrText>
            </w:r>
            <w:r>
              <w:rPr>
                <w:kern w:val="2"/>
                <w:szCs w:val="21"/>
                <w:lang w:val="en-US" w:eastAsia="zh-CN"/>
              </w:rPr>
              <w:fldChar w:fldCharType="separate"/>
            </w:r>
            <w:r>
              <w:rPr>
                <w:kern w:val="2"/>
                <w:szCs w:val="21"/>
                <w:lang w:val="en-US" w:eastAsia="zh-CN"/>
              </w:rPr>
              <w:t>I</w:t>
            </w:r>
            <w:r>
              <w:rPr>
                <w:kern w:val="2"/>
                <w:szCs w:val="21"/>
                <w:lang w:val="en-US" w:eastAsia="zh-CN"/>
              </w:rPr>
              <w:fldChar w:fldCharType="end"/>
            </w:r>
            <w:r>
              <w:rPr>
                <w:rFonts w:hint="eastAsia"/>
                <w:kern w:val="2"/>
                <w:szCs w:val="21"/>
                <w:lang w:val="en-US" w:eastAsia="zh-CN"/>
              </w:rPr>
              <w:t>类项目</w:t>
            </w:r>
          </w:p>
        </w:tc>
        <w:tc>
          <w:tcPr>
            <w:tcW w:w="2134" w:type="dxa"/>
            <w:tcBorders>
              <w:left w:val="single" w:color="auto" w:sz="4" w:space="0"/>
            </w:tcBorders>
            <w:vAlign w:val="center"/>
          </w:tcPr>
          <w:p>
            <w:pPr>
              <w:pStyle w:val="26"/>
              <w:rPr>
                <w:kern w:val="2"/>
                <w:szCs w:val="21"/>
                <w:lang w:val="en-US" w:eastAsia="zh-CN"/>
              </w:rPr>
            </w:pPr>
            <w:r>
              <w:rPr>
                <w:kern w:val="2"/>
                <w:szCs w:val="21"/>
                <w:lang w:val="en-US" w:eastAsia="zh-CN"/>
              </w:rPr>
              <w:fldChar w:fldCharType="begin"/>
            </w:r>
            <w:r>
              <w:rPr>
                <w:kern w:val="2"/>
                <w:szCs w:val="21"/>
                <w:lang w:val="en-US" w:eastAsia="zh-CN"/>
              </w:rPr>
              <w:instrText xml:space="preserve"> = 2 \* ROMAN </w:instrText>
            </w:r>
            <w:r>
              <w:rPr>
                <w:kern w:val="2"/>
                <w:szCs w:val="21"/>
                <w:lang w:val="en-US" w:eastAsia="zh-CN"/>
              </w:rPr>
              <w:fldChar w:fldCharType="separate"/>
            </w:r>
            <w:r>
              <w:rPr>
                <w:kern w:val="2"/>
                <w:szCs w:val="21"/>
                <w:lang w:val="en-US" w:eastAsia="zh-CN"/>
              </w:rPr>
              <w:t>II</w:t>
            </w:r>
            <w:r>
              <w:rPr>
                <w:kern w:val="2"/>
                <w:szCs w:val="21"/>
                <w:lang w:val="en-US" w:eastAsia="zh-CN"/>
              </w:rPr>
              <w:fldChar w:fldCharType="end"/>
            </w:r>
            <w:r>
              <w:rPr>
                <w:rFonts w:hint="eastAsia"/>
                <w:kern w:val="2"/>
                <w:szCs w:val="21"/>
                <w:lang w:val="en-US" w:eastAsia="zh-CN"/>
              </w:rPr>
              <w:t>类项目</w:t>
            </w:r>
          </w:p>
        </w:tc>
        <w:tc>
          <w:tcPr>
            <w:tcW w:w="2135" w:type="dxa"/>
            <w:vAlign w:val="center"/>
          </w:tcPr>
          <w:p>
            <w:pPr>
              <w:pStyle w:val="26"/>
              <w:rPr>
                <w:kern w:val="2"/>
                <w:szCs w:val="21"/>
                <w:lang w:val="en-US" w:eastAsia="zh-CN"/>
              </w:rPr>
            </w:pPr>
            <w:r>
              <w:rPr>
                <w:kern w:val="2"/>
                <w:szCs w:val="21"/>
                <w:lang w:val="en-US" w:eastAsia="zh-CN"/>
              </w:rPr>
              <w:fldChar w:fldCharType="begin"/>
            </w:r>
            <w:r>
              <w:rPr>
                <w:kern w:val="2"/>
                <w:szCs w:val="21"/>
                <w:lang w:val="en-US" w:eastAsia="zh-CN"/>
              </w:rPr>
              <w:instrText xml:space="preserve"> = 3 \* ROMAN </w:instrText>
            </w:r>
            <w:r>
              <w:rPr>
                <w:kern w:val="2"/>
                <w:szCs w:val="21"/>
                <w:lang w:val="en-US" w:eastAsia="zh-CN"/>
              </w:rPr>
              <w:fldChar w:fldCharType="separate"/>
            </w:r>
            <w:r>
              <w:rPr>
                <w:kern w:val="2"/>
                <w:szCs w:val="21"/>
                <w:lang w:val="en-US" w:eastAsia="zh-CN"/>
              </w:rPr>
              <w:t>III</w:t>
            </w:r>
            <w:r>
              <w:rPr>
                <w:kern w:val="2"/>
                <w:szCs w:val="21"/>
                <w:lang w:val="en-US" w:eastAsia="zh-CN"/>
              </w:rPr>
              <w:fldChar w:fldCharType="end"/>
            </w:r>
            <w:r>
              <w:rPr>
                <w:rFonts w:hint="eastAsia"/>
                <w:kern w:val="2"/>
                <w:szCs w:val="21"/>
                <w:lang w:val="en-US" w:eastAsia="zh-CN"/>
              </w:rPr>
              <w:t>类项目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450" w:type="dxa"/>
            <w:vAlign w:val="center"/>
          </w:tcPr>
          <w:p>
            <w:pPr>
              <w:pStyle w:val="26"/>
              <w:rPr>
                <w:kern w:val="2"/>
                <w:szCs w:val="21"/>
                <w:lang w:val="en-US" w:eastAsia="zh-CN"/>
              </w:rPr>
            </w:pPr>
            <w:r>
              <w:rPr>
                <w:rFonts w:hint="eastAsia"/>
                <w:kern w:val="2"/>
                <w:szCs w:val="21"/>
                <w:lang w:val="en-US" w:eastAsia="zh-CN"/>
              </w:rPr>
              <w:t>敏感</w:t>
            </w:r>
          </w:p>
        </w:tc>
        <w:tc>
          <w:tcPr>
            <w:tcW w:w="2135" w:type="dxa"/>
            <w:tcBorders>
              <w:right w:val="single" w:color="auto" w:sz="4" w:space="0"/>
            </w:tcBorders>
            <w:vAlign w:val="center"/>
          </w:tcPr>
          <w:p>
            <w:pPr>
              <w:pStyle w:val="26"/>
              <w:rPr>
                <w:kern w:val="2"/>
                <w:szCs w:val="21"/>
                <w:lang w:val="en-US" w:eastAsia="zh-CN"/>
              </w:rPr>
            </w:pPr>
            <w:r>
              <w:rPr>
                <w:rFonts w:hint="eastAsia"/>
                <w:kern w:val="2"/>
                <w:szCs w:val="21"/>
                <w:lang w:val="en-US" w:eastAsia="zh-CN"/>
              </w:rPr>
              <w:t>一</w:t>
            </w:r>
          </w:p>
        </w:tc>
        <w:tc>
          <w:tcPr>
            <w:tcW w:w="2134" w:type="dxa"/>
            <w:tcBorders>
              <w:left w:val="single" w:color="auto" w:sz="4" w:space="0"/>
            </w:tcBorders>
            <w:vAlign w:val="center"/>
          </w:tcPr>
          <w:p>
            <w:pPr>
              <w:pStyle w:val="26"/>
              <w:rPr>
                <w:kern w:val="2"/>
                <w:szCs w:val="21"/>
                <w:lang w:val="en-US" w:eastAsia="zh-CN"/>
              </w:rPr>
            </w:pPr>
            <w:r>
              <w:rPr>
                <w:rFonts w:hint="eastAsia"/>
                <w:kern w:val="2"/>
                <w:szCs w:val="21"/>
                <w:lang w:val="en-US" w:eastAsia="zh-CN"/>
              </w:rPr>
              <w:t>一</w:t>
            </w:r>
          </w:p>
        </w:tc>
        <w:tc>
          <w:tcPr>
            <w:tcW w:w="2135" w:type="dxa"/>
            <w:vAlign w:val="center"/>
          </w:tcPr>
          <w:p>
            <w:pPr>
              <w:pStyle w:val="26"/>
              <w:rPr>
                <w:kern w:val="2"/>
                <w:szCs w:val="21"/>
                <w:lang w:val="en-US" w:eastAsia="zh-CN"/>
              </w:rPr>
            </w:pPr>
            <w:r>
              <w:rPr>
                <w:rFonts w:hint="eastAsia"/>
                <w:kern w:val="2"/>
                <w:szCs w:val="21"/>
                <w:lang w:val="en-US" w:eastAsia="zh-CN"/>
              </w:rPr>
              <w:t>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450" w:type="dxa"/>
            <w:vAlign w:val="center"/>
          </w:tcPr>
          <w:p>
            <w:pPr>
              <w:pStyle w:val="26"/>
              <w:rPr>
                <w:kern w:val="2"/>
                <w:szCs w:val="21"/>
                <w:lang w:val="en-US" w:eastAsia="zh-CN"/>
              </w:rPr>
            </w:pPr>
            <w:r>
              <w:rPr>
                <w:rFonts w:hint="eastAsia"/>
                <w:kern w:val="2"/>
                <w:szCs w:val="21"/>
                <w:lang w:val="en-US" w:eastAsia="zh-CN"/>
              </w:rPr>
              <w:t>较敏感</w:t>
            </w:r>
          </w:p>
        </w:tc>
        <w:tc>
          <w:tcPr>
            <w:tcW w:w="2135" w:type="dxa"/>
            <w:tcBorders>
              <w:right w:val="single" w:color="auto" w:sz="4" w:space="0"/>
            </w:tcBorders>
            <w:vAlign w:val="center"/>
          </w:tcPr>
          <w:p>
            <w:pPr>
              <w:pStyle w:val="26"/>
              <w:rPr>
                <w:kern w:val="2"/>
                <w:szCs w:val="21"/>
                <w:lang w:val="en-US" w:eastAsia="zh-CN"/>
              </w:rPr>
            </w:pPr>
            <w:r>
              <w:rPr>
                <w:rFonts w:hint="eastAsia"/>
                <w:kern w:val="2"/>
                <w:szCs w:val="21"/>
                <w:lang w:val="en-US" w:eastAsia="zh-CN"/>
              </w:rPr>
              <w:t>一</w:t>
            </w:r>
          </w:p>
        </w:tc>
        <w:tc>
          <w:tcPr>
            <w:tcW w:w="2134" w:type="dxa"/>
            <w:tcBorders>
              <w:left w:val="single" w:color="auto" w:sz="4" w:space="0"/>
            </w:tcBorders>
            <w:vAlign w:val="center"/>
          </w:tcPr>
          <w:p>
            <w:pPr>
              <w:pStyle w:val="26"/>
              <w:rPr>
                <w:kern w:val="2"/>
                <w:szCs w:val="21"/>
                <w:lang w:val="en-US" w:eastAsia="zh-CN"/>
              </w:rPr>
            </w:pPr>
            <w:r>
              <w:rPr>
                <w:rFonts w:hint="eastAsia"/>
                <w:kern w:val="2"/>
                <w:szCs w:val="21"/>
                <w:lang w:val="en-US" w:eastAsia="zh-CN"/>
              </w:rPr>
              <w:t>二</w:t>
            </w:r>
          </w:p>
        </w:tc>
        <w:tc>
          <w:tcPr>
            <w:tcW w:w="2135" w:type="dxa"/>
            <w:vAlign w:val="center"/>
          </w:tcPr>
          <w:p>
            <w:pPr>
              <w:pStyle w:val="26"/>
              <w:rPr>
                <w:kern w:val="2"/>
                <w:szCs w:val="21"/>
                <w:lang w:val="en-US" w:eastAsia="zh-CN"/>
              </w:rPr>
            </w:pPr>
            <w:r>
              <w:rPr>
                <w:rFonts w:hint="eastAsia"/>
                <w:kern w:val="2"/>
                <w:szCs w:val="21"/>
                <w:lang w:val="en-US" w:eastAsia="zh-CN"/>
              </w:rPr>
              <w:t>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450" w:type="dxa"/>
            <w:vAlign w:val="center"/>
          </w:tcPr>
          <w:p>
            <w:pPr>
              <w:pStyle w:val="26"/>
              <w:rPr>
                <w:kern w:val="2"/>
                <w:szCs w:val="21"/>
                <w:lang w:val="en-US" w:eastAsia="zh-CN"/>
              </w:rPr>
            </w:pPr>
            <w:r>
              <w:rPr>
                <w:rFonts w:hint="eastAsia"/>
                <w:kern w:val="2"/>
                <w:szCs w:val="21"/>
                <w:lang w:val="en-US" w:eastAsia="zh-CN"/>
              </w:rPr>
              <w:t>不敏感</w:t>
            </w:r>
          </w:p>
        </w:tc>
        <w:tc>
          <w:tcPr>
            <w:tcW w:w="2135" w:type="dxa"/>
            <w:tcBorders>
              <w:right w:val="single" w:color="auto" w:sz="4" w:space="0"/>
            </w:tcBorders>
            <w:vAlign w:val="center"/>
          </w:tcPr>
          <w:p>
            <w:pPr>
              <w:pStyle w:val="26"/>
              <w:rPr>
                <w:kern w:val="2"/>
                <w:szCs w:val="21"/>
                <w:lang w:val="en-US" w:eastAsia="zh-CN"/>
              </w:rPr>
            </w:pPr>
            <w:r>
              <w:rPr>
                <w:rFonts w:hint="eastAsia"/>
                <w:kern w:val="2"/>
                <w:szCs w:val="21"/>
                <w:lang w:val="en-US" w:eastAsia="zh-CN"/>
              </w:rPr>
              <w:t>二</w:t>
            </w:r>
          </w:p>
        </w:tc>
        <w:tc>
          <w:tcPr>
            <w:tcW w:w="2134" w:type="dxa"/>
            <w:tcBorders>
              <w:left w:val="single" w:color="auto" w:sz="4" w:space="0"/>
            </w:tcBorders>
            <w:vAlign w:val="center"/>
          </w:tcPr>
          <w:p>
            <w:pPr>
              <w:pStyle w:val="26"/>
              <w:rPr>
                <w:kern w:val="2"/>
                <w:szCs w:val="21"/>
                <w:lang w:val="en-US" w:eastAsia="zh-CN"/>
              </w:rPr>
            </w:pPr>
            <w:r>
              <w:rPr>
                <w:rFonts w:hint="eastAsia"/>
                <w:kern w:val="2"/>
                <w:szCs w:val="21"/>
                <w:lang w:val="en-US" w:eastAsia="zh-CN"/>
              </w:rPr>
              <w:t>三</w:t>
            </w:r>
          </w:p>
        </w:tc>
        <w:tc>
          <w:tcPr>
            <w:tcW w:w="2135" w:type="dxa"/>
            <w:vAlign w:val="center"/>
          </w:tcPr>
          <w:p>
            <w:pPr>
              <w:pStyle w:val="26"/>
              <w:rPr>
                <w:kern w:val="2"/>
                <w:szCs w:val="21"/>
                <w:lang w:val="en-US" w:eastAsia="zh-CN"/>
              </w:rPr>
            </w:pPr>
            <w:r>
              <w:rPr>
                <w:rFonts w:hint="eastAsia"/>
                <w:kern w:val="2"/>
                <w:szCs w:val="21"/>
                <w:lang w:val="en-US" w:eastAsia="zh-CN"/>
              </w:rPr>
              <w:t>三</w:t>
            </w:r>
          </w:p>
        </w:tc>
      </w:tr>
    </w:tbl>
    <w:p>
      <w:pPr>
        <w:ind w:firstLine="480"/>
      </w:pPr>
      <w:r>
        <w:t>3</w:t>
      </w:r>
      <w:r>
        <w:rPr>
          <w:rFonts w:hint="eastAsia"/>
        </w:rPr>
        <w:t>、大气环境评价等级</w:t>
      </w:r>
    </w:p>
    <w:p>
      <w:pPr>
        <w:ind w:firstLine="480"/>
      </w:pPr>
      <w:r>
        <w:rPr>
          <w:rFonts w:hint="eastAsia"/>
        </w:rPr>
        <w:t>根据初步工程分析结果确定本项目排放的废气主要为定型废气、醋酸，故确定颗粒物、油烟（以非甲烷总烃计）、</w:t>
      </w:r>
      <w:r>
        <w:t>NOx</w:t>
      </w:r>
      <w:r>
        <w:rPr>
          <w:rFonts w:hint="eastAsia"/>
        </w:rPr>
        <w:t>和醋酸为项目主要空气污染因子。根据《环境影响评价技术导则大气环境》</w:t>
      </w:r>
      <w:r>
        <w:t>(HJ2.2-2008)</w:t>
      </w:r>
      <w:r>
        <w:rPr>
          <w:rFonts w:hint="eastAsia"/>
        </w:rPr>
        <w:t>评价等级判定方法，评价等级判定依据为最大地面浓度占标率</w:t>
      </w:r>
      <w:r>
        <w:t>Pi(</w:t>
      </w:r>
      <w:r>
        <w:rPr>
          <w:rFonts w:hint="eastAsia"/>
        </w:rPr>
        <w:t>下标</w:t>
      </w:r>
      <w:r>
        <w:t>i</w:t>
      </w:r>
      <w:r>
        <w:rPr>
          <w:rFonts w:hint="eastAsia"/>
        </w:rPr>
        <w:t>为第</w:t>
      </w:r>
      <w:r>
        <w:t xml:space="preserve">i </w:t>
      </w:r>
      <w:r>
        <w:rPr>
          <w:rFonts w:hint="eastAsia"/>
        </w:rPr>
        <w:t>个污染物</w:t>
      </w:r>
      <w:r>
        <w:t>)</w:t>
      </w:r>
      <w:r>
        <w:rPr>
          <w:rFonts w:hint="eastAsia"/>
        </w:rPr>
        <w:t>及第</w:t>
      </w:r>
      <w:r>
        <w:t>i</w:t>
      </w:r>
      <w:r>
        <w:rPr>
          <w:rFonts w:hint="eastAsia"/>
        </w:rPr>
        <w:t>个污染物的地面浓度达到标准限值</w:t>
      </w:r>
      <w:r>
        <w:t>10%</w:t>
      </w:r>
      <w:r>
        <w:rPr>
          <w:rFonts w:hint="eastAsia"/>
        </w:rPr>
        <w:t>时所对应的最远距离</w:t>
      </w:r>
      <w:r>
        <w:t>D10%</w:t>
      </w:r>
      <w:r>
        <w:rPr>
          <w:rFonts w:hint="eastAsia"/>
        </w:rPr>
        <w:t>，其中</w:t>
      </w:r>
      <w:r>
        <w:t xml:space="preserve">Pi </w:t>
      </w:r>
      <w:r>
        <w:rPr>
          <w:rFonts w:hint="eastAsia"/>
        </w:rPr>
        <w:t>的定义为：</w:t>
      </w:r>
    </w:p>
    <w:p>
      <w:pPr>
        <w:ind w:firstLine="480"/>
      </w:pPr>
      <w:r>
        <w:pict>
          <v:shape id="_x0000_i1026" o:spt="75" type="#_x0000_t75" style="height:40.3pt;width:103.7pt;" filled="f" o:preferrelative="t" stroked="f" coordsize="21600,21600">
            <v:path/>
            <v:fill on="f" focussize="0,0"/>
            <v:stroke on="f" joinstyle="miter"/>
            <v:imagedata r:id="rId15" o:title=""/>
            <o:lock v:ext="edit" aspectratio="t"/>
            <w10:wrap type="none"/>
            <w10:anchorlock/>
          </v:shape>
        </w:pict>
      </w:r>
    </w:p>
    <w:p>
      <w:pPr>
        <w:ind w:firstLine="480"/>
      </w:pPr>
      <w:r>
        <w:rPr>
          <w:rFonts w:hint="eastAsia"/>
        </w:rPr>
        <w:t>式中：</w:t>
      </w:r>
      <w:r>
        <w:t>Pi ——</w:t>
      </w:r>
      <w:r>
        <w:rPr>
          <w:rFonts w:hint="eastAsia"/>
        </w:rPr>
        <w:t>第</w:t>
      </w:r>
      <w:r>
        <w:t>i</w:t>
      </w:r>
      <w:r>
        <w:rPr>
          <w:rFonts w:hint="eastAsia"/>
        </w:rPr>
        <w:t>个污染物的最大地面浓度占标率，</w:t>
      </w:r>
      <w:r>
        <w:t>%</w:t>
      </w:r>
      <w:r>
        <w:rPr>
          <w:rFonts w:hint="eastAsia"/>
        </w:rPr>
        <w:t>；</w:t>
      </w:r>
    </w:p>
    <w:p>
      <w:pPr>
        <w:ind w:firstLine="480"/>
      </w:pPr>
      <w:r>
        <w:t>Ci——</w:t>
      </w:r>
      <w:r>
        <w:rPr>
          <w:rFonts w:hint="eastAsia"/>
        </w:rPr>
        <w:t>采用估算模式计算出第</w:t>
      </w:r>
      <w:r>
        <w:t>i</w:t>
      </w:r>
      <w:r>
        <w:rPr>
          <w:rFonts w:hint="eastAsia"/>
        </w:rPr>
        <w:t>个污染物最大地面浓度，</w:t>
      </w:r>
      <w:r>
        <w:t>mg/m</w:t>
      </w:r>
      <w:r>
        <w:rPr>
          <w:vertAlign w:val="superscript"/>
        </w:rPr>
        <w:t>3</w:t>
      </w:r>
      <w:r>
        <w:rPr>
          <w:rFonts w:hint="eastAsia"/>
        </w:rPr>
        <w:t>；</w:t>
      </w:r>
    </w:p>
    <w:p>
      <w:pPr>
        <w:ind w:firstLine="480"/>
      </w:pPr>
      <w:r>
        <w:t>C0i——</w:t>
      </w:r>
      <w:r>
        <w:rPr>
          <w:rFonts w:hint="eastAsia"/>
        </w:rPr>
        <w:t>第</w:t>
      </w:r>
      <w:r>
        <w:t>i</w:t>
      </w:r>
      <w:r>
        <w:rPr>
          <w:rFonts w:hint="eastAsia"/>
        </w:rPr>
        <w:t>个污染物的环境空气质量标准，</w:t>
      </w:r>
      <w:r>
        <w:t>mg/m3</w:t>
      </w:r>
      <w:r>
        <w:rPr>
          <w:rFonts w:hint="eastAsia"/>
        </w:rPr>
        <w:t>。</w:t>
      </w:r>
    </w:p>
    <w:p>
      <w:pPr>
        <w:ind w:firstLine="480"/>
      </w:pPr>
      <w:r>
        <w:rPr>
          <w:rFonts w:hint="eastAsia"/>
        </w:rPr>
        <w:t>评价工作等级分级判据见表</w:t>
      </w:r>
      <w:r>
        <w:t>2.4-2</w:t>
      </w:r>
      <w:r>
        <w:rPr>
          <w:rFonts w:hint="eastAsia"/>
        </w:rPr>
        <w:t>。</w:t>
      </w:r>
    </w:p>
    <w:p>
      <w:pPr>
        <w:pStyle w:val="26"/>
        <w:rPr>
          <w:b/>
          <w:bCs/>
        </w:rPr>
      </w:pPr>
      <w:r>
        <w:rPr>
          <w:rFonts w:hint="eastAsia"/>
          <w:b/>
          <w:bCs/>
        </w:rPr>
        <w:t>表</w:t>
      </w:r>
      <w:r>
        <w:rPr>
          <w:b/>
          <w:bCs/>
        </w:rPr>
        <w:t xml:space="preserve">2.4-2   </w:t>
      </w:r>
      <w:r>
        <w:rPr>
          <w:rFonts w:hint="eastAsia"/>
          <w:b/>
          <w:bCs/>
        </w:rPr>
        <w:t>评价工作等级</w:t>
      </w:r>
    </w:p>
    <w:tbl>
      <w:tblPr>
        <w:tblStyle w:val="23"/>
        <w:tblW w:w="9136" w:type="dxa"/>
        <w:jc w:val="center"/>
        <w:tblInd w:w="4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3"/>
        <w:gridCol w:w="6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623" w:type="dxa"/>
          </w:tcPr>
          <w:p>
            <w:pPr>
              <w:pStyle w:val="26"/>
              <w:rPr>
                <w:kern w:val="2"/>
                <w:szCs w:val="21"/>
                <w:lang w:val="en-US" w:eastAsia="zh-CN"/>
              </w:rPr>
            </w:pPr>
            <w:r>
              <w:rPr>
                <w:rFonts w:hint="eastAsia"/>
                <w:kern w:val="2"/>
                <w:szCs w:val="21"/>
                <w:lang w:val="en-US" w:eastAsia="zh-CN"/>
              </w:rPr>
              <w:t>评价工作等级</w:t>
            </w:r>
          </w:p>
        </w:tc>
        <w:tc>
          <w:tcPr>
            <w:tcW w:w="6513" w:type="dxa"/>
          </w:tcPr>
          <w:p>
            <w:pPr>
              <w:pStyle w:val="26"/>
              <w:rPr>
                <w:kern w:val="2"/>
                <w:szCs w:val="21"/>
                <w:lang w:val="en-US" w:eastAsia="zh-CN"/>
              </w:rPr>
            </w:pPr>
            <w:r>
              <w:rPr>
                <w:rFonts w:hint="eastAsia"/>
                <w:kern w:val="2"/>
                <w:szCs w:val="21"/>
                <w:lang w:val="en-US" w:eastAsia="zh-CN"/>
              </w:rPr>
              <w:t>评价工作等级分级判据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623" w:type="dxa"/>
          </w:tcPr>
          <w:p>
            <w:pPr>
              <w:pStyle w:val="26"/>
              <w:rPr>
                <w:kern w:val="2"/>
                <w:szCs w:val="21"/>
                <w:lang w:val="en-US" w:eastAsia="zh-CN"/>
              </w:rPr>
            </w:pPr>
            <w:r>
              <w:rPr>
                <w:rFonts w:hint="eastAsia"/>
                <w:kern w:val="2"/>
                <w:szCs w:val="21"/>
                <w:lang w:val="en-US" w:eastAsia="zh-CN"/>
              </w:rPr>
              <w:t>一级</w:t>
            </w:r>
          </w:p>
        </w:tc>
        <w:tc>
          <w:tcPr>
            <w:tcW w:w="6513" w:type="dxa"/>
          </w:tcPr>
          <w:p>
            <w:pPr>
              <w:pStyle w:val="26"/>
              <w:rPr>
                <w:kern w:val="2"/>
                <w:szCs w:val="21"/>
                <w:lang w:val="en-US" w:eastAsia="zh-CN"/>
              </w:rPr>
            </w:pPr>
            <w:r>
              <w:rPr>
                <w:kern w:val="2"/>
                <w:szCs w:val="21"/>
                <w:lang w:val="en-US" w:eastAsia="zh-CN"/>
              </w:rPr>
              <w:t>Pmax</w:t>
            </w:r>
            <w:r>
              <w:rPr>
                <w:rFonts w:hint="eastAsia"/>
                <w:kern w:val="2"/>
                <w:szCs w:val="21"/>
                <w:lang w:val="en-US" w:eastAsia="zh-CN"/>
              </w:rPr>
              <w:t>≥</w:t>
            </w:r>
            <w:r>
              <w:rPr>
                <w:kern w:val="2"/>
                <w:szCs w:val="21"/>
                <w:lang w:val="en-US" w:eastAsia="zh-CN"/>
              </w:rPr>
              <w:t>80%</w:t>
            </w:r>
            <w:r>
              <w:rPr>
                <w:rFonts w:hint="eastAsia"/>
                <w:kern w:val="2"/>
                <w:szCs w:val="21"/>
                <w:lang w:val="en-US" w:eastAsia="zh-CN"/>
              </w:rPr>
              <w:t>，且</w:t>
            </w:r>
            <w:r>
              <w:rPr>
                <w:kern w:val="2"/>
                <w:szCs w:val="21"/>
                <w:lang w:val="en-US" w:eastAsia="zh-CN"/>
              </w:rPr>
              <w:t>D10%</w:t>
            </w:r>
            <w:r>
              <w:rPr>
                <w:rFonts w:hint="eastAsia"/>
                <w:kern w:val="2"/>
                <w:szCs w:val="21"/>
                <w:lang w:val="en-US" w:eastAsia="zh-CN"/>
              </w:rPr>
              <w:t>≥</w:t>
            </w:r>
            <w:r>
              <w:rPr>
                <w:kern w:val="2"/>
                <w:szCs w:val="21"/>
                <w:lang w:val="en-US" w:eastAsia="zh-CN"/>
              </w:rPr>
              <w:t>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623" w:type="dxa"/>
          </w:tcPr>
          <w:p>
            <w:pPr>
              <w:pStyle w:val="26"/>
              <w:rPr>
                <w:kern w:val="2"/>
                <w:szCs w:val="21"/>
                <w:lang w:val="en-US" w:eastAsia="zh-CN"/>
              </w:rPr>
            </w:pPr>
            <w:r>
              <w:rPr>
                <w:rFonts w:hint="eastAsia"/>
                <w:kern w:val="2"/>
                <w:szCs w:val="21"/>
                <w:lang w:val="en-US" w:eastAsia="zh-CN"/>
              </w:rPr>
              <w:t>二级</w:t>
            </w:r>
          </w:p>
        </w:tc>
        <w:tc>
          <w:tcPr>
            <w:tcW w:w="6513" w:type="dxa"/>
          </w:tcPr>
          <w:p>
            <w:pPr>
              <w:pStyle w:val="26"/>
              <w:rPr>
                <w:kern w:val="2"/>
                <w:szCs w:val="21"/>
                <w:lang w:val="en-US" w:eastAsia="zh-CN"/>
              </w:rPr>
            </w:pPr>
            <w:r>
              <w:rPr>
                <w:rFonts w:hint="eastAsia"/>
                <w:kern w:val="2"/>
                <w:szCs w:val="21"/>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2623" w:type="dxa"/>
          </w:tcPr>
          <w:p>
            <w:pPr>
              <w:pStyle w:val="26"/>
              <w:rPr>
                <w:kern w:val="2"/>
                <w:szCs w:val="21"/>
                <w:lang w:val="en-US" w:eastAsia="zh-CN"/>
              </w:rPr>
            </w:pPr>
            <w:r>
              <w:rPr>
                <w:rFonts w:hint="eastAsia"/>
                <w:kern w:val="2"/>
                <w:szCs w:val="21"/>
                <w:lang w:val="en-US" w:eastAsia="zh-CN"/>
              </w:rPr>
              <w:t>三级</w:t>
            </w:r>
          </w:p>
        </w:tc>
        <w:tc>
          <w:tcPr>
            <w:tcW w:w="6513" w:type="dxa"/>
          </w:tcPr>
          <w:p>
            <w:pPr>
              <w:pStyle w:val="26"/>
              <w:rPr>
                <w:kern w:val="2"/>
                <w:szCs w:val="21"/>
                <w:lang w:val="en-US" w:eastAsia="zh-CN"/>
              </w:rPr>
            </w:pPr>
            <w:r>
              <w:rPr>
                <w:kern w:val="2"/>
                <w:szCs w:val="21"/>
                <w:lang w:val="en-US" w:eastAsia="zh-CN"/>
              </w:rPr>
              <w:t>Pmax</w:t>
            </w:r>
            <w:r>
              <w:rPr>
                <w:rFonts w:hint="eastAsia"/>
                <w:kern w:val="2"/>
                <w:szCs w:val="21"/>
                <w:lang w:val="en-US" w:eastAsia="zh-CN"/>
              </w:rPr>
              <w:t>≤</w:t>
            </w:r>
            <w:r>
              <w:rPr>
                <w:kern w:val="2"/>
                <w:szCs w:val="21"/>
                <w:lang w:val="en-US" w:eastAsia="zh-CN"/>
              </w:rPr>
              <w:t>10%</w:t>
            </w:r>
            <w:r>
              <w:rPr>
                <w:rFonts w:hint="eastAsia"/>
                <w:kern w:val="2"/>
                <w:szCs w:val="21"/>
                <w:lang w:val="en-US" w:eastAsia="zh-CN"/>
              </w:rPr>
              <w:t>或</w:t>
            </w:r>
            <w:r>
              <w:rPr>
                <w:kern w:val="2"/>
                <w:szCs w:val="21"/>
                <w:lang w:val="en-US" w:eastAsia="zh-CN"/>
              </w:rPr>
              <w:t>D10%</w:t>
            </w:r>
            <w:r>
              <w:rPr>
                <w:rFonts w:hint="eastAsia"/>
                <w:kern w:val="2"/>
                <w:szCs w:val="21"/>
                <w:lang w:val="en-US" w:eastAsia="zh-CN"/>
              </w:rPr>
              <w:t>＜污染源距厂界最近距离</w:t>
            </w:r>
          </w:p>
        </w:tc>
      </w:tr>
    </w:tbl>
    <w:p>
      <w:pPr>
        <w:ind w:firstLine="480"/>
      </w:pPr>
      <w:r>
        <w:rPr>
          <w:rFonts w:hint="eastAsia"/>
        </w:rPr>
        <w:t>依据导则估算模式，评价等级判断如下：</w:t>
      </w:r>
    </w:p>
    <w:p>
      <w:pPr>
        <w:pStyle w:val="26"/>
        <w:rPr>
          <w:b/>
          <w:bCs/>
        </w:rPr>
      </w:pPr>
      <w:r>
        <w:rPr>
          <w:rFonts w:hint="eastAsia"/>
          <w:b/>
          <w:bCs/>
        </w:rPr>
        <w:t>表</w:t>
      </w:r>
      <w:r>
        <w:rPr>
          <w:b/>
          <w:bCs/>
        </w:rPr>
        <w:t xml:space="preserve">2.4-3     </w:t>
      </w:r>
      <w:r>
        <w:rPr>
          <w:rFonts w:hint="eastAsia"/>
          <w:b/>
          <w:bCs/>
        </w:rPr>
        <w:t>大气环境评价等级判定表</w:t>
      </w:r>
    </w:p>
    <w:tbl>
      <w:tblPr>
        <w:tblStyle w:val="23"/>
        <w:tblW w:w="9082"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211"/>
        <w:gridCol w:w="1406"/>
        <w:gridCol w:w="1603"/>
        <w:gridCol w:w="1226"/>
        <w:gridCol w:w="1693"/>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5" w:hRule="atLeast"/>
          <w:jc w:val="center"/>
        </w:trPr>
        <w:tc>
          <w:tcPr>
            <w:tcW w:w="2195" w:type="dxa"/>
            <w:gridSpan w:val="2"/>
            <w:tcMar>
              <w:left w:w="0" w:type="dxa"/>
              <w:right w:w="0" w:type="dxa"/>
            </w:tcMar>
            <w:vAlign w:val="center"/>
          </w:tcPr>
          <w:p>
            <w:pPr>
              <w:pStyle w:val="26"/>
              <w:rPr>
                <w:kern w:val="2"/>
                <w:szCs w:val="21"/>
                <w:lang w:val="en-US" w:eastAsia="zh-CN"/>
              </w:rPr>
            </w:pPr>
            <w:r>
              <w:rPr>
                <w:rFonts w:hint="eastAsia"/>
                <w:kern w:val="2"/>
                <w:szCs w:val="21"/>
                <w:lang w:val="en-US" w:eastAsia="zh-CN"/>
              </w:rPr>
              <w:t>污染源名称</w:t>
            </w:r>
          </w:p>
        </w:tc>
        <w:tc>
          <w:tcPr>
            <w:tcW w:w="1406" w:type="dxa"/>
            <w:tcMar>
              <w:left w:w="0" w:type="dxa"/>
              <w:right w:w="0" w:type="dxa"/>
            </w:tcMar>
            <w:vAlign w:val="center"/>
          </w:tcPr>
          <w:p>
            <w:pPr>
              <w:pStyle w:val="26"/>
              <w:rPr>
                <w:kern w:val="2"/>
                <w:szCs w:val="21"/>
                <w:lang w:val="en-US" w:eastAsia="zh-CN"/>
              </w:rPr>
            </w:pPr>
            <w:r>
              <w:rPr>
                <w:rFonts w:hint="eastAsia"/>
                <w:kern w:val="2"/>
                <w:szCs w:val="21"/>
                <w:lang w:val="en-US" w:eastAsia="zh-CN"/>
              </w:rPr>
              <w:t>污染物</w:t>
            </w:r>
          </w:p>
          <w:p>
            <w:pPr>
              <w:pStyle w:val="26"/>
              <w:rPr>
                <w:kern w:val="2"/>
                <w:szCs w:val="21"/>
                <w:lang w:val="en-US" w:eastAsia="zh-CN"/>
              </w:rPr>
            </w:pPr>
            <w:r>
              <w:rPr>
                <w:rFonts w:hint="eastAsia"/>
                <w:kern w:val="2"/>
                <w:szCs w:val="21"/>
                <w:lang w:val="en-US" w:eastAsia="zh-CN"/>
              </w:rPr>
              <w:t>名称</w:t>
            </w:r>
          </w:p>
        </w:tc>
        <w:tc>
          <w:tcPr>
            <w:tcW w:w="1603" w:type="dxa"/>
            <w:tcMar>
              <w:left w:w="0" w:type="dxa"/>
              <w:right w:w="0" w:type="dxa"/>
            </w:tcMar>
            <w:vAlign w:val="center"/>
          </w:tcPr>
          <w:p>
            <w:pPr>
              <w:pStyle w:val="26"/>
              <w:rPr>
                <w:kern w:val="2"/>
                <w:szCs w:val="21"/>
                <w:lang w:val="en-US" w:eastAsia="zh-CN"/>
              </w:rPr>
            </w:pPr>
            <w:r>
              <w:rPr>
                <w:rFonts w:hint="eastAsia"/>
                <w:kern w:val="2"/>
                <w:szCs w:val="21"/>
                <w:lang w:val="en-US" w:eastAsia="zh-CN"/>
              </w:rPr>
              <w:t>下风向最大浓度（</w:t>
            </w:r>
            <w:r>
              <w:rPr>
                <w:kern w:val="2"/>
                <w:szCs w:val="21"/>
                <w:lang w:val="en-US" w:eastAsia="zh-CN"/>
              </w:rPr>
              <w:t>mg/m</w:t>
            </w:r>
            <w:r>
              <w:rPr>
                <w:kern w:val="2"/>
                <w:szCs w:val="21"/>
                <w:vertAlign w:val="superscript"/>
                <w:lang w:val="en-US" w:eastAsia="zh-CN"/>
              </w:rPr>
              <w:t>3</w:t>
            </w:r>
            <w:r>
              <w:rPr>
                <w:rFonts w:hint="eastAsia"/>
                <w:kern w:val="2"/>
                <w:szCs w:val="21"/>
                <w:lang w:val="en-US" w:eastAsia="zh-CN"/>
              </w:rPr>
              <w:t>）</w:t>
            </w:r>
          </w:p>
        </w:tc>
        <w:tc>
          <w:tcPr>
            <w:tcW w:w="1226" w:type="dxa"/>
            <w:tcMar>
              <w:left w:w="0" w:type="dxa"/>
              <w:right w:w="0" w:type="dxa"/>
            </w:tcMar>
            <w:vAlign w:val="center"/>
          </w:tcPr>
          <w:p>
            <w:pPr>
              <w:pStyle w:val="26"/>
              <w:rPr>
                <w:kern w:val="2"/>
                <w:szCs w:val="21"/>
                <w:lang w:val="en-US" w:eastAsia="zh-CN"/>
              </w:rPr>
            </w:pPr>
            <w:r>
              <w:rPr>
                <w:rFonts w:hint="eastAsia"/>
                <w:kern w:val="2"/>
                <w:szCs w:val="21"/>
                <w:lang w:val="en-US" w:eastAsia="zh-CN"/>
              </w:rPr>
              <w:t>评价标准</w:t>
            </w:r>
          </w:p>
          <w:p>
            <w:pPr>
              <w:pStyle w:val="26"/>
              <w:rPr>
                <w:kern w:val="2"/>
                <w:szCs w:val="21"/>
                <w:lang w:val="en-US" w:eastAsia="zh-CN"/>
              </w:rPr>
            </w:pPr>
            <w:r>
              <w:rPr>
                <w:rFonts w:hint="eastAsia"/>
                <w:kern w:val="2"/>
                <w:szCs w:val="21"/>
                <w:lang w:val="en-US" w:eastAsia="zh-CN"/>
              </w:rPr>
              <w:t>（</w:t>
            </w:r>
            <w:r>
              <w:rPr>
                <w:kern w:val="2"/>
                <w:szCs w:val="21"/>
                <w:lang w:val="en-US" w:eastAsia="zh-CN"/>
              </w:rPr>
              <w:t>mg/m</w:t>
            </w:r>
            <w:r>
              <w:rPr>
                <w:kern w:val="2"/>
                <w:szCs w:val="21"/>
                <w:vertAlign w:val="superscript"/>
                <w:lang w:val="en-US" w:eastAsia="zh-CN"/>
              </w:rPr>
              <w:t>3</w:t>
            </w:r>
            <w:r>
              <w:rPr>
                <w:rFonts w:hint="eastAsia"/>
                <w:kern w:val="2"/>
                <w:szCs w:val="21"/>
                <w:lang w:val="en-US" w:eastAsia="zh-CN"/>
              </w:rPr>
              <w:t>）</w:t>
            </w:r>
          </w:p>
        </w:tc>
        <w:tc>
          <w:tcPr>
            <w:tcW w:w="1693" w:type="dxa"/>
            <w:tcMar>
              <w:left w:w="0" w:type="dxa"/>
              <w:right w:w="0" w:type="dxa"/>
            </w:tcMar>
            <w:vAlign w:val="center"/>
          </w:tcPr>
          <w:p>
            <w:pPr>
              <w:pStyle w:val="26"/>
              <w:rPr>
                <w:kern w:val="2"/>
                <w:szCs w:val="21"/>
                <w:lang w:val="en-US" w:eastAsia="zh-CN"/>
              </w:rPr>
            </w:pPr>
            <w:r>
              <w:rPr>
                <w:rFonts w:hint="eastAsia"/>
                <w:kern w:val="2"/>
                <w:szCs w:val="21"/>
                <w:lang w:val="en-US" w:eastAsia="zh-CN"/>
              </w:rPr>
              <w:t>最大地面浓度占标率（</w:t>
            </w:r>
            <w:r>
              <w:rPr>
                <w:kern w:val="2"/>
                <w:szCs w:val="21"/>
                <w:lang w:val="en-US" w:eastAsia="zh-CN"/>
              </w:rPr>
              <w:t>%</w:t>
            </w:r>
            <w:r>
              <w:rPr>
                <w:rFonts w:hint="eastAsia"/>
                <w:kern w:val="2"/>
                <w:szCs w:val="21"/>
                <w:lang w:val="en-US" w:eastAsia="zh-CN"/>
              </w:rPr>
              <w:t>）</w:t>
            </w:r>
          </w:p>
        </w:tc>
        <w:tc>
          <w:tcPr>
            <w:tcW w:w="959" w:type="dxa"/>
            <w:tcMar>
              <w:left w:w="0" w:type="dxa"/>
              <w:right w:w="0" w:type="dxa"/>
            </w:tcMar>
            <w:vAlign w:val="center"/>
          </w:tcPr>
          <w:p>
            <w:pPr>
              <w:pStyle w:val="26"/>
              <w:rPr>
                <w:kern w:val="2"/>
                <w:szCs w:val="21"/>
                <w:lang w:val="en-US" w:eastAsia="zh-CN"/>
              </w:rPr>
            </w:pPr>
            <w:r>
              <w:rPr>
                <w:rFonts w:hint="eastAsia"/>
                <w:kern w:val="2"/>
                <w:szCs w:val="21"/>
                <w:lang w:val="en-US" w:eastAsia="zh-CN"/>
              </w:rPr>
              <w:t>评价</w:t>
            </w:r>
          </w:p>
          <w:p>
            <w:pPr>
              <w:pStyle w:val="26"/>
              <w:rPr>
                <w:kern w:val="2"/>
                <w:szCs w:val="21"/>
                <w:lang w:val="en-US" w:eastAsia="zh-CN"/>
              </w:rPr>
            </w:pPr>
            <w:r>
              <w:rPr>
                <w:rFonts w:hint="eastAsia"/>
                <w:kern w:val="2"/>
                <w:szCs w:val="21"/>
                <w:lang w:val="en-US" w:eastAsia="zh-CN"/>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2195" w:type="dxa"/>
            <w:gridSpan w:val="2"/>
            <w:vMerge w:val="restart"/>
            <w:tcMar>
              <w:left w:w="0" w:type="dxa"/>
              <w:right w:w="0" w:type="dxa"/>
            </w:tcMar>
            <w:vAlign w:val="center"/>
          </w:tcPr>
          <w:p>
            <w:pPr>
              <w:pStyle w:val="26"/>
              <w:rPr>
                <w:kern w:val="2"/>
                <w:szCs w:val="21"/>
                <w:lang w:val="en-US" w:eastAsia="zh-CN"/>
              </w:rPr>
            </w:pPr>
            <w:r>
              <w:rPr>
                <w:rFonts w:hint="eastAsia"/>
                <w:kern w:val="2"/>
                <w:szCs w:val="21"/>
                <w:lang w:val="en-US" w:eastAsia="zh-CN"/>
              </w:rPr>
              <w:t>定型废气排气筒</w:t>
            </w:r>
          </w:p>
        </w:tc>
        <w:tc>
          <w:tcPr>
            <w:tcW w:w="1406" w:type="dxa"/>
            <w:tcMar>
              <w:left w:w="0" w:type="dxa"/>
              <w:right w:w="0" w:type="dxa"/>
            </w:tcMar>
            <w:vAlign w:val="center"/>
          </w:tcPr>
          <w:p>
            <w:pPr>
              <w:pStyle w:val="26"/>
              <w:rPr>
                <w:kern w:val="2"/>
                <w:szCs w:val="21"/>
                <w:lang w:val="en-US" w:eastAsia="zh-CN"/>
              </w:rPr>
            </w:pPr>
            <w:r>
              <w:rPr>
                <w:rFonts w:hint="eastAsia"/>
                <w:kern w:val="2"/>
                <w:szCs w:val="21"/>
                <w:lang w:val="en-US" w:eastAsia="zh-CN"/>
              </w:rPr>
              <w:t>颗粒物</w:t>
            </w:r>
          </w:p>
        </w:tc>
        <w:tc>
          <w:tcPr>
            <w:tcW w:w="1603" w:type="dxa"/>
            <w:tcMar>
              <w:left w:w="0" w:type="dxa"/>
              <w:right w:w="0" w:type="dxa"/>
            </w:tcMar>
            <w:vAlign w:val="center"/>
          </w:tcPr>
          <w:p>
            <w:pPr>
              <w:pStyle w:val="26"/>
              <w:rPr>
                <w:kern w:val="2"/>
                <w:szCs w:val="21"/>
                <w:lang w:val="en-US" w:eastAsia="zh-CN"/>
              </w:rPr>
            </w:pPr>
            <w:r>
              <w:rPr>
                <w:kern w:val="2"/>
                <w:szCs w:val="21"/>
                <w:lang w:val="en-US" w:eastAsia="zh-CN"/>
              </w:rPr>
              <w:t>0.002267</w:t>
            </w:r>
          </w:p>
        </w:tc>
        <w:tc>
          <w:tcPr>
            <w:tcW w:w="1226" w:type="dxa"/>
            <w:tcMar>
              <w:left w:w="0" w:type="dxa"/>
              <w:right w:w="0" w:type="dxa"/>
            </w:tcMar>
            <w:vAlign w:val="center"/>
          </w:tcPr>
          <w:p>
            <w:pPr>
              <w:pStyle w:val="26"/>
              <w:rPr>
                <w:kern w:val="2"/>
                <w:szCs w:val="21"/>
                <w:lang w:val="en-US" w:eastAsia="zh-CN"/>
              </w:rPr>
            </w:pPr>
            <w:r>
              <w:rPr>
                <w:kern w:val="2"/>
                <w:szCs w:val="21"/>
                <w:lang w:val="en-US" w:eastAsia="zh-CN"/>
              </w:rPr>
              <w:t>0.45</w:t>
            </w:r>
          </w:p>
        </w:tc>
        <w:tc>
          <w:tcPr>
            <w:tcW w:w="1693" w:type="dxa"/>
            <w:tcMar>
              <w:left w:w="0" w:type="dxa"/>
              <w:right w:w="0" w:type="dxa"/>
            </w:tcMar>
            <w:vAlign w:val="center"/>
          </w:tcPr>
          <w:p>
            <w:pPr>
              <w:pStyle w:val="26"/>
              <w:rPr>
                <w:kern w:val="2"/>
                <w:szCs w:val="21"/>
                <w:lang w:val="en-US" w:eastAsia="zh-CN"/>
              </w:rPr>
            </w:pPr>
            <w:r>
              <w:rPr>
                <w:kern w:val="2"/>
                <w:szCs w:val="21"/>
                <w:lang w:val="en-US" w:eastAsia="zh-CN"/>
              </w:rPr>
              <w:t>0.5</w:t>
            </w:r>
          </w:p>
        </w:tc>
        <w:tc>
          <w:tcPr>
            <w:tcW w:w="959" w:type="dxa"/>
            <w:tcMar>
              <w:left w:w="0" w:type="dxa"/>
              <w:right w:w="0" w:type="dxa"/>
            </w:tcMar>
            <w:vAlign w:val="center"/>
          </w:tcPr>
          <w:p>
            <w:pPr>
              <w:pStyle w:val="26"/>
              <w:rPr>
                <w:kern w:val="2"/>
                <w:szCs w:val="21"/>
                <w:lang w:val="en-US" w:eastAsia="zh-CN"/>
              </w:rPr>
            </w:pPr>
            <w:r>
              <w:rPr>
                <w:rFonts w:hint="eastAsia"/>
                <w:kern w:val="2"/>
                <w:szCs w:val="21"/>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2195" w:type="dxa"/>
            <w:gridSpan w:val="2"/>
            <w:vMerge w:val="continue"/>
            <w:tcMar>
              <w:left w:w="0" w:type="dxa"/>
              <w:right w:w="0" w:type="dxa"/>
            </w:tcMar>
            <w:vAlign w:val="center"/>
          </w:tcPr>
          <w:p>
            <w:pPr>
              <w:pStyle w:val="26"/>
              <w:rPr>
                <w:kern w:val="2"/>
                <w:szCs w:val="21"/>
                <w:lang w:val="en-US" w:eastAsia="zh-CN"/>
              </w:rPr>
            </w:pPr>
          </w:p>
        </w:tc>
        <w:tc>
          <w:tcPr>
            <w:tcW w:w="1406" w:type="dxa"/>
            <w:tcMar>
              <w:left w:w="0" w:type="dxa"/>
              <w:right w:w="0" w:type="dxa"/>
            </w:tcMar>
            <w:vAlign w:val="center"/>
          </w:tcPr>
          <w:p>
            <w:pPr>
              <w:pStyle w:val="26"/>
              <w:rPr>
                <w:kern w:val="2"/>
                <w:szCs w:val="21"/>
                <w:lang w:val="en-US" w:eastAsia="zh-CN"/>
              </w:rPr>
            </w:pPr>
            <w:r>
              <w:rPr>
                <w:rFonts w:hint="eastAsia"/>
                <w:kern w:val="2"/>
                <w:szCs w:val="21"/>
                <w:lang w:val="en-US" w:eastAsia="zh-CN"/>
              </w:rPr>
              <w:t>VOC</w:t>
            </w:r>
          </w:p>
        </w:tc>
        <w:tc>
          <w:tcPr>
            <w:tcW w:w="1603" w:type="dxa"/>
            <w:tcMar>
              <w:left w:w="0" w:type="dxa"/>
              <w:right w:w="0" w:type="dxa"/>
            </w:tcMar>
            <w:vAlign w:val="center"/>
          </w:tcPr>
          <w:p>
            <w:pPr>
              <w:pStyle w:val="26"/>
              <w:rPr>
                <w:kern w:val="2"/>
                <w:szCs w:val="21"/>
                <w:lang w:val="en-US" w:eastAsia="zh-CN"/>
              </w:rPr>
            </w:pPr>
            <w:r>
              <w:rPr>
                <w:kern w:val="2"/>
                <w:szCs w:val="21"/>
                <w:lang w:val="en-US" w:eastAsia="zh-CN"/>
              </w:rPr>
              <w:t>0.002267</w:t>
            </w:r>
          </w:p>
        </w:tc>
        <w:tc>
          <w:tcPr>
            <w:tcW w:w="1226" w:type="dxa"/>
            <w:tcMar>
              <w:left w:w="0" w:type="dxa"/>
              <w:right w:w="0" w:type="dxa"/>
            </w:tcMar>
            <w:vAlign w:val="center"/>
          </w:tcPr>
          <w:p>
            <w:pPr>
              <w:pStyle w:val="26"/>
              <w:rPr>
                <w:kern w:val="2"/>
                <w:szCs w:val="21"/>
                <w:lang w:val="en-US" w:eastAsia="zh-CN"/>
              </w:rPr>
            </w:pPr>
            <w:r>
              <w:rPr>
                <w:rFonts w:hint="eastAsia"/>
                <w:kern w:val="2"/>
                <w:szCs w:val="21"/>
                <w:lang w:val="en-US" w:eastAsia="zh-CN"/>
              </w:rPr>
              <w:t>0.6</w:t>
            </w:r>
          </w:p>
        </w:tc>
        <w:tc>
          <w:tcPr>
            <w:tcW w:w="1693" w:type="dxa"/>
            <w:tcMar>
              <w:left w:w="0" w:type="dxa"/>
              <w:right w:w="0" w:type="dxa"/>
            </w:tcMar>
            <w:vAlign w:val="center"/>
          </w:tcPr>
          <w:p>
            <w:pPr>
              <w:pStyle w:val="26"/>
              <w:rPr>
                <w:kern w:val="2"/>
                <w:szCs w:val="21"/>
                <w:lang w:val="en-US" w:eastAsia="zh-CN"/>
              </w:rPr>
            </w:pPr>
            <w:r>
              <w:rPr>
                <w:rFonts w:hint="eastAsia"/>
                <w:kern w:val="2"/>
                <w:szCs w:val="21"/>
                <w:lang w:val="en-US" w:eastAsia="zh-CN"/>
              </w:rPr>
              <w:t>0.38</w:t>
            </w:r>
          </w:p>
        </w:tc>
        <w:tc>
          <w:tcPr>
            <w:tcW w:w="959" w:type="dxa"/>
            <w:tcMar>
              <w:left w:w="0" w:type="dxa"/>
              <w:right w:w="0" w:type="dxa"/>
            </w:tcMar>
            <w:vAlign w:val="center"/>
          </w:tcPr>
          <w:p>
            <w:pPr>
              <w:pStyle w:val="26"/>
              <w:rPr>
                <w:kern w:val="2"/>
                <w:szCs w:val="21"/>
                <w:lang w:val="en-US" w:eastAsia="zh-CN"/>
              </w:rPr>
            </w:pPr>
            <w:r>
              <w:rPr>
                <w:rFonts w:hint="eastAsia"/>
                <w:kern w:val="2"/>
                <w:szCs w:val="21"/>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984" w:type="dxa"/>
            <w:tcMar>
              <w:left w:w="0" w:type="dxa"/>
              <w:right w:w="0" w:type="dxa"/>
            </w:tcMar>
            <w:vAlign w:val="center"/>
          </w:tcPr>
          <w:p>
            <w:pPr>
              <w:pStyle w:val="26"/>
              <w:rPr>
                <w:kern w:val="2"/>
                <w:szCs w:val="21"/>
                <w:lang w:val="en-US" w:eastAsia="zh-CN"/>
              </w:rPr>
            </w:pPr>
            <w:r>
              <w:rPr>
                <w:rFonts w:hint="eastAsia"/>
                <w:kern w:val="2"/>
                <w:szCs w:val="21"/>
                <w:lang w:val="en-US" w:eastAsia="zh-CN"/>
              </w:rPr>
              <w:t>面源</w:t>
            </w:r>
          </w:p>
        </w:tc>
        <w:tc>
          <w:tcPr>
            <w:tcW w:w="1211" w:type="dxa"/>
            <w:tcMar>
              <w:left w:w="0" w:type="dxa"/>
              <w:right w:w="0" w:type="dxa"/>
            </w:tcMar>
            <w:vAlign w:val="center"/>
          </w:tcPr>
          <w:p>
            <w:pPr>
              <w:pStyle w:val="26"/>
              <w:rPr>
                <w:kern w:val="2"/>
                <w:szCs w:val="21"/>
                <w:lang w:val="en-US" w:eastAsia="zh-CN"/>
              </w:rPr>
            </w:pPr>
            <w:r>
              <w:rPr>
                <w:rFonts w:hint="eastAsia"/>
                <w:kern w:val="2"/>
                <w:szCs w:val="21"/>
                <w:lang w:val="en-US" w:eastAsia="zh-CN"/>
              </w:rPr>
              <w:t>染色车间</w:t>
            </w:r>
          </w:p>
        </w:tc>
        <w:tc>
          <w:tcPr>
            <w:tcW w:w="1406" w:type="dxa"/>
            <w:tcMar>
              <w:left w:w="0" w:type="dxa"/>
              <w:right w:w="0" w:type="dxa"/>
            </w:tcMar>
            <w:vAlign w:val="center"/>
          </w:tcPr>
          <w:p>
            <w:pPr>
              <w:pStyle w:val="26"/>
              <w:rPr>
                <w:kern w:val="2"/>
                <w:szCs w:val="21"/>
                <w:lang w:val="en-US" w:eastAsia="zh-CN"/>
              </w:rPr>
            </w:pPr>
            <w:r>
              <w:rPr>
                <w:rFonts w:hint="eastAsia"/>
                <w:kern w:val="2"/>
                <w:szCs w:val="21"/>
                <w:lang w:val="en-US" w:eastAsia="zh-CN"/>
              </w:rPr>
              <w:t>醋酸</w:t>
            </w:r>
          </w:p>
        </w:tc>
        <w:tc>
          <w:tcPr>
            <w:tcW w:w="1603" w:type="dxa"/>
            <w:tcMar>
              <w:left w:w="0" w:type="dxa"/>
              <w:right w:w="0" w:type="dxa"/>
            </w:tcMar>
            <w:vAlign w:val="center"/>
          </w:tcPr>
          <w:p>
            <w:pPr>
              <w:pStyle w:val="26"/>
              <w:rPr>
                <w:kern w:val="2"/>
                <w:szCs w:val="21"/>
                <w:lang w:val="en-US" w:eastAsia="zh-CN"/>
              </w:rPr>
            </w:pPr>
            <w:r>
              <w:rPr>
                <w:kern w:val="2"/>
                <w:szCs w:val="21"/>
                <w:lang w:val="en-US" w:eastAsia="zh-CN"/>
              </w:rPr>
              <w:t>0.001839</w:t>
            </w:r>
          </w:p>
        </w:tc>
        <w:tc>
          <w:tcPr>
            <w:tcW w:w="1226" w:type="dxa"/>
            <w:tcMar>
              <w:left w:w="0" w:type="dxa"/>
              <w:right w:w="0" w:type="dxa"/>
            </w:tcMar>
            <w:vAlign w:val="center"/>
          </w:tcPr>
          <w:p>
            <w:pPr>
              <w:pStyle w:val="26"/>
              <w:rPr>
                <w:kern w:val="2"/>
                <w:szCs w:val="21"/>
                <w:lang w:val="en-US" w:eastAsia="zh-CN"/>
              </w:rPr>
            </w:pPr>
            <w:r>
              <w:rPr>
                <w:kern w:val="2"/>
                <w:szCs w:val="21"/>
                <w:lang w:val="en-US" w:eastAsia="zh-CN"/>
              </w:rPr>
              <w:t>0.2</w:t>
            </w:r>
          </w:p>
        </w:tc>
        <w:tc>
          <w:tcPr>
            <w:tcW w:w="1693" w:type="dxa"/>
            <w:tcMar>
              <w:left w:w="0" w:type="dxa"/>
              <w:right w:w="0" w:type="dxa"/>
            </w:tcMar>
            <w:vAlign w:val="center"/>
          </w:tcPr>
          <w:p>
            <w:pPr>
              <w:pStyle w:val="26"/>
              <w:rPr>
                <w:kern w:val="2"/>
                <w:szCs w:val="21"/>
                <w:lang w:val="en-US" w:eastAsia="zh-CN"/>
              </w:rPr>
            </w:pPr>
            <w:r>
              <w:rPr>
                <w:kern w:val="2"/>
                <w:szCs w:val="21"/>
                <w:lang w:val="en-US" w:eastAsia="zh-CN"/>
              </w:rPr>
              <w:t>0.92</w:t>
            </w:r>
          </w:p>
        </w:tc>
        <w:tc>
          <w:tcPr>
            <w:tcW w:w="959" w:type="dxa"/>
            <w:tcMar>
              <w:left w:w="0" w:type="dxa"/>
              <w:right w:w="0" w:type="dxa"/>
            </w:tcMar>
            <w:vAlign w:val="center"/>
          </w:tcPr>
          <w:p>
            <w:pPr>
              <w:pStyle w:val="26"/>
              <w:rPr>
                <w:kern w:val="2"/>
                <w:szCs w:val="21"/>
                <w:lang w:val="en-US" w:eastAsia="zh-CN"/>
              </w:rPr>
            </w:pPr>
            <w:r>
              <w:rPr>
                <w:rFonts w:hint="eastAsia"/>
                <w:kern w:val="2"/>
                <w:szCs w:val="21"/>
                <w:lang w:val="en-US" w:eastAsia="zh-CN"/>
              </w:rPr>
              <w:t>三级</w:t>
            </w:r>
          </w:p>
        </w:tc>
      </w:tr>
    </w:tbl>
    <w:p>
      <w:pPr>
        <w:ind w:firstLine="480"/>
      </w:pPr>
      <w:r>
        <w:rPr>
          <w:rFonts w:hint="eastAsia"/>
        </w:rPr>
        <w:t>根据导则</w:t>
      </w:r>
      <w:r>
        <w:t>HJ2.2-2008</w:t>
      </w:r>
      <w:r>
        <w:rPr>
          <w:rFonts w:hint="eastAsia"/>
        </w:rPr>
        <w:t>可确定该项目的大气环境评价等级为三级。</w:t>
      </w:r>
    </w:p>
    <w:p>
      <w:pPr>
        <w:ind w:firstLine="480"/>
      </w:pPr>
      <w:r>
        <w:t>4</w:t>
      </w:r>
      <w:r>
        <w:rPr>
          <w:rFonts w:hint="eastAsia"/>
        </w:rPr>
        <w:t>、声环境评价等级</w:t>
      </w:r>
    </w:p>
    <w:p>
      <w:pPr>
        <w:ind w:firstLine="480"/>
      </w:pPr>
      <w:r>
        <w:rPr>
          <w:rFonts w:hint="eastAsia"/>
        </w:rPr>
        <w:t>根据噪声环境影响评价技术导则，建设项目所处的声环境功能区为</w:t>
      </w:r>
      <w:r>
        <w:t>GB3096</w:t>
      </w:r>
      <w:r>
        <w:rPr>
          <w:rFonts w:hint="eastAsia"/>
        </w:rPr>
        <w:t>规定的</w:t>
      </w:r>
      <w:r>
        <w:t>2</w:t>
      </w:r>
      <w:r>
        <w:rPr>
          <w:rFonts w:hint="eastAsia"/>
        </w:rPr>
        <w:t>类区，建设项目建设前后评价范围内敏感目标噪声级增高量在</w:t>
      </w:r>
      <w:r>
        <w:t>3dB(A)</w:t>
      </w:r>
      <w:r>
        <w:rPr>
          <w:rFonts w:hint="eastAsia"/>
        </w:rPr>
        <w:t>以下，且受影响人口数量变化不大。因此，确定本项目声环境影响评价等级为二级。</w:t>
      </w:r>
    </w:p>
    <w:p>
      <w:pPr>
        <w:ind w:firstLine="480"/>
      </w:pPr>
      <w:r>
        <w:t>5</w:t>
      </w:r>
      <w:r>
        <w:rPr>
          <w:rFonts w:hint="eastAsia"/>
        </w:rPr>
        <w:t>、风险评价等级</w:t>
      </w:r>
    </w:p>
    <w:p>
      <w:pPr>
        <w:ind w:firstLine="480"/>
      </w:pPr>
      <w:r>
        <w:rPr>
          <w:rFonts w:hint="eastAsia"/>
        </w:rPr>
        <w:t>根据环境风险评价技术导则，环境风险评价等级划分标准见表</w:t>
      </w:r>
      <w:r>
        <w:t>2.4-4</w:t>
      </w:r>
      <w:r>
        <w:rPr>
          <w:rFonts w:hint="eastAsia"/>
        </w:rPr>
        <w:t>。</w:t>
      </w:r>
    </w:p>
    <w:p>
      <w:pPr>
        <w:pStyle w:val="26"/>
        <w:rPr>
          <w:b/>
          <w:bCs/>
        </w:rPr>
      </w:pPr>
      <w:r>
        <w:rPr>
          <w:rFonts w:hint="eastAsia"/>
          <w:b/>
          <w:bCs/>
        </w:rPr>
        <w:t>表</w:t>
      </w:r>
      <w:r>
        <w:rPr>
          <w:b/>
          <w:bCs/>
        </w:rPr>
        <w:t xml:space="preserve">2.4-4     </w:t>
      </w:r>
      <w:r>
        <w:rPr>
          <w:rFonts w:hint="eastAsia"/>
          <w:b/>
          <w:bCs/>
        </w:rPr>
        <w:t>环境风险评价工作级别（一、二级）</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1926"/>
        <w:gridCol w:w="1903"/>
        <w:gridCol w:w="232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7" w:type="dxa"/>
            <w:vAlign w:val="center"/>
          </w:tcPr>
          <w:p>
            <w:pPr>
              <w:pStyle w:val="26"/>
              <w:rPr>
                <w:kern w:val="2"/>
                <w:szCs w:val="21"/>
                <w:lang w:val="en-US" w:eastAsia="zh-CN"/>
              </w:rPr>
            </w:pPr>
            <w:r>
              <w:rPr>
                <w:rFonts w:hint="eastAsia"/>
                <w:kern w:val="2"/>
                <w:szCs w:val="21"/>
                <w:lang w:val="en-US" w:eastAsia="zh-CN"/>
              </w:rPr>
              <w:t>类别</w:t>
            </w:r>
          </w:p>
        </w:tc>
        <w:tc>
          <w:tcPr>
            <w:tcW w:w="1926" w:type="dxa"/>
            <w:vAlign w:val="center"/>
          </w:tcPr>
          <w:p>
            <w:pPr>
              <w:pStyle w:val="26"/>
              <w:rPr>
                <w:kern w:val="2"/>
                <w:szCs w:val="21"/>
                <w:lang w:val="en-US" w:eastAsia="zh-CN"/>
              </w:rPr>
            </w:pPr>
            <w:r>
              <w:rPr>
                <w:rFonts w:hint="eastAsia"/>
                <w:kern w:val="2"/>
                <w:szCs w:val="21"/>
                <w:lang w:val="en-US" w:eastAsia="zh-CN"/>
              </w:rPr>
              <w:t>剧毒危险性物质</w:t>
            </w:r>
          </w:p>
        </w:tc>
        <w:tc>
          <w:tcPr>
            <w:tcW w:w="1903" w:type="dxa"/>
            <w:vAlign w:val="center"/>
          </w:tcPr>
          <w:p>
            <w:pPr>
              <w:pStyle w:val="26"/>
              <w:rPr>
                <w:kern w:val="2"/>
                <w:szCs w:val="21"/>
                <w:lang w:val="en-US" w:eastAsia="zh-CN"/>
              </w:rPr>
            </w:pPr>
            <w:r>
              <w:rPr>
                <w:rFonts w:hint="eastAsia"/>
                <w:kern w:val="2"/>
                <w:szCs w:val="21"/>
                <w:lang w:val="en-US" w:eastAsia="zh-CN"/>
              </w:rPr>
              <w:t>一般毒性危险物质</w:t>
            </w:r>
          </w:p>
        </w:tc>
        <w:tc>
          <w:tcPr>
            <w:tcW w:w="2325" w:type="dxa"/>
            <w:vAlign w:val="center"/>
          </w:tcPr>
          <w:p>
            <w:pPr>
              <w:pStyle w:val="26"/>
              <w:rPr>
                <w:kern w:val="2"/>
                <w:szCs w:val="21"/>
                <w:lang w:val="en-US" w:eastAsia="zh-CN"/>
              </w:rPr>
            </w:pPr>
            <w:r>
              <w:rPr>
                <w:rFonts w:hint="eastAsia"/>
                <w:kern w:val="2"/>
                <w:szCs w:val="21"/>
                <w:lang w:val="en-US" w:eastAsia="zh-CN"/>
              </w:rPr>
              <w:t>可燃、易燃危险性物质</w:t>
            </w:r>
          </w:p>
        </w:tc>
        <w:tc>
          <w:tcPr>
            <w:tcW w:w="1803" w:type="dxa"/>
            <w:vAlign w:val="center"/>
          </w:tcPr>
          <w:p>
            <w:pPr>
              <w:pStyle w:val="26"/>
              <w:rPr>
                <w:kern w:val="2"/>
                <w:szCs w:val="21"/>
                <w:lang w:val="en-US" w:eastAsia="zh-CN"/>
              </w:rPr>
            </w:pPr>
            <w:r>
              <w:rPr>
                <w:rFonts w:hint="eastAsia"/>
                <w:kern w:val="2"/>
                <w:szCs w:val="21"/>
                <w:lang w:val="en-US" w:eastAsia="zh-CN"/>
              </w:rPr>
              <w:t>爆炸危险性物质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jc w:val="center"/>
        </w:trPr>
        <w:tc>
          <w:tcPr>
            <w:tcW w:w="1897" w:type="dxa"/>
            <w:vAlign w:val="center"/>
          </w:tcPr>
          <w:p>
            <w:pPr>
              <w:pStyle w:val="26"/>
              <w:rPr>
                <w:kern w:val="2"/>
                <w:szCs w:val="21"/>
                <w:lang w:val="en-US" w:eastAsia="zh-CN"/>
              </w:rPr>
            </w:pPr>
            <w:r>
              <w:rPr>
                <w:rFonts w:hint="eastAsia"/>
                <w:kern w:val="2"/>
                <w:szCs w:val="21"/>
                <w:lang w:val="en-US" w:eastAsia="zh-CN"/>
              </w:rPr>
              <w:t>重大危险源</w:t>
            </w:r>
          </w:p>
        </w:tc>
        <w:tc>
          <w:tcPr>
            <w:tcW w:w="1926" w:type="dxa"/>
            <w:vAlign w:val="center"/>
          </w:tcPr>
          <w:p>
            <w:pPr>
              <w:pStyle w:val="26"/>
              <w:rPr>
                <w:kern w:val="2"/>
                <w:szCs w:val="21"/>
                <w:lang w:val="en-US" w:eastAsia="zh-CN"/>
              </w:rPr>
            </w:pPr>
            <w:r>
              <w:rPr>
                <w:rFonts w:hint="eastAsia"/>
                <w:kern w:val="2"/>
                <w:szCs w:val="21"/>
                <w:lang w:val="en-US" w:eastAsia="zh-CN"/>
              </w:rPr>
              <w:t>一</w:t>
            </w:r>
          </w:p>
        </w:tc>
        <w:tc>
          <w:tcPr>
            <w:tcW w:w="1903" w:type="dxa"/>
            <w:vAlign w:val="center"/>
          </w:tcPr>
          <w:p>
            <w:pPr>
              <w:pStyle w:val="26"/>
              <w:rPr>
                <w:kern w:val="2"/>
                <w:szCs w:val="21"/>
                <w:lang w:val="en-US" w:eastAsia="zh-CN"/>
              </w:rPr>
            </w:pPr>
            <w:r>
              <w:rPr>
                <w:rFonts w:hint="eastAsia"/>
                <w:kern w:val="2"/>
                <w:szCs w:val="21"/>
                <w:lang w:val="en-US" w:eastAsia="zh-CN"/>
              </w:rPr>
              <w:t>二</w:t>
            </w:r>
          </w:p>
        </w:tc>
        <w:tc>
          <w:tcPr>
            <w:tcW w:w="2325" w:type="dxa"/>
            <w:vAlign w:val="center"/>
          </w:tcPr>
          <w:p>
            <w:pPr>
              <w:pStyle w:val="26"/>
              <w:rPr>
                <w:kern w:val="2"/>
                <w:szCs w:val="21"/>
                <w:lang w:val="en-US" w:eastAsia="zh-CN"/>
              </w:rPr>
            </w:pPr>
            <w:r>
              <w:rPr>
                <w:rFonts w:hint="eastAsia"/>
                <w:kern w:val="2"/>
                <w:szCs w:val="21"/>
                <w:lang w:val="en-US" w:eastAsia="zh-CN"/>
              </w:rPr>
              <w:t>一</w:t>
            </w:r>
          </w:p>
        </w:tc>
        <w:tc>
          <w:tcPr>
            <w:tcW w:w="1803" w:type="dxa"/>
            <w:vAlign w:val="center"/>
          </w:tcPr>
          <w:p>
            <w:pPr>
              <w:pStyle w:val="26"/>
              <w:rPr>
                <w:kern w:val="2"/>
                <w:szCs w:val="21"/>
                <w:lang w:val="en-US" w:eastAsia="zh-CN"/>
              </w:rPr>
            </w:pPr>
            <w:r>
              <w:rPr>
                <w:rFonts w:hint="eastAsia"/>
                <w:kern w:val="2"/>
                <w:szCs w:val="21"/>
                <w:lang w:val="en-US" w:eastAsia="zh-CN"/>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jc w:val="center"/>
        </w:trPr>
        <w:tc>
          <w:tcPr>
            <w:tcW w:w="1897" w:type="dxa"/>
            <w:vAlign w:val="center"/>
          </w:tcPr>
          <w:p>
            <w:pPr>
              <w:pStyle w:val="26"/>
              <w:rPr>
                <w:kern w:val="2"/>
                <w:szCs w:val="21"/>
                <w:lang w:val="en-US" w:eastAsia="zh-CN"/>
              </w:rPr>
            </w:pPr>
            <w:r>
              <w:rPr>
                <w:rFonts w:hint="eastAsia"/>
                <w:kern w:val="2"/>
                <w:szCs w:val="21"/>
                <w:lang w:val="en-US" w:eastAsia="zh-CN"/>
              </w:rPr>
              <w:t>非重大危险源</w:t>
            </w:r>
          </w:p>
        </w:tc>
        <w:tc>
          <w:tcPr>
            <w:tcW w:w="1926" w:type="dxa"/>
            <w:vAlign w:val="center"/>
          </w:tcPr>
          <w:p>
            <w:pPr>
              <w:pStyle w:val="26"/>
              <w:rPr>
                <w:kern w:val="2"/>
                <w:szCs w:val="21"/>
                <w:lang w:val="en-US" w:eastAsia="zh-CN"/>
              </w:rPr>
            </w:pPr>
            <w:r>
              <w:rPr>
                <w:rFonts w:hint="eastAsia"/>
                <w:kern w:val="2"/>
                <w:szCs w:val="21"/>
                <w:lang w:val="en-US" w:eastAsia="zh-CN"/>
              </w:rPr>
              <w:t>二</w:t>
            </w:r>
          </w:p>
        </w:tc>
        <w:tc>
          <w:tcPr>
            <w:tcW w:w="1903" w:type="dxa"/>
            <w:vAlign w:val="center"/>
          </w:tcPr>
          <w:p>
            <w:pPr>
              <w:pStyle w:val="26"/>
              <w:rPr>
                <w:kern w:val="2"/>
                <w:szCs w:val="21"/>
                <w:lang w:val="en-US" w:eastAsia="zh-CN"/>
              </w:rPr>
            </w:pPr>
            <w:r>
              <w:rPr>
                <w:rFonts w:hint="eastAsia"/>
                <w:kern w:val="2"/>
                <w:szCs w:val="21"/>
                <w:lang w:val="en-US" w:eastAsia="zh-CN"/>
              </w:rPr>
              <w:t>二</w:t>
            </w:r>
          </w:p>
        </w:tc>
        <w:tc>
          <w:tcPr>
            <w:tcW w:w="2325" w:type="dxa"/>
            <w:vAlign w:val="center"/>
          </w:tcPr>
          <w:p>
            <w:pPr>
              <w:pStyle w:val="26"/>
              <w:rPr>
                <w:kern w:val="2"/>
                <w:szCs w:val="21"/>
                <w:lang w:val="en-US" w:eastAsia="zh-CN"/>
              </w:rPr>
            </w:pPr>
            <w:r>
              <w:rPr>
                <w:rFonts w:hint="eastAsia"/>
                <w:kern w:val="2"/>
                <w:szCs w:val="21"/>
                <w:lang w:val="en-US" w:eastAsia="zh-CN"/>
              </w:rPr>
              <w:t>二</w:t>
            </w:r>
          </w:p>
        </w:tc>
        <w:tc>
          <w:tcPr>
            <w:tcW w:w="1803" w:type="dxa"/>
            <w:vAlign w:val="center"/>
          </w:tcPr>
          <w:p>
            <w:pPr>
              <w:pStyle w:val="26"/>
              <w:rPr>
                <w:kern w:val="2"/>
                <w:szCs w:val="21"/>
                <w:lang w:val="en-US" w:eastAsia="zh-CN"/>
              </w:rPr>
            </w:pPr>
            <w:r>
              <w:rPr>
                <w:rFonts w:hint="eastAsia"/>
                <w:kern w:val="2"/>
                <w:szCs w:val="21"/>
                <w:lang w:val="en-US" w:eastAsia="zh-CN"/>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jc w:val="center"/>
        </w:trPr>
        <w:tc>
          <w:tcPr>
            <w:tcW w:w="1897" w:type="dxa"/>
            <w:vAlign w:val="center"/>
          </w:tcPr>
          <w:p>
            <w:pPr>
              <w:pStyle w:val="26"/>
              <w:rPr>
                <w:kern w:val="2"/>
                <w:szCs w:val="21"/>
                <w:lang w:val="en-US" w:eastAsia="zh-CN"/>
              </w:rPr>
            </w:pPr>
            <w:r>
              <w:rPr>
                <w:rFonts w:hint="eastAsia"/>
                <w:kern w:val="2"/>
                <w:szCs w:val="21"/>
                <w:lang w:val="en-US" w:eastAsia="zh-CN"/>
              </w:rPr>
              <w:t>环境敏感地区</w:t>
            </w:r>
          </w:p>
        </w:tc>
        <w:tc>
          <w:tcPr>
            <w:tcW w:w="1926" w:type="dxa"/>
            <w:vAlign w:val="center"/>
          </w:tcPr>
          <w:p>
            <w:pPr>
              <w:pStyle w:val="26"/>
              <w:rPr>
                <w:kern w:val="2"/>
                <w:szCs w:val="21"/>
                <w:lang w:val="en-US" w:eastAsia="zh-CN"/>
              </w:rPr>
            </w:pPr>
            <w:r>
              <w:rPr>
                <w:rFonts w:hint="eastAsia"/>
                <w:kern w:val="2"/>
                <w:szCs w:val="21"/>
                <w:lang w:val="en-US" w:eastAsia="zh-CN"/>
              </w:rPr>
              <w:t>一</w:t>
            </w:r>
          </w:p>
        </w:tc>
        <w:tc>
          <w:tcPr>
            <w:tcW w:w="1903" w:type="dxa"/>
            <w:vAlign w:val="center"/>
          </w:tcPr>
          <w:p>
            <w:pPr>
              <w:pStyle w:val="26"/>
              <w:rPr>
                <w:kern w:val="2"/>
                <w:szCs w:val="21"/>
                <w:lang w:val="en-US" w:eastAsia="zh-CN"/>
              </w:rPr>
            </w:pPr>
            <w:r>
              <w:rPr>
                <w:rFonts w:hint="eastAsia"/>
                <w:kern w:val="2"/>
                <w:szCs w:val="21"/>
                <w:lang w:val="en-US" w:eastAsia="zh-CN"/>
              </w:rPr>
              <w:t>一</w:t>
            </w:r>
          </w:p>
        </w:tc>
        <w:tc>
          <w:tcPr>
            <w:tcW w:w="2325" w:type="dxa"/>
            <w:vAlign w:val="center"/>
          </w:tcPr>
          <w:p>
            <w:pPr>
              <w:pStyle w:val="26"/>
              <w:rPr>
                <w:kern w:val="2"/>
                <w:szCs w:val="21"/>
                <w:lang w:val="en-US" w:eastAsia="zh-CN"/>
              </w:rPr>
            </w:pPr>
            <w:r>
              <w:rPr>
                <w:rFonts w:hint="eastAsia"/>
                <w:kern w:val="2"/>
                <w:szCs w:val="21"/>
                <w:lang w:val="en-US" w:eastAsia="zh-CN"/>
              </w:rPr>
              <w:t>一</w:t>
            </w:r>
          </w:p>
        </w:tc>
        <w:tc>
          <w:tcPr>
            <w:tcW w:w="1803" w:type="dxa"/>
            <w:vAlign w:val="center"/>
          </w:tcPr>
          <w:p>
            <w:pPr>
              <w:pStyle w:val="26"/>
              <w:rPr>
                <w:kern w:val="2"/>
                <w:szCs w:val="21"/>
                <w:lang w:val="en-US" w:eastAsia="zh-CN"/>
              </w:rPr>
            </w:pPr>
            <w:r>
              <w:rPr>
                <w:rFonts w:hint="eastAsia"/>
                <w:kern w:val="2"/>
                <w:szCs w:val="21"/>
                <w:lang w:val="en-US" w:eastAsia="zh-CN"/>
              </w:rPr>
              <w:t>一</w:t>
            </w:r>
          </w:p>
        </w:tc>
      </w:tr>
    </w:tbl>
    <w:p>
      <w:pPr>
        <w:ind w:firstLine="480"/>
      </w:pPr>
      <w:r>
        <w:rPr>
          <w:rFonts w:hint="eastAsia"/>
        </w:rPr>
        <w:t>根据《重大危险源辨识》，判别本项目涉及危险物质均不够成重大危险源，且项目所在地不属于环境敏感地区。因此，确定环境风险评价等级为二级。</w:t>
      </w:r>
    </w:p>
    <w:p>
      <w:pPr>
        <w:pStyle w:val="4"/>
      </w:pPr>
      <w:r>
        <w:rPr>
          <w:rFonts w:hint="eastAsia"/>
        </w:rPr>
        <w:t>评价范围汇总</w:t>
      </w:r>
    </w:p>
    <w:p>
      <w:pPr>
        <w:ind w:firstLine="480"/>
      </w:pPr>
      <w:r>
        <w:rPr>
          <w:rFonts w:hint="eastAsia"/>
        </w:rPr>
        <w:t>项目评价范围具体见表</w:t>
      </w:r>
      <w:r>
        <w:t>2.4-5</w:t>
      </w:r>
      <w:r>
        <w:rPr>
          <w:rFonts w:hint="eastAsia"/>
        </w:rPr>
        <w:t>。</w:t>
      </w:r>
    </w:p>
    <w:p>
      <w:pPr>
        <w:ind w:firstLine="480"/>
      </w:pPr>
    </w:p>
    <w:p>
      <w:pPr>
        <w:pStyle w:val="26"/>
        <w:rPr>
          <w:b/>
          <w:bCs/>
        </w:rPr>
      </w:pPr>
      <w:r>
        <w:rPr>
          <w:rFonts w:hint="eastAsia"/>
          <w:b/>
          <w:bCs/>
        </w:rPr>
        <w:t>表</w:t>
      </w:r>
      <w:r>
        <w:rPr>
          <w:b/>
          <w:bCs/>
        </w:rPr>
        <w:t xml:space="preserve">2.4-5   </w:t>
      </w:r>
      <w:r>
        <w:rPr>
          <w:rFonts w:hint="eastAsia"/>
          <w:b/>
          <w:bCs/>
        </w:rPr>
        <w:t>项目评价范围一览表</w:t>
      </w:r>
    </w:p>
    <w:tbl>
      <w:tblPr>
        <w:tblStyle w:val="23"/>
        <w:tblW w:w="90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299"/>
        <w:gridCol w:w="4888"/>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726" w:type="dxa"/>
          </w:tcPr>
          <w:p>
            <w:pPr>
              <w:pStyle w:val="26"/>
              <w:rPr>
                <w:kern w:val="2"/>
                <w:szCs w:val="21"/>
                <w:lang w:val="en-US" w:eastAsia="zh-CN"/>
              </w:rPr>
            </w:pPr>
            <w:r>
              <w:rPr>
                <w:rFonts w:hint="eastAsia"/>
                <w:kern w:val="2"/>
                <w:szCs w:val="21"/>
                <w:lang w:val="en-US" w:eastAsia="zh-CN"/>
              </w:rPr>
              <w:t>序号</w:t>
            </w:r>
          </w:p>
        </w:tc>
        <w:tc>
          <w:tcPr>
            <w:tcW w:w="1299" w:type="dxa"/>
          </w:tcPr>
          <w:p>
            <w:pPr>
              <w:pStyle w:val="26"/>
              <w:rPr>
                <w:kern w:val="2"/>
                <w:szCs w:val="21"/>
                <w:lang w:val="en-US" w:eastAsia="zh-CN"/>
              </w:rPr>
            </w:pPr>
            <w:r>
              <w:rPr>
                <w:rFonts w:hint="eastAsia"/>
                <w:kern w:val="2"/>
                <w:szCs w:val="21"/>
                <w:lang w:val="en-US" w:eastAsia="zh-CN"/>
              </w:rPr>
              <w:t>环境要素</w:t>
            </w:r>
          </w:p>
        </w:tc>
        <w:tc>
          <w:tcPr>
            <w:tcW w:w="4888" w:type="dxa"/>
          </w:tcPr>
          <w:p>
            <w:pPr>
              <w:pStyle w:val="26"/>
              <w:rPr>
                <w:kern w:val="2"/>
                <w:szCs w:val="21"/>
                <w:lang w:val="en-US" w:eastAsia="zh-CN"/>
              </w:rPr>
            </w:pPr>
            <w:r>
              <w:rPr>
                <w:rFonts w:hint="eastAsia"/>
                <w:kern w:val="2"/>
                <w:szCs w:val="21"/>
                <w:lang w:val="en-US" w:eastAsia="zh-CN"/>
              </w:rPr>
              <w:t>评价范围</w:t>
            </w:r>
          </w:p>
        </w:tc>
        <w:tc>
          <w:tcPr>
            <w:tcW w:w="2118" w:type="dxa"/>
          </w:tcPr>
          <w:p>
            <w:pPr>
              <w:pStyle w:val="26"/>
              <w:rPr>
                <w:kern w:val="2"/>
                <w:szCs w:val="21"/>
                <w:lang w:val="en-US" w:eastAsia="zh-CN"/>
              </w:rPr>
            </w:pPr>
            <w:r>
              <w:rPr>
                <w:rFonts w:hint="eastAsia"/>
                <w:kern w:val="2"/>
                <w:szCs w:val="21"/>
                <w:lang w:val="en-US" w:eastAsia="zh-CN"/>
              </w:rPr>
              <w:t>环境功能类别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726" w:type="dxa"/>
            <w:vAlign w:val="center"/>
          </w:tcPr>
          <w:p>
            <w:pPr>
              <w:pStyle w:val="26"/>
              <w:rPr>
                <w:kern w:val="2"/>
                <w:szCs w:val="21"/>
                <w:lang w:val="en-US" w:eastAsia="zh-CN"/>
              </w:rPr>
            </w:pPr>
            <w:r>
              <w:rPr>
                <w:kern w:val="2"/>
                <w:szCs w:val="21"/>
                <w:lang w:val="en-US" w:eastAsia="zh-CN"/>
              </w:rPr>
              <w:t>1</w:t>
            </w:r>
          </w:p>
        </w:tc>
        <w:tc>
          <w:tcPr>
            <w:tcW w:w="1299" w:type="dxa"/>
            <w:vAlign w:val="center"/>
          </w:tcPr>
          <w:p>
            <w:pPr>
              <w:pStyle w:val="26"/>
              <w:spacing w:line="240" w:lineRule="auto"/>
              <w:rPr>
                <w:kern w:val="2"/>
                <w:szCs w:val="21"/>
                <w:lang w:val="en-US" w:eastAsia="zh-CN"/>
              </w:rPr>
            </w:pPr>
            <w:r>
              <w:rPr>
                <w:rFonts w:hint="eastAsia"/>
                <w:kern w:val="2"/>
                <w:szCs w:val="21"/>
                <w:lang w:val="en-US" w:eastAsia="zh-CN"/>
              </w:rPr>
              <w:t>地表水</w:t>
            </w:r>
          </w:p>
        </w:tc>
        <w:tc>
          <w:tcPr>
            <w:tcW w:w="4888" w:type="dxa"/>
            <w:vAlign w:val="center"/>
          </w:tcPr>
          <w:p>
            <w:pPr>
              <w:pStyle w:val="26"/>
              <w:spacing w:line="240" w:lineRule="auto"/>
              <w:rPr>
                <w:kern w:val="2"/>
                <w:szCs w:val="21"/>
                <w:lang w:val="en-US" w:eastAsia="zh-CN"/>
              </w:rPr>
            </w:pPr>
            <w:r>
              <w:rPr>
                <w:rFonts w:hint="eastAsia"/>
                <w:kern w:val="2"/>
                <w:szCs w:val="21"/>
                <w:lang w:val="en-US" w:eastAsia="zh-CN"/>
              </w:rPr>
              <w:t>仅对项目废水纳入营田镇污水处理厂的可行性及水质可达性进行分析。</w:t>
            </w:r>
          </w:p>
        </w:tc>
        <w:tc>
          <w:tcPr>
            <w:tcW w:w="2118" w:type="dxa"/>
            <w:vAlign w:val="center"/>
          </w:tcPr>
          <w:p>
            <w:pPr>
              <w:pStyle w:val="26"/>
              <w:rPr>
                <w:kern w:val="2"/>
                <w:szCs w:val="21"/>
                <w:lang w:val="en-US" w:eastAsia="zh-CN"/>
              </w:rPr>
            </w:pPr>
            <w:r>
              <w:rPr>
                <w:kern w:val="2"/>
                <w:szCs w:val="21"/>
                <w:lang w:val="en-US" w:eastAsia="zh-CN"/>
              </w:rPr>
              <w:fldChar w:fldCharType="begin"/>
            </w:r>
            <w:r>
              <w:rPr>
                <w:kern w:val="2"/>
                <w:szCs w:val="21"/>
                <w:lang w:val="en-US" w:eastAsia="zh-CN"/>
              </w:rPr>
              <w:instrText xml:space="preserve"> = 3 \* ROMAN </w:instrText>
            </w:r>
            <w:r>
              <w:rPr>
                <w:kern w:val="2"/>
                <w:szCs w:val="21"/>
                <w:lang w:val="en-US" w:eastAsia="zh-CN"/>
              </w:rPr>
              <w:fldChar w:fldCharType="separate"/>
            </w:r>
            <w:r>
              <w:rPr>
                <w:kern w:val="2"/>
                <w:szCs w:val="21"/>
                <w:lang w:val="en-US" w:eastAsia="zh-CN"/>
              </w:rPr>
              <w:t>III</w:t>
            </w:r>
            <w:r>
              <w:rPr>
                <w:kern w:val="2"/>
                <w:szCs w:val="21"/>
                <w:lang w:val="en-US" w:eastAsia="zh-CN"/>
              </w:rPr>
              <w:fldChar w:fldCharType="end"/>
            </w:r>
            <w:r>
              <w:rPr>
                <w:rFonts w:hint="eastAsia"/>
                <w:kern w:val="2"/>
                <w:szCs w:val="21"/>
                <w:lang w:val="en-US" w:eastAsia="zh-CN"/>
              </w:rPr>
              <w:t>类水环境功能区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726" w:type="dxa"/>
            <w:vAlign w:val="center"/>
          </w:tcPr>
          <w:p>
            <w:pPr>
              <w:pStyle w:val="26"/>
              <w:rPr>
                <w:kern w:val="2"/>
                <w:szCs w:val="21"/>
                <w:lang w:val="en-US" w:eastAsia="zh-CN"/>
              </w:rPr>
            </w:pPr>
            <w:r>
              <w:rPr>
                <w:kern w:val="2"/>
                <w:szCs w:val="21"/>
                <w:lang w:val="en-US" w:eastAsia="zh-CN"/>
              </w:rPr>
              <w:t>2</w:t>
            </w:r>
          </w:p>
        </w:tc>
        <w:tc>
          <w:tcPr>
            <w:tcW w:w="1299" w:type="dxa"/>
            <w:vAlign w:val="center"/>
          </w:tcPr>
          <w:p>
            <w:pPr>
              <w:pStyle w:val="26"/>
              <w:rPr>
                <w:kern w:val="2"/>
                <w:szCs w:val="21"/>
                <w:lang w:val="en-US" w:eastAsia="zh-CN"/>
              </w:rPr>
            </w:pPr>
            <w:r>
              <w:rPr>
                <w:rFonts w:hint="eastAsia"/>
                <w:kern w:val="2"/>
                <w:szCs w:val="21"/>
                <w:lang w:val="en-US" w:eastAsia="zh-CN"/>
              </w:rPr>
              <w:t>地下水</w:t>
            </w:r>
          </w:p>
        </w:tc>
        <w:tc>
          <w:tcPr>
            <w:tcW w:w="4888" w:type="dxa"/>
            <w:vAlign w:val="center"/>
          </w:tcPr>
          <w:p>
            <w:pPr>
              <w:pStyle w:val="26"/>
              <w:rPr>
                <w:kern w:val="2"/>
                <w:szCs w:val="21"/>
                <w:lang w:val="en-US" w:eastAsia="zh-CN"/>
              </w:rPr>
            </w:pPr>
            <w:r>
              <w:rPr>
                <w:rFonts w:hint="eastAsia"/>
                <w:kern w:val="2"/>
                <w:szCs w:val="21"/>
                <w:lang w:val="en-US" w:eastAsia="zh-CN"/>
              </w:rPr>
              <w:t>调查评价面积</w:t>
            </w:r>
            <w:r>
              <w:rPr>
                <w:kern w:val="2"/>
                <w:szCs w:val="21"/>
                <w:lang w:val="en-US" w:eastAsia="zh-CN"/>
              </w:rPr>
              <w:t>20km</w:t>
            </w:r>
            <w:r>
              <w:rPr>
                <w:kern w:val="2"/>
                <w:szCs w:val="21"/>
                <w:vertAlign w:val="superscript"/>
                <w:lang w:val="en-US" w:eastAsia="zh-CN"/>
              </w:rPr>
              <w:t>2</w:t>
            </w:r>
            <w:r>
              <w:rPr>
                <w:rFonts w:hint="eastAsia"/>
                <w:kern w:val="2"/>
                <w:szCs w:val="21"/>
                <w:lang w:val="en-US" w:eastAsia="zh-CN"/>
              </w:rPr>
              <w:t>。</w:t>
            </w:r>
          </w:p>
        </w:tc>
        <w:tc>
          <w:tcPr>
            <w:tcW w:w="2118"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26" w:type="dxa"/>
            <w:vAlign w:val="center"/>
          </w:tcPr>
          <w:p>
            <w:pPr>
              <w:pStyle w:val="26"/>
              <w:rPr>
                <w:kern w:val="2"/>
                <w:szCs w:val="21"/>
                <w:lang w:val="en-US" w:eastAsia="zh-CN"/>
              </w:rPr>
            </w:pPr>
            <w:r>
              <w:rPr>
                <w:kern w:val="2"/>
                <w:szCs w:val="21"/>
                <w:lang w:val="en-US" w:eastAsia="zh-CN"/>
              </w:rPr>
              <w:t>3</w:t>
            </w:r>
          </w:p>
        </w:tc>
        <w:tc>
          <w:tcPr>
            <w:tcW w:w="1299" w:type="dxa"/>
            <w:vAlign w:val="center"/>
          </w:tcPr>
          <w:p>
            <w:pPr>
              <w:pStyle w:val="26"/>
              <w:rPr>
                <w:kern w:val="2"/>
                <w:szCs w:val="21"/>
                <w:lang w:val="en-US" w:eastAsia="zh-CN"/>
              </w:rPr>
            </w:pPr>
            <w:r>
              <w:rPr>
                <w:rFonts w:hint="eastAsia"/>
                <w:kern w:val="2"/>
                <w:szCs w:val="21"/>
                <w:lang w:val="en-US" w:eastAsia="zh-CN"/>
              </w:rPr>
              <w:t>大气环境</w:t>
            </w:r>
          </w:p>
        </w:tc>
        <w:tc>
          <w:tcPr>
            <w:tcW w:w="4888" w:type="dxa"/>
            <w:vAlign w:val="center"/>
          </w:tcPr>
          <w:p>
            <w:pPr>
              <w:pStyle w:val="26"/>
              <w:rPr>
                <w:kern w:val="2"/>
                <w:szCs w:val="21"/>
                <w:lang w:val="en-US" w:eastAsia="zh-CN"/>
              </w:rPr>
            </w:pPr>
            <w:r>
              <w:rPr>
                <w:rFonts w:hint="eastAsia"/>
                <w:kern w:val="2"/>
                <w:szCs w:val="21"/>
                <w:lang w:val="en-US" w:eastAsia="zh-CN"/>
              </w:rPr>
              <w:t>以项目拟建地为中心，直径为</w:t>
            </w:r>
            <w:r>
              <w:rPr>
                <w:kern w:val="2"/>
                <w:szCs w:val="21"/>
                <w:lang w:val="en-US" w:eastAsia="zh-CN"/>
              </w:rPr>
              <w:t>5km</w:t>
            </w:r>
            <w:r>
              <w:rPr>
                <w:rFonts w:hint="eastAsia"/>
                <w:kern w:val="2"/>
                <w:szCs w:val="21"/>
                <w:lang w:val="en-US" w:eastAsia="zh-CN"/>
              </w:rPr>
              <w:t>的园形范围。</w:t>
            </w:r>
          </w:p>
        </w:tc>
        <w:tc>
          <w:tcPr>
            <w:tcW w:w="2118" w:type="dxa"/>
            <w:vAlign w:val="center"/>
          </w:tcPr>
          <w:p>
            <w:pPr>
              <w:pStyle w:val="26"/>
              <w:rPr>
                <w:kern w:val="2"/>
                <w:szCs w:val="21"/>
                <w:lang w:val="en-US" w:eastAsia="zh-CN"/>
              </w:rPr>
            </w:pPr>
            <w:r>
              <w:rPr>
                <w:rFonts w:hint="eastAsia"/>
                <w:kern w:val="2"/>
                <w:szCs w:val="21"/>
                <w:lang w:val="en-US" w:eastAsia="zh-CN"/>
              </w:rPr>
              <w:t>二类大气环境功能区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726" w:type="dxa"/>
            <w:vAlign w:val="center"/>
          </w:tcPr>
          <w:p>
            <w:pPr>
              <w:pStyle w:val="26"/>
              <w:rPr>
                <w:kern w:val="2"/>
                <w:szCs w:val="21"/>
                <w:lang w:val="en-US" w:eastAsia="zh-CN"/>
              </w:rPr>
            </w:pPr>
            <w:r>
              <w:rPr>
                <w:kern w:val="2"/>
                <w:szCs w:val="21"/>
                <w:lang w:val="en-US" w:eastAsia="zh-CN"/>
              </w:rPr>
              <w:t>4</w:t>
            </w:r>
          </w:p>
        </w:tc>
        <w:tc>
          <w:tcPr>
            <w:tcW w:w="1299" w:type="dxa"/>
            <w:vAlign w:val="center"/>
          </w:tcPr>
          <w:p>
            <w:pPr>
              <w:pStyle w:val="26"/>
              <w:rPr>
                <w:kern w:val="2"/>
                <w:szCs w:val="21"/>
                <w:lang w:val="en-US" w:eastAsia="zh-CN"/>
              </w:rPr>
            </w:pPr>
            <w:r>
              <w:rPr>
                <w:rFonts w:hint="eastAsia"/>
                <w:kern w:val="2"/>
                <w:szCs w:val="21"/>
                <w:lang w:val="en-US" w:eastAsia="zh-CN"/>
              </w:rPr>
              <w:t>声环境</w:t>
            </w:r>
          </w:p>
        </w:tc>
        <w:tc>
          <w:tcPr>
            <w:tcW w:w="4888" w:type="dxa"/>
            <w:vAlign w:val="center"/>
          </w:tcPr>
          <w:p>
            <w:pPr>
              <w:pStyle w:val="26"/>
              <w:rPr>
                <w:kern w:val="2"/>
                <w:szCs w:val="21"/>
                <w:lang w:val="en-US" w:eastAsia="zh-CN"/>
              </w:rPr>
            </w:pPr>
            <w:r>
              <w:rPr>
                <w:rFonts w:hint="eastAsia"/>
                <w:kern w:val="2"/>
                <w:szCs w:val="21"/>
                <w:lang w:val="en-US" w:eastAsia="zh-CN"/>
              </w:rPr>
              <w:t>项目厂界外</w:t>
            </w:r>
            <w:r>
              <w:rPr>
                <w:kern w:val="2"/>
                <w:szCs w:val="21"/>
                <w:lang w:val="en-US" w:eastAsia="zh-CN"/>
              </w:rPr>
              <w:t>200m</w:t>
            </w:r>
            <w:r>
              <w:rPr>
                <w:rFonts w:hint="eastAsia"/>
                <w:kern w:val="2"/>
                <w:szCs w:val="21"/>
                <w:lang w:val="en-US" w:eastAsia="zh-CN"/>
              </w:rPr>
              <w:t>以内。</w:t>
            </w:r>
          </w:p>
        </w:tc>
        <w:tc>
          <w:tcPr>
            <w:tcW w:w="2118" w:type="dxa"/>
            <w:vAlign w:val="center"/>
          </w:tcPr>
          <w:p>
            <w:pPr>
              <w:pStyle w:val="26"/>
              <w:rPr>
                <w:kern w:val="2"/>
                <w:szCs w:val="21"/>
                <w:lang w:val="en-US" w:eastAsia="zh-CN"/>
              </w:rPr>
            </w:pPr>
            <w:r>
              <w:rPr>
                <w:kern w:val="2"/>
                <w:szCs w:val="21"/>
                <w:lang w:val="en-US" w:eastAsia="zh-CN"/>
              </w:rPr>
              <w:t>2</w:t>
            </w:r>
            <w:r>
              <w:rPr>
                <w:rFonts w:hint="eastAsia"/>
                <w:kern w:val="2"/>
                <w:szCs w:val="21"/>
                <w:lang w:val="en-US" w:eastAsia="zh-CN"/>
              </w:rPr>
              <w:t>类声环境功能区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726" w:type="dxa"/>
            <w:vAlign w:val="center"/>
          </w:tcPr>
          <w:p>
            <w:pPr>
              <w:pStyle w:val="26"/>
              <w:rPr>
                <w:kern w:val="2"/>
                <w:szCs w:val="21"/>
                <w:lang w:val="en-US" w:eastAsia="zh-CN"/>
              </w:rPr>
            </w:pPr>
            <w:r>
              <w:rPr>
                <w:kern w:val="2"/>
                <w:szCs w:val="21"/>
                <w:lang w:val="en-US" w:eastAsia="zh-CN"/>
              </w:rPr>
              <w:t>5</w:t>
            </w:r>
          </w:p>
        </w:tc>
        <w:tc>
          <w:tcPr>
            <w:tcW w:w="1299" w:type="dxa"/>
            <w:vAlign w:val="center"/>
          </w:tcPr>
          <w:p>
            <w:pPr>
              <w:pStyle w:val="26"/>
              <w:rPr>
                <w:kern w:val="2"/>
                <w:szCs w:val="21"/>
                <w:lang w:val="en-US" w:eastAsia="zh-CN"/>
              </w:rPr>
            </w:pPr>
            <w:r>
              <w:rPr>
                <w:rFonts w:hint="eastAsia"/>
                <w:kern w:val="2"/>
                <w:szCs w:val="21"/>
                <w:lang w:val="en-US" w:eastAsia="zh-CN"/>
              </w:rPr>
              <w:t>环境风险</w:t>
            </w:r>
          </w:p>
        </w:tc>
        <w:tc>
          <w:tcPr>
            <w:tcW w:w="4888" w:type="dxa"/>
            <w:vAlign w:val="center"/>
          </w:tcPr>
          <w:p>
            <w:pPr>
              <w:pStyle w:val="26"/>
              <w:rPr>
                <w:kern w:val="2"/>
                <w:szCs w:val="21"/>
                <w:lang w:val="en-US" w:eastAsia="zh-CN"/>
              </w:rPr>
            </w:pPr>
            <w:r>
              <w:rPr>
                <w:rFonts w:hint="eastAsia"/>
                <w:kern w:val="2"/>
                <w:szCs w:val="21"/>
                <w:lang w:val="en-US" w:eastAsia="zh-CN"/>
              </w:rPr>
              <w:t>距离项目周边</w:t>
            </w:r>
            <w:r>
              <w:rPr>
                <w:kern w:val="2"/>
                <w:szCs w:val="21"/>
                <w:lang w:val="en-US" w:eastAsia="zh-CN"/>
              </w:rPr>
              <w:t>3km</w:t>
            </w:r>
            <w:r>
              <w:rPr>
                <w:rFonts w:hint="eastAsia"/>
                <w:kern w:val="2"/>
                <w:szCs w:val="21"/>
                <w:lang w:val="en-US" w:eastAsia="zh-CN"/>
              </w:rPr>
              <w:t>范围。</w:t>
            </w:r>
          </w:p>
        </w:tc>
        <w:tc>
          <w:tcPr>
            <w:tcW w:w="2118" w:type="dxa"/>
            <w:vAlign w:val="center"/>
          </w:tcPr>
          <w:p>
            <w:pPr>
              <w:pStyle w:val="26"/>
              <w:rPr>
                <w:kern w:val="2"/>
                <w:szCs w:val="21"/>
                <w:lang w:val="en-US" w:eastAsia="zh-CN"/>
              </w:rPr>
            </w:pPr>
            <w:r>
              <w:rPr>
                <w:kern w:val="2"/>
                <w:szCs w:val="21"/>
                <w:lang w:val="en-US" w:eastAsia="zh-CN"/>
              </w:rPr>
              <w:t>-</w:t>
            </w:r>
          </w:p>
        </w:tc>
      </w:tr>
    </w:tbl>
    <w:p>
      <w:pPr>
        <w:pStyle w:val="3"/>
      </w:pPr>
      <w:bookmarkStart w:id="15" w:name="_Toc5245"/>
      <w:r>
        <w:rPr>
          <w:rFonts w:hint="eastAsia"/>
        </w:rPr>
        <w:t>评价因子</w:t>
      </w:r>
      <w:bookmarkEnd w:id="15"/>
    </w:p>
    <w:p>
      <w:pPr>
        <w:pStyle w:val="4"/>
      </w:pPr>
      <w:r>
        <w:rPr>
          <w:rFonts w:hint="eastAsia"/>
        </w:rPr>
        <w:t>评价因子识别</w:t>
      </w:r>
    </w:p>
    <w:p>
      <w:pPr>
        <w:ind w:firstLine="480"/>
      </w:pPr>
      <w:r>
        <w:rPr>
          <w:rFonts w:hint="eastAsia"/>
        </w:rPr>
        <w:t>根据本次技改后项目特点及周边区域环境特征的分析，确定各环境影响要素的评价因子见表</w:t>
      </w:r>
      <w:r>
        <w:t>2.5-1</w:t>
      </w:r>
      <w:r>
        <w:rPr>
          <w:rFonts w:hint="eastAsia"/>
        </w:rPr>
        <w:t>。</w:t>
      </w:r>
    </w:p>
    <w:p>
      <w:pPr>
        <w:pStyle w:val="26"/>
        <w:rPr>
          <w:b/>
          <w:bCs/>
        </w:rPr>
      </w:pPr>
      <w:r>
        <w:rPr>
          <w:rFonts w:hint="eastAsia"/>
          <w:b/>
          <w:bCs/>
        </w:rPr>
        <w:t>表</w:t>
      </w:r>
      <w:r>
        <w:rPr>
          <w:b/>
          <w:bCs/>
        </w:rPr>
        <w:t xml:space="preserve">2.5-1    </w:t>
      </w:r>
      <w:r>
        <w:rPr>
          <w:rFonts w:hint="eastAsia"/>
          <w:b/>
          <w:bCs/>
        </w:rPr>
        <w:t>评价因子识别表</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149"/>
        <w:gridCol w:w="1164"/>
        <w:gridCol w:w="1165"/>
        <w:gridCol w:w="1164"/>
        <w:gridCol w:w="1165"/>
        <w:gridCol w:w="1164"/>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blHeader/>
        </w:trPr>
        <w:tc>
          <w:tcPr>
            <w:tcW w:w="717" w:type="dxa"/>
          </w:tcPr>
          <w:p>
            <w:pPr>
              <w:pStyle w:val="26"/>
              <w:rPr>
                <w:kern w:val="2"/>
                <w:szCs w:val="21"/>
                <w:lang w:val="en-US" w:eastAsia="zh-CN"/>
              </w:rPr>
            </w:pPr>
            <w:r>
              <w:rPr>
                <w:rFonts w:hint="eastAsia"/>
                <w:kern w:val="2"/>
                <w:szCs w:val="21"/>
                <w:lang w:val="en-US" w:eastAsia="zh-CN"/>
              </w:rPr>
              <w:t>类别</w:t>
            </w:r>
          </w:p>
        </w:tc>
        <w:tc>
          <w:tcPr>
            <w:tcW w:w="2149" w:type="dxa"/>
            <w:vAlign w:val="center"/>
          </w:tcPr>
          <w:p>
            <w:pPr>
              <w:pStyle w:val="26"/>
              <w:rPr>
                <w:kern w:val="2"/>
                <w:szCs w:val="21"/>
                <w:lang w:val="en-US" w:eastAsia="zh-CN"/>
              </w:rPr>
            </w:pPr>
            <w:r>
              <w:rPr>
                <w:rFonts w:hint="eastAsia"/>
                <w:kern w:val="2"/>
                <w:szCs w:val="21"/>
                <w:lang w:val="en-US" w:eastAsia="zh-CN"/>
              </w:rPr>
              <w:t>污染因子</w:t>
            </w:r>
          </w:p>
        </w:tc>
        <w:tc>
          <w:tcPr>
            <w:tcW w:w="1164" w:type="dxa"/>
            <w:vAlign w:val="center"/>
          </w:tcPr>
          <w:p>
            <w:pPr>
              <w:pStyle w:val="26"/>
              <w:rPr>
                <w:kern w:val="2"/>
                <w:szCs w:val="21"/>
                <w:lang w:val="en-US" w:eastAsia="zh-CN"/>
              </w:rPr>
            </w:pPr>
            <w:r>
              <w:rPr>
                <w:rFonts w:hint="eastAsia"/>
                <w:kern w:val="2"/>
                <w:szCs w:val="21"/>
                <w:lang w:val="en-US" w:eastAsia="zh-CN"/>
              </w:rPr>
              <w:t>原料运输</w:t>
            </w:r>
          </w:p>
        </w:tc>
        <w:tc>
          <w:tcPr>
            <w:tcW w:w="1165" w:type="dxa"/>
            <w:vAlign w:val="center"/>
          </w:tcPr>
          <w:p>
            <w:pPr>
              <w:pStyle w:val="26"/>
              <w:rPr>
                <w:kern w:val="2"/>
                <w:szCs w:val="21"/>
                <w:lang w:val="en-US" w:eastAsia="zh-CN"/>
              </w:rPr>
            </w:pPr>
            <w:r>
              <w:rPr>
                <w:rFonts w:hint="eastAsia"/>
                <w:kern w:val="2"/>
                <w:szCs w:val="21"/>
                <w:lang w:val="en-US" w:eastAsia="zh-CN"/>
              </w:rPr>
              <w:t>生产过程</w:t>
            </w:r>
          </w:p>
        </w:tc>
        <w:tc>
          <w:tcPr>
            <w:tcW w:w="1164" w:type="dxa"/>
            <w:vAlign w:val="center"/>
          </w:tcPr>
          <w:p>
            <w:pPr>
              <w:pStyle w:val="26"/>
              <w:rPr>
                <w:kern w:val="2"/>
                <w:szCs w:val="21"/>
                <w:lang w:val="en-US" w:eastAsia="zh-CN"/>
              </w:rPr>
            </w:pPr>
            <w:r>
              <w:rPr>
                <w:rFonts w:hint="eastAsia"/>
                <w:kern w:val="2"/>
                <w:szCs w:val="21"/>
                <w:lang w:val="en-US" w:eastAsia="zh-CN"/>
              </w:rPr>
              <w:t>职工生活</w:t>
            </w:r>
          </w:p>
        </w:tc>
        <w:tc>
          <w:tcPr>
            <w:tcW w:w="1165" w:type="dxa"/>
            <w:vAlign w:val="center"/>
          </w:tcPr>
          <w:p>
            <w:pPr>
              <w:pStyle w:val="26"/>
              <w:rPr>
                <w:kern w:val="2"/>
                <w:szCs w:val="21"/>
                <w:lang w:val="en-US" w:eastAsia="zh-CN"/>
              </w:rPr>
            </w:pPr>
            <w:r>
              <w:rPr>
                <w:rFonts w:hint="eastAsia"/>
                <w:kern w:val="2"/>
                <w:szCs w:val="21"/>
                <w:lang w:val="en-US" w:eastAsia="zh-CN"/>
              </w:rPr>
              <w:t>产品运输</w:t>
            </w:r>
          </w:p>
        </w:tc>
        <w:tc>
          <w:tcPr>
            <w:tcW w:w="1164" w:type="dxa"/>
            <w:vAlign w:val="center"/>
          </w:tcPr>
          <w:p>
            <w:pPr>
              <w:pStyle w:val="26"/>
              <w:rPr>
                <w:kern w:val="2"/>
                <w:szCs w:val="21"/>
                <w:lang w:val="en-US" w:eastAsia="zh-CN"/>
              </w:rPr>
            </w:pPr>
            <w:r>
              <w:rPr>
                <w:rFonts w:hint="eastAsia"/>
                <w:kern w:val="2"/>
                <w:szCs w:val="21"/>
                <w:lang w:val="en-US" w:eastAsia="zh-CN"/>
              </w:rPr>
              <w:t>废气治理</w:t>
            </w:r>
          </w:p>
        </w:tc>
        <w:tc>
          <w:tcPr>
            <w:tcW w:w="1166" w:type="dxa"/>
            <w:vAlign w:val="center"/>
          </w:tcPr>
          <w:p>
            <w:pPr>
              <w:pStyle w:val="26"/>
              <w:rPr>
                <w:kern w:val="2"/>
                <w:szCs w:val="21"/>
                <w:lang w:val="en-US" w:eastAsia="zh-CN"/>
              </w:rPr>
            </w:pPr>
            <w:r>
              <w:rPr>
                <w:rFonts w:hint="eastAsia"/>
                <w:kern w:val="2"/>
                <w:szCs w:val="21"/>
                <w:lang w:val="en-US" w:eastAsia="zh-CN"/>
              </w:rPr>
              <w:t>废水处理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717" w:type="dxa"/>
            <w:vMerge w:val="restart"/>
            <w:vAlign w:val="center"/>
          </w:tcPr>
          <w:p>
            <w:pPr>
              <w:pStyle w:val="26"/>
              <w:rPr>
                <w:kern w:val="2"/>
                <w:szCs w:val="21"/>
                <w:lang w:val="en-US" w:eastAsia="zh-CN"/>
              </w:rPr>
            </w:pPr>
            <w:r>
              <w:rPr>
                <w:rFonts w:hint="eastAsia"/>
                <w:kern w:val="2"/>
                <w:szCs w:val="21"/>
                <w:lang w:val="en-US" w:eastAsia="zh-CN"/>
              </w:rPr>
              <w:t>废水</w:t>
            </w:r>
          </w:p>
        </w:tc>
        <w:tc>
          <w:tcPr>
            <w:tcW w:w="2149" w:type="dxa"/>
          </w:tcPr>
          <w:p>
            <w:pPr>
              <w:pStyle w:val="26"/>
              <w:rPr>
                <w:kern w:val="2"/>
                <w:szCs w:val="21"/>
                <w:lang w:val="en-US" w:eastAsia="zh-CN"/>
              </w:rPr>
            </w:pPr>
            <w:r>
              <w:rPr>
                <w:kern w:val="2"/>
                <w:szCs w:val="21"/>
                <w:lang w:val="en-US" w:eastAsia="zh-CN"/>
              </w:rPr>
              <w:t>pH</w:t>
            </w:r>
            <w:r>
              <w:rPr>
                <w:rFonts w:hint="eastAsia"/>
                <w:kern w:val="2"/>
                <w:szCs w:val="21"/>
                <w:lang w:val="en-US" w:eastAsia="zh-CN"/>
              </w:rPr>
              <w:t>值</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tcPr>
          <w:p>
            <w:pPr>
              <w:pStyle w:val="26"/>
              <w:rPr>
                <w:kern w:val="2"/>
                <w:szCs w:val="21"/>
                <w:lang w:val="en-US" w:eastAsia="zh-CN"/>
              </w:rPr>
            </w:pPr>
            <w:r>
              <w:rPr>
                <w:kern w:val="2"/>
                <w:szCs w:val="21"/>
                <w:lang w:val="en-US" w:eastAsia="zh-CN"/>
              </w:rPr>
              <w:t>COD</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r>
              <w:rPr>
                <w:kern w:val="2"/>
                <w:szCs w:val="21"/>
                <w:lang w:val="en-US" w:eastAsia="zh-CN"/>
              </w:rPr>
              <w:t>▲</w:t>
            </w: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vAlign w:val="top"/>
          </w:tcPr>
          <w:p>
            <w:pPr>
              <w:pStyle w:val="26"/>
              <w:ind w:firstLine="0" w:firstLineChars="0"/>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tcPr>
          <w:p>
            <w:pPr>
              <w:pStyle w:val="26"/>
              <w:rPr>
                <w:kern w:val="2"/>
                <w:szCs w:val="21"/>
                <w:lang w:val="en-US" w:eastAsia="zh-CN"/>
              </w:rPr>
            </w:pPr>
            <w:r>
              <w:rPr>
                <w:kern w:val="2"/>
                <w:szCs w:val="21"/>
                <w:lang w:val="en-US" w:eastAsia="zh-CN"/>
              </w:rPr>
              <w:t>BOD</w:t>
            </w:r>
            <w:r>
              <w:rPr>
                <w:kern w:val="2"/>
                <w:szCs w:val="21"/>
                <w:vertAlign w:val="subscript"/>
                <w:lang w:val="en-US" w:eastAsia="zh-CN"/>
              </w:rPr>
              <w:t>5</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r>
              <w:rPr>
                <w:kern w:val="2"/>
                <w:szCs w:val="21"/>
                <w:lang w:val="en-US" w:eastAsia="zh-CN"/>
              </w:rPr>
              <w:t>▲</w:t>
            </w: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vAlign w:val="top"/>
          </w:tcPr>
          <w:p>
            <w:pPr>
              <w:pStyle w:val="26"/>
              <w:ind w:firstLine="0" w:firstLineChars="0"/>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tcPr>
          <w:p>
            <w:pPr>
              <w:pStyle w:val="26"/>
              <w:rPr>
                <w:kern w:val="2"/>
                <w:szCs w:val="21"/>
                <w:lang w:val="en-US" w:eastAsia="zh-CN"/>
              </w:rPr>
            </w:pPr>
            <w:r>
              <w:rPr>
                <w:rFonts w:hint="eastAsia"/>
                <w:kern w:val="2"/>
                <w:szCs w:val="21"/>
                <w:lang w:val="en-US" w:eastAsia="zh-CN"/>
              </w:rPr>
              <w:t>氨氮</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r>
              <w:rPr>
                <w:kern w:val="2"/>
                <w:szCs w:val="21"/>
                <w:lang w:val="en-US" w:eastAsia="zh-CN"/>
              </w:rPr>
              <w:t>▲</w:t>
            </w: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vAlign w:val="top"/>
          </w:tcPr>
          <w:p>
            <w:pPr>
              <w:pStyle w:val="26"/>
              <w:ind w:firstLine="0" w:firstLineChars="0"/>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tcPr>
          <w:p>
            <w:pPr>
              <w:pStyle w:val="26"/>
              <w:rPr>
                <w:kern w:val="2"/>
                <w:szCs w:val="21"/>
                <w:lang w:val="en-US" w:eastAsia="zh-CN"/>
              </w:rPr>
            </w:pPr>
            <w:r>
              <w:rPr>
                <w:rFonts w:hint="eastAsia"/>
                <w:kern w:val="2"/>
                <w:szCs w:val="21"/>
                <w:lang w:val="en-US" w:eastAsia="zh-CN"/>
              </w:rPr>
              <w:t>色度</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tcPr>
          <w:p>
            <w:pPr>
              <w:pStyle w:val="26"/>
              <w:rPr>
                <w:kern w:val="2"/>
                <w:szCs w:val="21"/>
                <w:lang w:val="en-US" w:eastAsia="zh-CN"/>
              </w:rPr>
            </w:pPr>
            <w:r>
              <w:rPr>
                <w:kern w:val="2"/>
                <w:szCs w:val="21"/>
                <w:lang w:val="en-US" w:eastAsia="zh-CN"/>
              </w:rPr>
              <w:t>SS</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r>
              <w:rPr>
                <w:kern w:val="2"/>
                <w:szCs w:val="21"/>
                <w:lang w:val="en-US" w:eastAsia="zh-CN"/>
              </w:rPr>
              <w:t>▲</w:t>
            </w:r>
          </w:p>
        </w:tc>
        <w:tc>
          <w:tcPr>
            <w:tcW w:w="1166" w:type="dxa"/>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717" w:type="dxa"/>
            <w:vMerge w:val="restart"/>
            <w:vAlign w:val="center"/>
          </w:tcPr>
          <w:p>
            <w:pPr>
              <w:pStyle w:val="26"/>
              <w:rPr>
                <w:kern w:val="2"/>
                <w:szCs w:val="21"/>
                <w:lang w:val="en-US" w:eastAsia="zh-CN"/>
              </w:rPr>
            </w:pPr>
            <w:r>
              <w:rPr>
                <w:rFonts w:hint="eastAsia"/>
                <w:kern w:val="2"/>
                <w:szCs w:val="21"/>
                <w:lang w:val="en-US" w:eastAsia="zh-CN"/>
              </w:rPr>
              <w:t>废气</w:t>
            </w:r>
          </w:p>
        </w:tc>
        <w:tc>
          <w:tcPr>
            <w:tcW w:w="2149" w:type="dxa"/>
          </w:tcPr>
          <w:p>
            <w:pPr>
              <w:pStyle w:val="26"/>
              <w:rPr>
                <w:kern w:val="2"/>
                <w:szCs w:val="21"/>
                <w:lang w:val="en-US" w:eastAsia="zh-CN"/>
              </w:rPr>
            </w:pPr>
            <w:r>
              <w:rPr>
                <w:kern w:val="2"/>
                <w:szCs w:val="21"/>
                <w:lang w:val="en-US" w:eastAsia="zh-CN"/>
              </w:rPr>
              <w:t>SO2</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tcPr>
          <w:p>
            <w:pPr>
              <w:pStyle w:val="26"/>
              <w:rPr>
                <w:kern w:val="2"/>
                <w:szCs w:val="21"/>
                <w:lang w:val="en-US" w:eastAsia="zh-CN"/>
              </w:rPr>
            </w:pPr>
            <w:r>
              <w:rPr>
                <w:kern w:val="2"/>
                <w:szCs w:val="21"/>
                <w:lang w:val="en-US" w:eastAsia="zh-CN"/>
              </w:rPr>
              <w:t>NOX</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tcPr>
          <w:p>
            <w:pPr>
              <w:pStyle w:val="26"/>
              <w:rPr>
                <w:kern w:val="2"/>
                <w:szCs w:val="21"/>
                <w:lang w:val="en-US" w:eastAsia="zh-CN"/>
              </w:rPr>
            </w:pPr>
            <w:r>
              <w:rPr>
                <w:rFonts w:hint="eastAsia"/>
                <w:kern w:val="2"/>
                <w:szCs w:val="21"/>
                <w:lang w:val="en-US" w:eastAsia="zh-CN"/>
              </w:rPr>
              <w:t>TVOC</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tcPr>
          <w:p>
            <w:pPr>
              <w:pStyle w:val="26"/>
              <w:rPr>
                <w:kern w:val="2"/>
                <w:szCs w:val="21"/>
                <w:lang w:val="en-US" w:eastAsia="zh-CN"/>
              </w:rPr>
            </w:pPr>
            <w:r>
              <w:rPr>
                <w:rFonts w:hint="eastAsia"/>
                <w:kern w:val="2"/>
                <w:szCs w:val="21"/>
                <w:lang w:val="en-US" w:eastAsia="zh-CN"/>
              </w:rPr>
              <w:t>颗粒物</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tcPr>
          <w:p>
            <w:pPr>
              <w:pStyle w:val="26"/>
              <w:rPr>
                <w:kern w:val="2"/>
                <w:szCs w:val="21"/>
                <w:lang w:val="en-US" w:eastAsia="zh-CN"/>
              </w:rPr>
            </w:pPr>
            <w:r>
              <w:rPr>
                <w:rFonts w:hint="eastAsia"/>
                <w:kern w:val="2"/>
                <w:szCs w:val="21"/>
                <w:lang w:val="en-US" w:eastAsia="zh-CN"/>
              </w:rPr>
              <w:t>恶臭</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tcPr>
          <w:p>
            <w:pPr>
              <w:pStyle w:val="26"/>
              <w:rPr>
                <w:kern w:val="2"/>
                <w:szCs w:val="21"/>
                <w:lang w:val="en-US" w:eastAsia="zh-CN"/>
              </w:rPr>
            </w:pPr>
            <w:r>
              <w:rPr>
                <w:rFonts w:hint="eastAsia"/>
                <w:kern w:val="2"/>
                <w:szCs w:val="21"/>
                <w:lang w:val="en-US" w:eastAsia="zh-CN"/>
              </w:rPr>
              <w:t>醋酸</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tcPr>
          <w:p>
            <w:pPr>
              <w:pStyle w:val="26"/>
              <w:rPr>
                <w:kern w:val="2"/>
                <w:szCs w:val="21"/>
                <w:lang w:val="en-US" w:eastAsia="zh-CN"/>
              </w:rPr>
            </w:pPr>
            <w:r>
              <w:rPr>
                <w:rFonts w:hint="eastAsia"/>
                <w:kern w:val="2"/>
                <w:szCs w:val="21"/>
                <w:lang w:val="en-US" w:eastAsia="zh-CN"/>
              </w:rPr>
              <w:t>食堂油烟</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r>
              <w:rPr>
                <w:kern w:val="2"/>
                <w:szCs w:val="21"/>
                <w:lang w:val="en-US" w:eastAsia="zh-CN"/>
              </w:rPr>
              <w:t>▲</w:t>
            </w: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717" w:type="dxa"/>
          </w:tcPr>
          <w:p>
            <w:pPr>
              <w:pStyle w:val="26"/>
              <w:rPr>
                <w:kern w:val="2"/>
                <w:szCs w:val="21"/>
                <w:lang w:val="en-US" w:eastAsia="zh-CN"/>
              </w:rPr>
            </w:pPr>
            <w:r>
              <w:rPr>
                <w:rFonts w:hint="eastAsia"/>
                <w:kern w:val="2"/>
                <w:szCs w:val="21"/>
                <w:lang w:val="en-US" w:eastAsia="zh-CN"/>
              </w:rPr>
              <w:t>噪声</w:t>
            </w:r>
          </w:p>
        </w:tc>
        <w:tc>
          <w:tcPr>
            <w:tcW w:w="2149" w:type="dxa"/>
          </w:tcPr>
          <w:p>
            <w:pPr>
              <w:pStyle w:val="26"/>
              <w:rPr>
                <w:kern w:val="2"/>
                <w:szCs w:val="21"/>
                <w:lang w:val="en-US" w:eastAsia="zh-CN"/>
              </w:rPr>
            </w:pPr>
            <w:r>
              <w:rPr>
                <w:rFonts w:hint="eastAsia"/>
                <w:kern w:val="2"/>
                <w:szCs w:val="21"/>
                <w:lang w:val="en-US" w:eastAsia="zh-CN"/>
              </w:rPr>
              <w:t>等效</w:t>
            </w:r>
            <w:r>
              <w:rPr>
                <w:kern w:val="2"/>
                <w:szCs w:val="21"/>
                <w:lang w:val="en-US" w:eastAsia="zh-CN"/>
              </w:rPr>
              <w:t>A</w:t>
            </w:r>
            <w:r>
              <w:rPr>
                <w:rFonts w:hint="eastAsia"/>
                <w:kern w:val="2"/>
                <w:szCs w:val="21"/>
                <w:lang w:val="en-US" w:eastAsia="zh-CN"/>
              </w:rPr>
              <w:t>声级</w:t>
            </w:r>
          </w:p>
        </w:tc>
        <w:tc>
          <w:tcPr>
            <w:tcW w:w="1164" w:type="dxa"/>
          </w:tcPr>
          <w:p>
            <w:pPr>
              <w:pStyle w:val="26"/>
              <w:rPr>
                <w:kern w:val="2"/>
                <w:szCs w:val="21"/>
                <w:lang w:val="en-US" w:eastAsia="zh-CN"/>
              </w:rPr>
            </w:pPr>
            <w:r>
              <w:rPr>
                <w:kern w:val="2"/>
                <w:szCs w:val="21"/>
                <w:lang w:val="en-US" w:eastAsia="zh-CN"/>
              </w:rPr>
              <w:t>▲</w:t>
            </w: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r>
              <w:rPr>
                <w:kern w:val="2"/>
                <w:szCs w:val="21"/>
                <w:lang w:val="en-US" w:eastAsia="zh-CN"/>
              </w:rPr>
              <w:t>▲</w:t>
            </w:r>
          </w:p>
        </w:tc>
        <w:tc>
          <w:tcPr>
            <w:tcW w:w="1166" w:type="dxa"/>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717" w:type="dxa"/>
            <w:vMerge w:val="restart"/>
            <w:vAlign w:val="center"/>
          </w:tcPr>
          <w:p>
            <w:pPr>
              <w:pStyle w:val="26"/>
              <w:rPr>
                <w:kern w:val="2"/>
                <w:szCs w:val="21"/>
                <w:lang w:val="en-US" w:eastAsia="zh-CN"/>
              </w:rPr>
            </w:pPr>
            <w:r>
              <w:rPr>
                <w:rFonts w:hint="eastAsia"/>
                <w:kern w:val="2"/>
                <w:szCs w:val="21"/>
                <w:lang w:val="en-US" w:eastAsia="zh-CN"/>
              </w:rPr>
              <w:t>固废</w:t>
            </w:r>
          </w:p>
        </w:tc>
        <w:tc>
          <w:tcPr>
            <w:tcW w:w="2149" w:type="dxa"/>
            <w:vAlign w:val="center"/>
          </w:tcPr>
          <w:p>
            <w:pPr>
              <w:pStyle w:val="26"/>
              <w:rPr>
                <w:kern w:val="2"/>
                <w:szCs w:val="21"/>
                <w:lang w:val="en-US" w:eastAsia="zh-CN"/>
              </w:rPr>
            </w:pPr>
            <w:r>
              <w:rPr>
                <w:rFonts w:hint="eastAsia"/>
                <w:kern w:val="2"/>
                <w:szCs w:val="21"/>
                <w:lang w:val="en-US" w:eastAsia="zh-CN"/>
              </w:rPr>
              <w:t>废包装材料</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717" w:type="dxa"/>
            <w:vMerge w:val="continue"/>
            <w:vAlign w:val="center"/>
          </w:tcPr>
          <w:p>
            <w:pPr>
              <w:pStyle w:val="26"/>
              <w:rPr>
                <w:kern w:val="2"/>
                <w:szCs w:val="21"/>
                <w:lang w:val="en-US" w:eastAsia="zh-CN"/>
              </w:rPr>
            </w:pPr>
          </w:p>
        </w:tc>
        <w:tc>
          <w:tcPr>
            <w:tcW w:w="2149" w:type="dxa"/>
            <w:vAlign w:val="center"/>
          </w:tcPr>
          <w:p>
            <w:pPr>
              <w:pStyle w:val="26"/>
              <w:rPr>
                <w:kern w:val="2"/>
                <w:szCs w:val="21"/>
                <w:lang w:val="en-US" w:eastAsia="zh-CN"/>
              </w:rPr>
            </w:pPr>
            <w:r>
              <w:rPr>
                <w:rFonts w:hint="eastAsia"/>
                <w:kern w:val="2"/>
                <w:szCs w:val="21"/>
                <w:lang w:val="en-US" w:eastAsia="zh-CN"/>
              </w:rPr>
              <w:t>废危化品内包装材料</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vAlign w:val="center"/>
          </w:tcPr>
          <w:p>
            <w:pPr>
              <w:pStyle w:val="26"/>
              <w:rPr>
                <w:kern w:val="2"/>
                <w:szCs w:val="21"/>
                <w:lang w:val="en-US" w:eastAsia="zh-CN"/>
              </w:rPr>
            </w:pPr>
            <w:r>
              <w:rPr>
                <w:rFonts w:hint="eastAsia"/>
                <w:kern w:val="2"/>
                <w:szCs w:val="21"/>
                <w:lang w:val="en-US" w:eastAsia="zh-CN"/>
              </w:rPr>
              <w:t>不合格产品</w:t>
            </w:r>
          </w:p>
        </w:tc>
        <w:tc>
          <w:tcPr>
            <w:tcW w:w="1164" w:type="dxa"/>
          </w:tcPr>
          <w:p>
            <w:pPr>
              <w:pStyle w:val="26"/>
              <w:rPr>
                <w:kern w:val="2"/>
                <w:szCs w:val="21"/>
                <w:lang w:val="en-US" w:eastAsia="zh-CN"/>
              </w:rPr>
            </w:pPr>
          </w:p>
        </w:tc>
        <w:tc>
          <w:tcPr>
            <w:tcW w:w="1165" w:type="dxa"/>
          </w:tcPr>
          <w:p>
            <w:pPr>
              <w:pStyle w:val="26"/>
              <w:rPr>
                <w:kern w:val="2"/>
                <w:szCs w:val="21"/>
                <w:lang w:val="en-US" w:eastAsia="zh-CN"/>
              </w:rPr>
            </w:pPr>
            <w:r>
              <w:rPr>
                <w:kern w:val="2"/>
                <w:szCs w:val="21"/>
                <w:lang w:val="en-US" w:eastAsia="zh-CN"/>
              </w:rPr>
              <w:t>▲</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vAlign w:val="center"/>
          </w:tcPr>
          <w:p>
            <w:pPr>
              <w:pStyle w:val="26"/>
              <w:rPr>
                <w:kern w:val="2"/>
                <w:szCs w:val="21"/>
                <w:lang w:val="en-US" w:eastAsia="zh-CN"/>
              </w:rPr>
            </w:pPr>
            <w:r>
              <w:rPr>
                <w:rFonts w:hint="eastAsia"/>
                <w:kern w:val="2"/>
                <w:szCs w:val="21"/>
                <w:lang w:val="en-US" w:eastAsia="zh-CN"/>
              </w:rPr>
              <w:t>生活垃圾</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r>
              <w:rPr>
                <w:kern w:val="2"/>
                <w:szCs w:val="21"/>
                <w:lang w:val="en-US" w:eastAsia="zh-CN"/>
              </w:rPr>
              <w:t>▲</w:t>
            </w: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717" w:type="dxa"/>
            <w:vMerge w:val="continue"/>
          </w:tcPr>
          <w:p>
            <w:pPr>
              <w:pStyle w:val="26"/>
              <w:rPr>
                <w:kern w:val="2"/>
                <w:szCs w:val="21"/>
                <w:lang w:val="en-US" w:eastAsia="zh-CN"/>
              </w:rPr>
            </w:pPr>
          </w:p>
        </w:tc>
        <w:tc>
          <w:tcPr>
            <w:tcW w:w="2149" w:type="dxa"/>
            <w:vAlign w:val="center"/>
          </w:tcPr>
          <w:p>
            <w:pPr>
              <w:pStyle w:val="26"/>
              <w:rPr>
                <w:kern w:val="2"/>
                <w:szCs w:val="21"/>
                <w:lang w:val="en-US" w:eastAsia="zh-CN"/>
              </w:rPr>
            </w:pPr>
            <w:r>
              <w:rPr>
                <w:rFonts w:hint="eastAsia"/>
                <w:kern w:val="2"/>
                <w:szCs w:val="21"/>
                <w:lang w:val="en-US" w:eastAsia="zh-CN"/>
              </w:rPr>
              <w:t>污泥</w:t>
            </w: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5" w:type="dxa"/>
          </w:tcPr>
          <w:p>
            <w:pPr>
              <w:pStyle w:val="26"/>
              <w:rPr>
                <w:kern w:val="2"/>
                <w:szCs w:val="21"/>
                <w:lang w:val="en-US" w:eastAsia="zh-CN"/>
              </w:rPr>
            </w:pPr>
          </w:p>
        </w:tc>
        <w:tc>
          <w:tcPr>
            <w:tcW w:w="1164" w:type="dxa"/>
          </w:tcPr>
          <w:p>
            <w:pPr>
              <w:pStyle w:val="26"/>
              <w:rPr>
                <w:kern w:val="2"/>
                <w:szCs w:val="21"/>
                <w:lang w:val="en-US" w:eastAsia="zh-CN"/>
              </w:rPr>
            </w:pPr>
          </w:p>
        </w:tc>
        <w:tc>
          <w:tcPr>
            <w:tcW w:w="1166" w:type="dxa"/>
          </w:tcPr>
          <w:p>
            <w:pPr>
              <w:pStyle w:val="26"/>
              <w:rPr>
                <w:kern w:val="2"/>
                <w:szCs w:val="21"/>
                <w:lang w:val="en-US" w:eastAsia="zh-CN"/>
              </w:rPr>
            </w:pPr>
            <w:r>
              <w:rPr>
                <w:kern w:val="2"/>
                <w:szCs w:val="21"/>
                <w:lang w:val="en-US" w:eastAsia="zh-CN"/>
              </w:rPr>
              <w:t>▲</w:t>
            </w:r>
          </w:p>
        </w:tc>
      </w:tr>
    </w:tbl>
    <w:p>
      <w:pPr>
        <w:pStyle w:val="4"/>
      </w:pPr>
      <w:r>
        <w:rPr>
          <w:rFonts w:hint="eastAsia"/>
        </w:rPr>
        <w:t>评价因子筛选</w:t>
      </w:r>
    </w:p>
    <w:p>
      <w:pPr>
        <w:ind w:firstLine="480"/>
      </w:pPr>
      <w:r>
        <w:rPr>
          <w:rFonts w:hint="eastAsia"/>
        </w:rPr>
        <w:t>（</w:t>
      </w:r>
      <w:r>
        <w:t>1</w:t>
      </w:r>
      <w:r>
        <w:rPr>
          <w:rFonts w:hint="eastAsia"/>
        </w:rPr>
        <w:t>）地表水评价因子</w:t>
      </w:r>
    </w:p>
    <w:p>
      <w:pPr>
        <w:ind w:firstLine="480"/>
      </w:pPr>
      <w:r>
        <w:rPr>
          <w:rFonts w:hint="eastAsia"/>
        </w:rPr>
        <w:t>现状评价因子：</w:t>
      </w:r>
      <w:r>
        <w:t>pH</w:t>
      </w:r>
      <w:r>
        <w:rPr>
          <w:rFonts w:hint="eastAsia"/>
        </w:rPr>
        <w:t>、氨氮、总磷、高锰酸盐指数、六价铬</w:t>
      </w:r>
      <w:r>
        <w:rPr>
          <w:rFonts w:hint="eastAsia"/>
          <w:lang w:eastAsia="zh-CN"/>
        </w:rPr>
        <w:t>、硫化物</w:t>
      </w:r>
    </w:p>
    <w:p>
      <w:pPr>
        <w:ind w:firstLine="480"/>
      </w:pPr>
      <w:r>
        <w:rPr>
          <w:rFonts w:hint="eastAsia"/>
        </w:rPr>
        <w:t>污染控制因子：</w:t>
      </w:r>
      <w:r>
        <w:t>CODcr</w:t>
      </w:r>
      <w:r>
        <w:rPr>
          <w:rFonts w:hint="eastAsia"/>
        </w:rPr>
        <w:t>、氨氮、色度</w:t>
      </w:r>
    </w:p>
    <w:p>
      <w:pPr>
        <w:ind w:firstLine="480"/>
      </w:pPr>
      <w:r>
        <w:rPr>
          <w:rFonts w:hint="eastAsia"/>
        </w:rPr>
        <w:t>（</w:t>
      </w:r>
      <w:r>
        <w:t>2</w:t>
      </w:r>
      <w:r>
        <w:rPr>
          <w:rFonts w:hint="eastAsia"/>
        </w:rPr>
        <w:t>）地下水评价因子</w:t>
      </w:r>
    </w:p>
    <w:p>
      <w:pPr>
        <w:ind w:firstLine="480"/>
      </w:pPr>
      <w:r>
        <w:rPr>
          <w:rFonts w:hint="eastAsia"/>
        </w:rPr>
        <w:t>水质监测因子：</w:t>
      </w:r>
      <w:r>
        <w:t>pH</w:t>
      </w:r>
      <w:r>
        <w:rPr>
          <w:rFonts w:hint="eastAsia"/>
        </w:rPr>
        <w:t>、氨氮、挥发性酚类、总硬度、高锰酸盐指数、六价铬。</w:t>
      </w:r>
    </w:p>
    <w:p>
      <w:pPr>
        <w:ind w:firstLine="480"/>
      </w:pPr>
      <w:r>
        <w:rPr>
          <w:rFonts w:hint="eastAsia"/>
        </w:rPr>
        <w:t>（</w:t>
      </w:r>
      <w:r>
        <w:t>3</w:t>
      </w:r>
      <w:r>
        <w:rPr>
          <w:rFonts w:hint="eastAsia"/>
        </w:rPr>
        <w:t>）大气环境评价因子</w:t>
      </w:r>
    </w:p>
    <w:p>
      <w:pPr>
        <w:ind w:firstLine="480"/>
      </w:pPr>
      <w:r>
        <w:rPr>
          <w:rFonts w:hint="eastAsia"/>
        </w:rPr>
        <w:t>环境现状评价因子：</w:t>
      </w:r>
      <w:r>
        <w:t>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t>VOCs</w:t>
      </w:r>
      <w:r>
        <w:rPr>
          <w:rFonts w:hint="eastAsia"/>
        </w:rPr>
        <w:t>、</w:t>
      </w:r>
      <w:r>
        <w:t>NH</w:t>
      </w:r>
      <w:r>
        <w:rPr>
          <w:vertAlign w:val="subscript"/>
        </w:rPr>
        <w:t>3</w:t>
      </w:r>
      <w:r>
        <w:rPr>
          <w:rFonts w:hint="eastAsia"/>
        </w:rPr>
        <w:t>、</w:t>
      </w:r>
      <w:r>
        <w:t>H</w:t>
      </w:r>
      <w:r>
        <w:rPr>
          <w:vertAlign w:val="subscript"/>
        </w:rPr>
        <w:t>2</w:t>
      </w:r>
      <w:r>
        <w:t>S</w:t>
      </w:r>
    </w:p>
    <w:p>
      <w:pPr>
        <w:ind w:firstLine="480"/>
      </w:pPr>
      <w:r>
        <w:rPr>
          <w:rFonts w:hint="eastAsia"/>
        </w:rPr>
        <w:t>影响评价因子：颗粒物、</w:t>
      </w:r>
      <w:r>
        <w:t>VOCs</w:t>
      </w:r>
      <w:r>
        <w:rPr>
          <w:rFonts w:hint="eastAsia"/>
        </w:rPr>
        <w:t>、醋酸</w:t>
      </w:r>
    </w:p>
    <w:p>
      <w:pPr>
        <w:ind w:firstLine="480"/>
      </w:pPr>
      <w:r>
        <w:rPr>
          <w:rFonts w:hint="eastAsia"/>
        </w:rPr>
        <w:t>（</w:t>
      </w:r>
      <w:r>
        <w:t>4</w:t>
      </w:r>
      <w:r>
        <w:rPr>
          <w:rFonts w:hint="eastAsia"/>
        </w:rPr>
        <w:t>）噪声评价因子</w:t>
      </w:r>
    </w:p>
    <w:p>
      <w:pPr>
        <w:ind w:firstLine="480"/>
      </w:pPr>
      <w:r>
        <w:rPr>
          <w:rFonts w:hint="eastAsia"/>
        </w:rPr>
        <w:t>现状评价因子：等效</w:t>
      </w:r>
      <w:r>
        <w:t>A</w:t>
      </w:r>
      <w:r>
        <w:rPr>
          <w:rFonts w:hint="eastAsia"/>
        </w:rPr>
        <w:t>声级</w:t>
      </w:r>
    </w:p>
    <w:p>
      <w:pPr>
        <w:ind w:firstLine="480"/>
      </w:pPr>
      <w:r>
        <w:rPr>
          <w:rFonts w:hint="eastAsia"/>
        </w:rPr>
        <w:t>影响评价因子：等效</w:t>
      </w:r>
      <w:r>
        <w:t>A</w:t>
      </w:r>
      <w:r>
        <w:rPr>
          <w:rFonts w:hint="eastAsia"/>
        </w:rPr>
        <w:t>声级</w:t>
      </w:r>
    </w:p>
    <w:p>
      <w:pPr>
        <w:pStyle w:val="3"/>
      </w:pPr>
      <w:bookmarkStart w:id="16" w:name="_Toc822"/>
      <w:r>
        <w:rPr>
          <w:rFonts w:hint="eastAsia"/>
        </w:rPr>
        <w:t>相关规划及环境功能区划</w:t>
      </w:r>
      <w:bookmarkEnd w:id="16"/>
    </w:p>
    <w:p>
      <w:pPr>
        <w:pStyle w:val="4"/>
      </w:pPr>
      <w:r>
        <w:rPr>
          <w:rFonts w:hint="eastAsia"/>
        </w:rPr>
        <w:t>水环境功能区划</w:t>
      </w:r>
    </w:p>
    <w:p>
      <w:pPr>
        <w:ind w:firstLine="480"/>
      </w:pPr>
      <w:r>
        <w:rPr>
          <w:rFonts w:hint="eastAsia"/>
        </w:rPr>
        <w:t>本项目废水经厂区污水处理站处理后排入营田镇污水处理厂进一步处理，最终排入湘江。根据《湖南省地方标准湖南省主要水系地表水环境功能区划》的划分：湘江洋沙湖下游</w:t>
      </w:r>
      <w:r>
        <w:t>200</w:t>
      </w:r>
      <w:r>
        <w:rPr>
          <w:rFonts w:hint="eastAsia"/>
        </w:rPr>
        <w:t>米至磊石（东支</w:t>
      </w:r>
      <w:r>
        <w:t>)</w:t>
      </w:r>
      <w:r>
        <w:rPr>
          <w:rFonts w:hint="eastAsia"/>
        </w:rPr>
        <w:t>河段功能区为渔业用水区，执行《地表水环境质量标准》（</w:t>
      </w:r>
      <w:r>
        <w:t>GB3838-2002</w:t>
      </w:r>
      <w:r>
        <w:rPr>
          <w:rFonts w:hint="eastAsia"/>
        </w:rPr>
        <w:t>）中</w:t>
      </w:r>
      <w:r>
        <w:t>III</w:t>
      </w:r>
      <w:r>
        <w:rPr>
          <w:rFonts w:hint="eastAsia"/>
        </w:rPr>
        <w:t>类水质标准。</w:t>
      </w:r>
    </w:p>
    <w:p>
      <w:pPr>
        <w:pStyle w:val="4"/>
      </w:pPr>
      <w:r>
        <w:rPr>
          <w:rFonts w:hint="eastAsia"/>
        </w:rPr>
        <w:t>大气环境功能区划</w:t>
      </w:r>
    </w:p>
    <w:p>
      <w:pPr>
        <w:ind w:firstLine="480"/>
      </w:pPr>
      <w:r>
        <w:rPr>
          <w:rFonts w:hint="eastAsia"/>
        </w:rPr>
        <w:t>项目所在地为屈原管理区营田镇，根据《环境空气质量标准》（</w:t>
      </w:r>
      <w:r>
        <w:t>GB3095-2012</w:t>
      </w:r>
      <w:r>
        <w:rPr>
          <w:rFonts w:hint="eastAsia"/>
        </w:rPr>
        <w:t>）中环境空气质量功能区分类，属于二类区，执行《环境空气质量标准》（</w:t>
      </w:r>
      <w:r>
        <w:t>GB3095-2012</w:t>
      </w:r>
      <w:r>
        <w:rPr>
          <w:rFonts w:hint="eastAsia"/>
        </w:rPr>
        <w:t>）中的二级标准。</w:t>
      </w:r>
    </w:p>
    <w:p>
      <w:pPr>
        <w:pStyle w:val="4"/>
      </w:pPr>
      <w:r>
        <w:rPr>
          <w:rFonts w:hint="eastAsia"/>
        </w:rPr>
        <w:t>声环境功能区划</w:t>
      </w:r>
    </w:p>
    <w:p>
      <w:pPr>
        <w:ind w:firstLine="480"/>
      </w:pPr>
      <w:r>
        <w:rPr>
          <w:rFonts w:hint="eastAsia"/>
        </w:rPr>
        <w:t>本项目所在地为原汨纺生产区域，该区域主要以商业、工业、居民混杂为主，根据《声环境质量标准》（</w:t>
      </w:r>
      <w:r>
        <w:t>GB3096-2008</w:t>
      </w:r>
      <w:r>
        <w:rPr>
          <w:rFonts w:hint="eastAsia"/>
        </w:rPr>
        <w:t>）声功能区分类，本区域属</w:t>
      </w:r>
      <w:r>
        <w:t>2</w:t>
      </w:r>
      <w:r>
        <w:rPr>
          <w:rFonts w:hint="eastAsia"/>
        </w:rPr>
        <w:t>类区，执行《声环境质量标准》（</w:t>
      </w:r>
      <w:r>
        <w:t>GB3096-2008</w:t>
      </w:r>
      <w:r>
        <w:rPr>
          <w:rFonts w:hint="eastAsia"/>
        </w:rPr>
        <w:t>）中</w:t>
      </w:r>
      <w:r>
        <w:t>2</w:t>
      </w:r>
      <w:r>
        <w:rPr>
          <w:rFonts w:hint="eastAsia"/>
        </w:rPr>
        <w:t>类环境噪声限值。</w:t>
      </w:r>
    </w:p>
    <w:p>
      <w:pPr>
        <w:pStyle w:val="3"/>
      </w:pPr>
      <w:bookmarkStart w:id="17" w:name="_Toc11459"/>
      <w:r>
        <w:rPr>
          <w:rFonts w:hint="eastAsia"/>
        </w:rPr>
        <w:t>环境保护目标</w:t>
      </w:r>
      <w:bookmarkEnd w:id="17"/>
    </w:p>
    <w:p>
      <w:pPr>
        <w:ind w:firstLine="480"/>
      </w:pPr>
      <w:r>
        <w:t>(1)</w:t>
      </w:r>
      <w:r>
        <w:rPr>
          <w:rFonts w:hint="eastAsia"/>
        </w:rPr>
        <w:t>环境空气保护目标</w:t>
      </w:r>
    </w:p>
    <w:p>
      <w:pPr>
        <w:ind w:firstLine="480"/>
      </w:pPr>
      <w:r>
        <w:rPr>
          <w:rFonts w:hint="eastAsia"/>
        </w:rPr>
        <w:t>环境空气保护目标主要为评价范围内的居住区等环境敏感点详见表</w:t>
      </w:r>
      <w:r>
        <w:t>2.7-1</w:t>
      </w:r>
      <w:r>
        <w:rPr>
          <w:rFonts w:hint="eastAsia"/>
        </w:rPr>
        <w:t>。其空气质量应达到《环境空气质量标准》（</w:t>
      </w:r>
      <w:r>
        <w:t>GB3095-2012</w:t>
      </w:r>
      <w:r>
        <w:rPr>
          <w:rFonts w:hint="eastAsia"/>
        </w:rPr>
        <w:t>）中的二级标准值。</w:t>
      </w:r>
    </w:p>
    <w:p>
      <w:pPr>
        <w:ind w:firstLine="480"/>
      </w:pPr>
      <w:r>
        <w:t>(2)</w:t>
      </w:r>
      <w:r>
        <w:rPr>
          <w:rFonts w:hint="eastAsia"/>
        </w:rPr>
        <w:t>水环境保护目标</w:t>
      </w:r>
    </w:p>
    <w:p>
      <w:pPr>
        <w:ind w:firstLine="480"/>
      </w:pPr>
      <w:r>
        <w:rPr>
          <w:rFonts w:hint="eastAsia"/>
        </w:rPr>
        <w:t>企业所在地附近河流水环境满足《地表水环境质量标准》（</w:t>
      </w:r>
      <w:r>
        <w:t>GB3838-2002</w:t>
      </w:r>
      <w:r>
        <w:rPr>
          <w:rFonts w:hint="eastAsia"/>
        </w:rPr>
        <w:t>）Ⅲ类水标准。</w:t>
      </w:r>
    </w:p>
    <w:p>
      <w:pPr>
        <w:ind w:firstLine="480"/>
      </w:pPr>
      <w:r>
        <w:t>(3)</w:t>
      </w:r>
      <w:r>
        <w:rPr>
          <w:rFonts w:hint="eastAsia"/>
        </w:rPr>
        <w:t>声环境保护目标</w:t>
      </w:r>
    </w:p>
    <w:p>
      <w:pPr>
        <w:ind w:firstLine="480"/>
      </w:pPr>
      <w:r>
        <w:rPr>
          <w:rFonts w:hint="eastAsia"/>
        </w:rPr>
        <w:t>企业厂界声环境质量达到《声环境质量标准》（</w:t>
      </w:r>
      <w:r>
        <w:t>GB3096-2008</w:t>
      </w:r>
      <w:r>
        <w:rPr>
          <w:rFonts w:hint="eastAsia"/>
        </w:rPr>
        <w:t>）中</w:t>
      </w:r>
      <w:r>
        <w:t>3</w:t>
      </w:r>
      <w:r>
        <w:rPr>
          <w:rFonts w:hint="eastAsia"/>
        </w:rPr>
        <w:t>类声环境功能区标准，保护目标声环境达到</w:t>
      </w:r>
      <w:r>
        <w:t>2</w:t>
      </w:r>
      <w:r>
        <w:rPr>
          <w:rFonts w:hint="eastAsia"/>
        </w:rPr>
        <w:t>类声环境功能区标准。</w:t>
      </w:r>
    </w:p>
    <w:p>
      <w:pPr>
        <w:ind w:firstLine="480"/>
      </w:pPr>
      <w:r>
        <w:rPr>
          <w:rFonts w:hint="eastAsia"/>
        </w:rPr>
        <w:t>（4）生态环境保护目标</w:t>
      </w:r>
    </w:p>
    <w:p>
      <w:pPr>
        <w:ind w:firstLine="480"/>
      </w:pPr>
      <w:r>
        <w:rPr>
          <w:rFonts w:hint="eastAsia"/>
          <w:u w:val="single"/>
        </w:rPr>
        <w:t>根据《湖南东洞庭湖国家级自然保护区功能区划与野生动物调查网格图》，湖南东洞庭湖国家级自然保护区地处范围为北纬29~29.6295、东经112.625~113.244，项目地处北纬28°51′07.77″（即28.8522）、东经112°54′12.86″（即112.9036），由此可见，本项目不在湖南东洞庭湖国家级自然保护区范围内。本项目与东洞庭湖国家级自然保护区地理位置</w:t>
      </w:r>
      <w:r>
        <w:rPr>
          <w:rFonts w:hint="eastAsia"/>
          <w:color w:val="auto"/>
          <w:u w:val="single"/>
        </w:rPr>
        <w:t>关系见附图</w:t>
      </w:r>
      <w:r>
        <w:rPr>
          <w:rFonts w:hint="eastAsia"/>
          <w:color w:val="auto"/>
          <w:u w:val="single"/>
          <w:lang w:val="en-US" w:eastAsia="zh-CN"/>
        </w:rPr>
        <w:t>6</w:t>
      </w:r>
      <w:r>
        <w:rPr>
          <w:rFonts w:hint="eastAsia"/>
          <w:u w:val="single"/>
        </w:rPr>
        <w:t>。</w:t>
      </w:r>
    </w:p>
    <w:p>
      <w:pPr>
        <w:pStyle w:val="25"/>
        <w:rPr>
          <w:b/>
          <w:bCs/>
          <w:u w:val="single"/>
        </w:rPr>
      </w:pPr>
      <w:r>
        <w:rPr>
          <w:rFonts w:hint="eastAsia"/>
          <w:b/>
          <w:bCs/>
          <w:u w:val="single"/>
        </w:rPr>
        <w:t>表</w:t>
      </w:r>
      <w:r>
        <w:rPr>
          <w:b/>
          <w:bCs/>
          <w:u w:val="single"/>
        </w:rPr>
        <w:t xml:space="preserve">2.7-1   </w:t>
      </w:r>
      <w:r>
        <w:rPr>
          <w:rFonts w:hint="eastAsia"/>
          <w:b/>
          <w:bCs/>
          <w:u w:val="single"/>
        </w:rPr>
        <w:t>项目周围主要环境保护目标</w:t>
      </w:r>
    </w:p>
    <w:tbl>
      <w:tblPr>
        <w:tblStyle w:val="23"/>
        <w:tblW w:w="9005"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079"/>
        <w:gridCol w:w="1532"/>
        <w:gridCol w:w="720"/>
        <w:gridCol w:w="1215"/>
        <w:gridCol w:w="1645"/>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7" w:type="dxa"/>
            <w:vAlign w:val="center"/>
          </w:tcPr>
          <w:p>
            <w:pPr>
              <w:pStyle w:val="25"/>
              <w:rPr>
                <w:kern w:val="2"/>
                <w:szCs w:val="21"/>
                <w:u w:val="single"/>
                <w:lang w:val="en-US" w:eastAsia="zh-CN"/>
              </w:rPr>
            </w:pPr>
            <w:r>
              <w:rPr>
                <w:rFonts w:hint="eastAsia"/>
                <w:kern w:val="2"/>
                <w:szCs w:val="21"/>
                <w:u w:val="single"/>
                <w:lang w:val="en-US" w:eastAsia="zh-CN"/>
              </w:rPr>
              <w:t>类别</w:t>
            </w:r>
          </w:p>
        </w:tc>
        <w:tc>
          <w:tcPr>
            <w:tcW w:w="1079" w:type="dxa"/>
            <w:vAlign w:val="center"/>
          </w:tcPr>
          <w:p>
            <w:pPr>
              <w:pStyle w:val="25"/>
              <w:rPr>
                <w:kern w:val="2"/>
                <w:szCs w:val="21"/>
                <w:u w:val="single"/>
                <w:lang w:val="en-US" w:eastAsia="zh-CN"/>
              </w:rPr>
            </w:pPr>
            <w:r>
              <w:rPr>
                <w:rFonts w:hint="eastAsia"/>
                <w:kern w:val="2"/>
                <w:szCs w:val="21"/>
                <w:u w:val="single"/>
                <w:lang w:val="en-US" w:eastAsia="zh-CN"/>
              </w:rPr>
              <w:t>保护目标</w:t>
            </w:r>
          </w:p>
        </w:tc>
        <w:tc>
          <w:tcPr>
            <w:tcW w:w="1532" w:type="dxa"/>
            <w:vAlign w:val="center"/>
          </w:tcPr>
          <w:p>
            <w:pPr>
              <w:pStyle w:val="25"/>
              <w:rPr>
                <w:kern w:val="2"/>
                <w:szCs w:val="21"/>
                <w:u w:val="single"/>
                <w:lang w:val="en-US" w:eastAsia="zh-CN"/>
              </w:rPr>
            </w:pPr>
            <w:r>
              <w:rPr>
                <w:rFonts w:hint="eastAsia"/>
                <w:kern w:val="2"/>
                <w:szCs w:val="21"/>
                <w:u w:val="single"/>
                <w:lang w:val="en-US" w:eastAsia="zh-CN"/>
              </w:rPr>
              <w:t>户数</w:t>
            </w:r>
            <w:r>
              <w:rPr>
                <w:kern w:val="2"/>
                <w:szCs w:val="21"/>
                <w:u w:val="single"/>
                <w:lang w:val="en-US" w:eastAsia="zh-CN"/>
              </w:rPr>
              <w:t>/</w:t>
            </w:r>
            <w:r>
              <w:rPr>
                <w:rFonts w:hint="eastAsia"/>
                <w:kern w:val="2"/>
                <w:szCs w:val="21"/>
                <w:u w:val="single"/>
                <w:lang w:val="en-US" w:eastAsia="zh-CN"/>
              </w:rPr>
              <w:t>人口</w:t>
            </w:r>
          </w:p>
        </w:tc>
        <w:tc>
          <w:tcPr>
            <w:tcW w:w="720" w:type="dxa"/>
            <w:vAlign w:val="center"/>
          </w:tcPr>
          <w:p>
            <w:pPr>
              <w:pStyle w:val="25"/>
              <w:rPr>
                <w:kern w:val="2"/>
                <w:szCs w:val="21"/>
                <w:u w:val="single"/>
                <w:lang w:val="en-US" w:eastAsia="zh-CN"/>
              </w:rPr>
            </w:pPr>
            <w:r>
              <w:rPr>
                <w:rFonts w:hint="eastAsia"/>
                <w:kern w:val="2"/>
                <w:szCs w:val="21"/>
                <w:u w:val="single"/>
                <w:lang w:val="en-US" w:eastAsia="zh-CN"/>
              </w:rPr>
              <w:t>方位</w:t>
            </w:r>
          </w:p>
        </w:tc>
        <w:tc>
          <w:tcPr>
            <w:tcW w:w="1215" w:type="dxa"/>
            <w:vAlign w:val="center"/>
          </w:tcPr>
          <w:p>
            <w:pPr>
              <w:pStyle w:val="25"/>
              <w:rPr>
                <w:kern w:val="2"/>
                <w:szCs w:val="21"/>
                <w:u w:val="single"/>
                <w:lang w:val="en-US" w:eastAsia="zh-CN"/>
              </w:rPr>
            </w:pPr>
            <w:r>
              <w:rPr>
                <w:rFonts w:hint="eastAsia"/>
                <w:kern w:val="2"/>
                <w:szCs w:val="21"/>
                <w:u w:val="single"/>
                <w:lang w:val="en-US" w:eastAsia="zh-CN"/>
              </w:rPr>
              <w:t>距厂界最近距离（</w:t>
            </w:r>
            <w:r>
              <w:rPr>
                <w:kern w:val="2"/>
                <w:szCs w:val="21"/>
                <w:u w:val="single"/>
                <w:lang w:val="en-US" w:eastAsia="zh-CN"/>
              </w:rPr>
              <w:t>m)</w:t>
            </w:r>
          </w:p>
        </w:tc>
        <w:tc>
          <w:tcPr>
            <w:tcW w:w="1645" w:type="dxa"/>
            <w:vAlign w:val="center"/>
          </w:tcPr>
          <w:p>
            <w:pPr>
              <w:pStyle w:val="25"/>
              <w:rPr>
                <w:kern w:val="2"/>
                <w:szCs w:val="21"/>
                <w:u w:val="single"/>
                <w:lang w:val="en-US" w:eastAsia="zh-CN"/>
              </w:rPr>
            </w:pPr>
            <w:r>
              <w:rPr>
                <w:rFonts w:hint="eastAsia"/>
                <w:kern w:val="2"/>
                <w:szCs w:val="21"/>
                <w:u w:val="single"/>
                <w:lang w:val="en-US" w:eastAsia="zh-CN"/>
              </w:rPr>
              <w:t>距离印染车间最近距离（m）</w:t>
            </w:r>
          </w:p>
        </w:tc>
        <w:tc>
          <w:tcPr>
            <w:tcW w:w="2167" w:type="dxa"/>
            <w:vAlign w:val="center"/>
          </w:tcPr>
          <w:p>
            <w:pPr>
              <w:pStyle w:val="25"/>
              <w:rPr>
                <w:kern w:val="2"/>
                <w:szCs w:val="21"/>
                <w:u w:val="single"/>
                <w:lang w:val="en-US" w:eastAsia="zh-CN"/>
              </w:rPr>
            </w:pPr>
            <w:r>
              <w:rPr>
                <w:rFonts w:hint="eastAsia"/>
                <w:kern w:val="2"/>
                <w:szCs w:val="21"/>
                <w:u w:val="single"/>
                <w:lang w:val="en-US" w:eastAsia="zh-CN"/>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7" w:type="dxa"/>
            <w:vMerge w:val="restart"/>
            <w:vAlign w:val="center"/>
          </w:tcPr>
          <w:p>
            <w:pPr>
              <w:pStyle w:val="25"/>
              <w:rPr>
                <w:kern w:val="2"/>
                <w:szCs w:val="21"/>
                <w:u w:val="single"/>
                <w:lang w:val="en-US" w:eastAsia="zh-CN"/>
              </w:rPr>
            </w:pPr>
            <w:r>
              <w:rPr>
                <w:rFonts w:hint="eastAsia"/>
                <w:kern w:val="2"/>
                <w:szCs w:val="21"/>
                <w:u w:val="single"/>
                <w:lang w:val="en-US" w:eastAsia="zh-CN"/>
              </w:rPr>
              <w:t>环境空气</w:t>
            </w:r>
          </w:p>
        </w:tc>
        <w:tc>
          <w:tcPr>
            <w:tcW w:w="1079" w:type="dxa"/>
            <w:vAlign w:val="center"/>
          </w:tcPr>
          <w:p>
            <w:pPr>
              <w:pStyle w:val="25"/>
              <w:rPr>
                <w:kern w:val="2"/>
                <w:szCs w:val="21"/>
                <w:u w:val="single"/>
                <w:lang w:val="en-US" w:eastAsia="zh-CN"/>
              </w:rPr>
            </w:pPr>
            <w:r>
              <w:rPr>
                <w:rFonts w:hint="eastAsia"/>
                <w:kern w:val="2"/>
                <w:szCs w:val="21"/>
                <w:u w:val="single"/>
                <w:lang w:val="en-US" w:eastAsia="zh-CN"/>
              </w:rPr>
              <w:t>居民点</w:t>
            </w:r>
          </w:p>
        </w:tc>
        <w:tc>
          <w:tcPr>
            <w:tcW w:w="1532" w:type="dxa"/>
            <w:vAlign w:val="center"/>
          </w:tcPr>
          <w:p>
            <w:pPr>
              <w:pStyle w:val="25"/>
              <w:rPr>
                <w:kern w:val="2"/>
                <w:szCs w:val="21"/>
                <w:u w:val="single"/>
                <w:lang w:val="en-US" w:eastAsia="zh-CN"/>
              </w:rPr>
            </w:pPr>
            <w:r>
              <w:rPr>
                <w:kern w:val="2"/>
                <w:szCs w:val="21"/>
                <w:u w:val="single"/>
                <w:lang w:val="en-US" w:eastAsia="zh-CN"/>
              </w:rPr>
              <w:t>680</w:t>
            </w:r>
            <w:r>
              <w:rPr>
                <w:rFonts w:hint="eastAsia"/>
                <w:kern w:val="2"/>
                <w:szCs w:val="21"/>
                <w:u w:val="single"/>
                <w:lang w:val="en-US" w:eastAsia="zh-CN"/>
              </w:rPr>
              <w:t>户</w:t>
            </w:r>
            <w:r>
              <w:rPr>
                <w:kern w:val="2"/>
                <w:szCs w:val="21"/>
                <w:u w:val="single"/>
                <w:lang w:val="en-US" w:eastAsia="zh-CN"/>
              </w:rPr>
              <w:t>/2170</w:t>
            </w:r>
            <w:r>
              <w:rPr>
                <w:rFonts w:hint="eastAsia"/>
                <w:kern w:val="2"/>
                <w:szCs w:val="21"/>
                <w:u w:val="single"/>
                <w:lang w:val="en-US" w:eastAsia="zh-CN"/>
              </w:rPr>
              <w:t>人</w:t>
            </w:r>
          </w:p>
        </w:tc>
        <w:tc>
          <w:tcPr>
            <w:tcW w:w="720" w:type="dxa"/>
            <w:vAlign w:val="center"/>
          </w:tcPr>
          <w:p>
            <w:pPr>
              <w:pStyle w:val="25"/>
              <w:rPr>
                <w:kern w:val="2"/>
                <w:szCs w:val="21"/>
                <w:u w:val="single"/>
                <w:lang w:val="en-US" w:eastAsia="zh-CN"/>
              </w:rPr>
            </w:pPr>
            <w:r>
              <w:rPr>
                <w:kern w:val="2"/>
                <w:szCs w:val="21"/>
                <w:u w:val="single"/>
                <w:lang w:val="en-US" w:eastAsia="zh-CN"/>
              </w:rPr>
              <w:t>SE</w:t>
            </w:r>
          </w:p>
        </w:tc>
        <w:tc>
          <w:tcPr>
            <w:tcW w:w="1215" w:type="dxa"/>
            <w:vAlign w:val="center"/>
          </w:tcPr>
          <w:p>
            <w:pPr>
              <w:pStyle w:val="25"/>
              <w:rPr>
                <w:kern w:val="2"/>
                <w:szCs w:val="21"/>
                <w:u w:val="single"/>
                <w:lang w:val="en-US" w:eastAsia="zh-CN"/>
              </w:rPr>
            </w:pPr>
            <w:r>
              <w:rPr>
                <w:rFonts w:hint="eastAsia"/>
                <w:kern w:val="2"/>
                <w:szCs w:val="21"/>
                <w:u w:val="single"/>
                <w:lang w:val="en-US" w:eastAsia="zh-CN"/>
              </w:rPr>
              <w:t>40</w:t>
            </w:r>
          </w:p>
        </w:tc>
        <w:tc>
          <w:tcPr>
            <w:tcW w:w="1645" w:type="dxa"/>
            <w:vAlign w:val="center"/>
          </w:tcPr>
          <w:p>
            <w:pPr>
              <w:pStyle w:val="25"/>
              <w:rPr>
                <w:kern w:val="2"/>
                <w:szCs w:val="21"/>
                <w:u w:val="single"/>
                <w:lang w:val="en-US" w:eastAsia="zh-CN"/>
              </w:rPr>
            </w:pPr>
            <w:r>
              <w:rPr>
                <w:kern w:val="2"/>
                <w:szCs w:val="21"/>
                <w:u w:val="single"/>
                <w:lang w:val="en-US" w:eastAsia="zh-CN"/>
              </w:rPr>
              <w:t>400</w:t>
            </w:r>
          </w:p>
        </w:tc>
        <w:tc>
          <w:tcPr>
            <w:tcW w:w="2167" w:type="dxa"/>
            <w:vMerge w:val="restart"/>
            <w:vAlign w:val="center"/>
          </w:tcPr>
          <w:p>
            <w:pPr>
              <w:pStyle w:val="25"/>
              <w:rPr>
                <w:kern w:val="2"/>
                <w:szCs w:val="21"/>
                <w:u w:val="single"/>
                <w:lang w:val="en-US" w:eastAsia="zh-CN"/>
              </w:rPr>
            </w:pPr>
            <w:r>
              <w:rPr>
                <w:rFonts w:hint="eastAsia"/>
                <w:kern w:val="2"/>
                <w:szCs w:val="21"/>
                <w:u w:val="single"/>
                <w:lang w:val="en-US" w:eastAsia="zh-CN"/>
              </w:rPr>
              <w:t>环境空气：二级</w:t>
            </w:r>
          </w:p>
          <w:p>
            <w:pPr>
              <w:pStyle w:val="25"/>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7" w:type="dxa"/>
            <w:vMerge w:val="continue"/>
            <w:vAlign w:val="center"/>
          </w:tcPr>
          <w:p>
            <w:pPr>
              <w:pStyle w:val="25"/>
              <w:rPr>
                <w:kern w:val="2"/>
                <w:szCs w:val="21"/>
                <w:u w:val="single"/>
                <w:lang w:val="en-US" w:eastAsia="zh-CN"/>
              </w:rPr>
            </w:pPr>
          </w:p>
        </w:tc>
        <w:tc>
          <w:tcPr>
            <w:tcW w:w="1079" w:type="dxa"/>
            <w:vAlign w:val="center"/>
          </w:tcPr>
          <w:p>
            <w:pPr>
              <w:pStyle w:val="25"/>
              <w:rPr>
                <w:kern w:val="2"/>
                <w:szCs w:val="21"/>
                <w:u w:val="single"/>
                <w:lang w:val="en-US" w:eastAsia="zh-CN"/>
              </w:rPr>
            </w:pPr>
            <w:r>
              <w:rPr>
                <w:rFonts w:hint="eastAsia"/>
                <w:kern w:val="2"/>
                <w:szCs w:val="21"/>
                <w:u w:val="single"/>
                <w:lang w:val="en-US" w:eastAsia="zh-CN"/>
              </w:rPr>
              <w:t>居民点</w:t>
            </w:r>
          </w:p>
        </w:tc>
        <w:tc>
          <w:tcPr>
            <w:tcW w:w="1532" w:type="dxa"/>
            <w:vAlign w:val="center"/>
          </w:tcPr>
          <w:p>
            <w:pPr>
              <w:pStyle w:val="25"/>
              <w:rPr>
                <w:kern w:val="2"/>
                <w:szCs w:val="21"/>
                <w:u w:val="single"/>
                <w:lang w:val="en-US" w:eastAsia="zh-CN"/>
              </w:rPr>
            </w:pPr>
            <w:r>
              <w:rPr>
                <w:kern w:val="2"/>
                <w:szCs w:val="21"/>
                <w:u w:val="single"/>
                <w:lang w:val="en-US" w:eastAsia="zh-CN"/>
              </w:rPr>
              <w:t>400</w:t>
            </w:r>
            <w:r>
              <w:rPr>
                <w:rFonts w:hint="eastAsia"/>
                <w:kern w:val="2"/>
                <w:szCs w:val="21"/>
                <w:u w:val="single"/>
                <w:lang w:val="en-US" w:eastAsia="zh-CN"/>
              </w:rPr>
              <w:t>户</w:t>
            </w:r>
            <w:r>
              <w:rPr>
                <w:kern w:val="2"/>
                <w:szCs w:val="21"/>
                <w:u w:val="single"/>
                <w:lang w:val="en-US" w:eastAsia="zh-CN"/>
              </w:rPr>
              <w:t>/1280</w:t>
            </w:r>
            <w:r>
              <w:rPr>
                <w:rFonts w:hint="eastAsia"/>
                <w:kern w:val="2"/>
                <w:szCs w:val="21"/>
                <w:u w:val="single"/>
                <w:lang w:val="en-US" w:eastAsia="zh-CN"/>
              </w:rPr>
              <w:t>人</w:t>
            </w:r>
          </w:p>
        </w:tc>
        <w:tc>
          <w:tcPr>
            <w:tcW w:w="720" w:type="dxa"/>
            <w:vAlign w:val="center"/>
          </w:tcPr>
          <w:p>
            <w:pPr>
              <w:pStyle w:val="25"/>
              <w:rPr>
                <w:kern w:val="2"/>
                <w:szCs w:val="21"/>
                <w:u w:val="single"/>
                <w:lang w:val="en-US" w:eastAsia="zh-CN"/>
              </w:rPr>
            </w:pPr>
            <w:r>
              <w:rPr>
                <w:kern w:val="2"/>
                <w:szCs w:val="21"/>
                <w:u w:val="single"/>
                <w:lang w:val="en-US" w:eastAsia="zh-CN"/>
              </w:rPr>
              <w:t>S</w:t>
            </w:r>
            <w:r>
              <w:rPr>
                <w:rFonts w:hint="eastAsia"/>
                <w:kern w:val="2"/>
                <w:szCs w:val="21"/>
                <w:u w:val="single"/>
                <w:lang w:val="en-US" w:eastAsia="zh-CN"/>
              </w:rPr>
              <w:t>、</w:t>
            </w:r>
            <w:r>
              <w:rPr>
                <w:kern w:val="2"/>
                <w:szCs w:val="21"/>
                <w:u w:val="single"/>
                <w:lang w:val="en-US" w:eastAsia="zh-CN"/>
              </w:rPr>
              <w:t>ES</w:t>
            </w:r>
          </w:p>
        </w:tc>
        <w:tc>
          <w:tcPr>
            <w:tcW w:w="1215" w:type="dxa"/>
            <w:vAlign w:val="center"/>
          </w:tcPr>
          <w:p>
            <w:pPr>
              <w:pStyle w:val="25"/>
              <w:rPr>
                <w:kern w:val="2"/>
                <w:szCs w:val="21"/>
                <w:u w:val="single"/>
                <w:lang w:val="en-US" w:eastAsia="zh-CN"/>
              </w:rPr>
            </w:pPr>
            <w:r>
              <w:rPr>
                <w:rFonts w:hint="eastAsia"/>
                <w:kern w:val="2"/>
                <w:szCs w:val="21"/>
                <w:u w:val="single"/>
                <w:lang w:val="en-US" w:eastAsia="zh-CN"/>
              </w:rPr>
              <w:t>30</w:t>
            </w:r>
          </w:p>
        </w:tc>
        <w:tc>
          <w:tcPr>
            <w:tcW w:w="1645" w:type="dxa"/>
            <w:vAlign w:val="center"/>
          </w:tcPr>
          <w:p>
            <w:pPr>
              <w:pStyle w:val="25"/>
              <w:rPr>
                <w:kern w:val="2"/>
                <w:szCs w:val="21"/>
                <w:u w:val="single"/>
                <w:lang w:val="en-US" w:eastAsia="zh-CN"/>
              </w:rPr>
            </w:pPr>
            <w:r>
              <w:rPr>
                <w:kern w:val="2"/>
                <w:szCs w:val="21"/>
                <w:u w:val="single"/>
                <w:lang w:val="en-US" w:eastAsia="zh-CN"/>
              </w:rPr>
              <w:t>210</w:t>
            </w:r>
          </w:p>
        </w:tc>
        <w:tc>
          <w:tcPr>
            <w:tcW w:w="2167" w:type="dxa"/>
            <w:vMerge w:val="continue"/>
            <w:vAlign w:val="center"/>
          </w:tcPr>
          <w:p>
            <w:pPr>
              <w:pStyle w:val="25"/>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7" w:type="dxa"/>
            <w:vMerge w:val="continue"/>
            <w:vAlign w:val="center"/>
          </w:tcPr>
          <w:p>
            <w:pPr>
              <w:pStyle w:val="25"/>
              <w:rPr>
                <w:kern w:val="2"/>
                <w:szCs w:val="21"/>
                <w:u w:val="single"/>
                <w:lang w:val="en-US" w:eastAsia="zh-CN"/>
              </w:rPr>
            </w:pPr>
          </w:p>
        </w:tc>
        <w:tc>
          <w:tcPr>
            <w:tcW w:w="1079" w:type="dxa"/>
            <w:vAlign w:val="center"/>
          </w:tcPr>
          <w:p>
            <w:pPr>
              <w:pStyle w:val="25"/>
              <w:rPr>
                <w:kern w:val="2"/>
                <w:szCs w:val="21"/>
                <w:u w:val="single"/>
                <w:lang w:val="en-US" w:eastAsia="zh-CN"/>
              </w:rPr>
            </w:pPr>
            <w:r>
              <w:rPr>
                <w:rFonts w:hint="eastAsia"/>
                <w:kern w:val="2"/>
                <w:szCs w:val="21"/>
                <w:u w:val="single"/>
                <w:lang w:val="en-US" w:eastAsia="zh-CN"/>
              </w:rPr>
              <w:t>居民点</w:t>
            </w:r>
          </w:p>
        </w:tc>
        <w:tc>
          <w:tcPr>
            <w:tcW w:w="1532" w:type="dxa"/>
            <w:vAlign w:val="center"/>
          </w:tcPr>
          <w:p>
            <w:pPr>
              <w:pStyle w:val="25"/>
              <w:rPr>
                <w:kern w:val="2"/>
                <w:szCs w:val="21"/>
                <w:u w:val="single"/>
                <w:lang w:val="en-US" w:eastAsia="zh-CN"/>
              </w:rPr>
            </w:pPr>
            <w:r>
              <w:rPr>
                <w:kern w:val="2"/>
                <w:szCs w:val="21"/>
                <w:u w:val="single"/>
                <w:lang w:val="en-US" w:eastAsia="zh-CN"/>
              </w:rPr>
              <w:t>50</w:t>
            </w:r>
            <w:r>
              <w:rPr>
                <w:rFonts w:hint="eastAsia"/>
                <w:kern w:val="2"/>
                <w:szCs w:val="21"/>
                <w:u w:val="single"/>
                <w:lang w:val="en-US" w:eastAsia="zh-CN"/>
              </w:rPr>
              <w:t>户</w:t>
            </w:r>
            <w:r>
              <w:rPr>
                <w:kern w:val="2"/>
                <w:szCs w:val="21"/>
                <w:u w:val="single"/>
                <w:lang w:val="en-US" w:eastAsia="zh-CN"/>
              </w:rPr>
              <w:t>/160</w:t>
            </w:r>
            <w:r>
              <w:rPr>
                <w:rFonts w:hint="eastAsia"/>
                <w:kern w:val="2"/>
                <w:szCs w:val="21"/>
                <w:u w:val="single"/>
                <w:lang w:val="en-US" w:eastAsia="zh-CN"/>
              </w:rPr>
              <w:t>人</w:t>
            </w:r>
          </w:p>
        </w:tc>
        <w:tc>
          <w:tcPr>
            <w:tcW w:w="720" w:type="dxa"/>
            <w:vAlign w:val="center"/>
          </w:tcPr>
          <w:p>
            <w:pPr>
              <w:pStyle w:val="25"/>
              <w:rPr>
                <w:kern w:val="2"/>
                <w:szCs w:val="21"/>
                <w:u w:val="single"/>
                <w:lang w:val="en-US" w:eastAsia="zh-CN"/>
              </w:rPr>
            </w:pPr>
            <w:r>
              <w:rPr>
                <w:kern w:val="2"/>
                <w:szCs w:val="21"/>
                <w:u w:val="single"/>
                <w:lang w:val="en-US" w:eastAsia="zh-CN"/>
              </w:rPr>
              <w:t>W</w:t>
            </w:r>
          </w:p>
        </w:tc>
        <w:tc>
          <w:tcPr>
            <w:tcW w:w="1215" w:type="dxa"/>
            <w:vAlign w:val="center"/>
          </w:tcPr>
          <w:p>
            <w:pPr>
              <w:pStyle w:val="25"/>
              <w:rPr>
                <w:kern w:val="2"/>
                <w:szCs w:val="21"/>
                <w:u w:val="single"/>
                <w:lang w:val="en-US" w:eastAsia="zh-CN"/>
              </w:rPr>
            </w:pPr>
            <w:r>
              <w:rPr>
                <w:rFonts w:hint="eastAsia"/>
                <w:kern w:val="2"/>
                <w:szCs w:val="21"/>
                <w:u w:val="single"/>
                <w:lang w:val="en-US" w:eastAsia="zh-CN"/>
              </w:rPr>
              <w:t>20</w:t>
            </w:r>
          </w:p>
        </w:tc>
        <w:tc>
          <w:tcPr>
            <w:tcW w:w="1645" w:type="dxa"/>
            <w:vAlign w:val="center"/>
          </w:tcPr>
          <w:p>
            <w:pPr>
              <w:pStyle w:val="25"/>
              <w:rPr>
                <w:kern w:val="2"/>
                <w:szCs w:val="21"/>
                <w:u w:val="single"/>
                <w:lang w:val="en-US" w:eastAsia="zh-CN"/>
              </w:rPr>
            </w:pPr>
            <w:r>
              <w:rPr>
                <w:kern w:val="2"/>
                <w:szCs w:val="21"/>
                <w:u w:val="single"/>
                <w:lang w:val="en-US" w:eastAsia="zh-CN"/>
              </w:rPr>
              <w:t>20</w:t>
            </w:r>
          </w:p>
        </w:tc>
        <w:tc>
          <w:tcPr>
            <w:tcW w:w="2167" w:type="dxa"/>
            <w:vMerge w:val="continue"/>
            <w:vAlign w:val="center"/>
          </w:tcPr>
          <w:p>
            <w:pPr>
              <w:pStyle w:val="25"/>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7" w:type="dxa"/>
            <w:vMerge w:val="continue"/>
            <w:vAlign w:val="center"/>
          </w:tcPr>
          <w:p>
            <w:pPr>
              <w:pStyle w:val="25"/>
              <w:rPr>
                <w:kern w:val="2"/>
                <w:szCs w:val="21"/>
                <w:u w:val="single"/>
                <w:lang w:val="en-US" w:eastAsia="zh-CN"/>
              </w:rPr>
            </w:pPr>
          </w:p>
        </w:tc>
        <w:tc>
          <w:tcPr>
            <w:tcW w:w="1079" w:type="dxa"/>
            <w:vAlign w:val="center"/>
          </w:tcPr>
          <w:p>
            <w:pPr>
              <w:pStyle w:val="25"/>
              <w:rPr>
                <w:kern w:val="2"/>
                <w:szCs w:val="21"/>
                <w:u w:val="single"/>
                <w:lang w:val="en-US" w:eastAsia="zh-CN"/>
              </w:rPr>
            </w:pPr>
            <w:r>
              <w:rPr>
                <w:rFonts w:hint="eastAsia"/>
                <w:kern w:val="2"/>
                <w:szCs w:val="21"/>
                <w:u w:val="single"/>
                <w:lang w:val="en-US" w:eastAsia="zh-CN"/>
              </w:rPr>
              <w:t>居民点</w:t>
            </w:r>
          </w:p>
        </w:tc>
        <w:tc>
          <w:tcPr>
            <w:tcW w:w="1532" w:type="dxa"/>
            <w:vAlign w:val="center"/>
          </w:tcPr>
          <w:p>
            <w:pPr>
              <w:pStyle w:val="25"/>
              <w:rPr>
                <w:kern w:val="2"/>
                <w:szCs w:val="21"/>
                <w:u w:val="single"/>
                <w:lang w:val="en-US" w:eastAsia="zh-CN"/>
              </w:rPr>
            </w:pPr>
            <w:r>
              <w:rPr>
                <w:kern w:val="2"/>
                <w:szCs w:val="21"/>
                <w:u w:val="single"/>
                <w:lang w:val="en-US" w:eastAsia="zh-CN"/>
              </w:rPr>
              <w:t>356</w:t>
            </w:r>
            <w:r>
              <w:rPr>
                <w:rFonts w:hint="eastAsia"/>
                <w:kern w:val="2"/>
                <w:szCs w:val="21"/>
                <w:u w:val="single"/>
                <w:lang w:val="en-US" w:eastAsia="zh-CN"/>
              </w:rPr>
              <w:t>户</w:t>
            </w:r>
            <w:r>
              <w:rPr>
                <w:kern w:val="2"/>
                <w:szCs w:val="21"/>
                <w:u w:val="single"/>
                <w:lang w:val="en-US" w:eastAsia="zh-CN"/>
              </w:rPr>
              <w:t>/1140</w:t>
            </w:r>
            <w:r>
              <w:rPr>
                <w:rFonts w:hint="eastAsia"/>
                <w:kern w:val="2"/>
                <w:szCs w:val="21"/>
                <w:u w:val="single"/>
                <w:lang w:val="en-US" w:eastAsia="zh-CN"/>
              </w:rPr>
              <w:t>人</w:t>
            </w:r>
          </w:p>
        </w:tc>
        <w:tc>
          <w:tcPr>
            <w:tcW w:w="720" w:type="dxa"/>
            <w:vAlign w:val="center"/>
          </w:tcPr>
          <w:p>
            <w:pPr>
              <w:pStyle w:val="25"/>
              <w:rPr>
                <w:kern w:val="2"/>
                <w:szCs w:val="21"/>
                <w:u w:val="single"/>
                <w:lang w:val="en-US" w:eastAsia="zh-CN"/>
              </w:rPr>
            </w:pPr>
            <w:r>
              <w:rPr>
                <w:kern w:val="2"/>
                <w:szCs w:val="21"/>
                <w:u w:val="single"/>
                <w:lang w:val="en-US" w:eastAsia="zh-CN"/>
              </w:rPr>
              <w:t>N</w:t>
            </w:r>
          </w:p>
        </w:tc>
        <w:tc>
          <w:tcPr>
            <w:tcW w:w="1215" w:type="dxa"/>
            <w:vAlign w:val="center"/>
          </w:tcPr>
          <w:p>
            <w:pPr>
              <w:pStyle w:val="25"/>
              <w:rPr>
                <w:kern w:val="2"/>
                <w:szCs w:val="21"/>
                <w:u w:val="single"/>
                <w:lang w:val="en-US" w:eastAsia="zh-CN"/>
              </w:rPr>
            </w:pPr>
            <w:r>
              <w:rPr>
                <w:rFonts w:hint="eastAsia"/>
                <w:kern w:val="2"/>
                <w:szCs w:val="21"/>
                <w:u w:val="single"/>
                <w:lang w:val="en-US" w:eastAsia="zh-CN"/>
              </w:rPr>
              <w:t>20</w:t>
            </w:r>
          </w:p>
        </w:tc>
        <w:tc>
          <w:tcPr>
            <w:tcW w:w="1645" w:type="dxa"/>
            <w:vAlign w:val="center"/>
          </w:tcPr>
          <w:p>
            <w:pPr>
              <w:pStyle w:val="25"/>
              <w:rPr>
                <w:kern w:val="2"/>
                <w:szCs w:val="21"/>
                <w:u w:val="single"/>
                <w:lang w:val="en-US" w:eastAsia="zh-CN"/>
              </w:rPr>
            </w:pPr>
            <w:r>
              <w:rPr>
                <w:kern w:val="2"/>
                <w:szCs w:val="21"/>
                <w:u w:val="single"/>
                <w:lang w:val="en-US" w:eastAsia="zh-CN"/>
              </w:rPr>
              <w:t>140</w:t>
            </w:r>
          </w:p>
        </w:tc>
        <w:tc>
          <w:tcPr>
            <w:tcW w:w="2167" w:type="dxa"/>
            <w:vMerge w:val="continue"/>
            <w:vAlign w:val="center"/>
          </w:tcPr>
          <w:p>
            <w:pPr>
              <w:pStyle w:val="25"/>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7" w:type="dxa"/>
            <w:vAlign w:val="center"/>
          </w:tcPr>
          <w:p>
            <w:pPr>
              <w:pStyle w:val="25"/>
              <w:rPr>
                <w:kern w:val="2"/>
                <w:szCs w:val="21"/>
                <w:u w:val="single"/>
                <w:lang w:val="en-US" w:eastAsia="zh-CN"/>
              </w:rPr>
            </w:pPr>
            <w:r>
              <w:rPr>
                <w:rFonts w:hint="eastAsia"/>
                <w:kern w:val="2"/>
                <w:szCs w:val="21"/>
                <w:u w:val="single"/>
                <w:lang w:val="en-US" w:eastAsia="zh-CN"/>
              </w:rPr>
              <w:t>地表水</w:t>
            </w:r>
          </w:p>
        </w:tc>
        <w:tc>
          <w:tcPr>
            <w:tcW w:w="1079" w:type="dxa"/>
            <w:vAlign w:val="center"/>
          </w:tcPr>
          <w:p>
            <w:pPr>
              <w:pStyle w:val="25"/>
              <w:rPr>
                <w:kern w:val="2"/>
                <w:szCs w:val="21"/>
                <w:u w:val="single"/>
                <w:lang w:val="en-US" w:eastAsia="zh-CN"/>
              </w:rPr>
            </w:pPr>
            <w:r>
              <w:rPr>
                <w:rFonts w:hint="eastAsia"/>
                <w:kern w:val="2"/>
                <w:szCs w:val="21"/>
                <w:u w:val="single"/>
                <w:lang w:val="en-US" w:eastAsia="zh-CN"/>
              </w:rPr>
              <w:t>湘江</w:t>
            </w:r>
          </w:p>
        </w:tc>
        <w:tc>
          <w:tcPr>
            <w:tcW w:w="1532" w:type="dxa"/>
            <w:vAlign w:val="center"/>
          </w:tcPr>
          <w:p>
            <w:pPr>
              <w:pStyle w:val="25"/>
              <w:rPr>
                <w:kern w:val="2"/>
                <w:szCs w:val="21"/>
                <w:u w:val="single"/>
                <w:lang w:val="en-US" w:eastAsia="zh-CN"/>
              </w:rPr>
            </w:pPr>
            <w:r>
              <w:rPr>
                <w:kern w:val="2"/>
                <w:szCs w:val="21"/>
                <w:u w:val="single"/>
                <w:lang w:val="en-US" w:eastAsia="zh-CN"/>
              </w:rPr>
              <w:t>/</w:t>
            </w:r>
          </w:p>
        </w:tc>
        <w:tc>
          <w:tcPr>
            <w:tcW w:w="720" w:type="dxa"/>
            <w:vAlign w:val="center"/>
          </w:tcPr>
          <w:p>
            <w:pPr>
              <w:pStyle w:val="25"/>
              <w:rPr>
                <w:kern w:val="2"/>
                <w:szCs w:val="21"/>
                <w:u w:val="single"/>
                <w:lang w:val="en-US" w:eastAsia="zh-CN"/>
              </w:rPr>
            </w:pPr>
            <w:r>
              <w:rPr>
                <w:kern w:val="2"/>
                <w:szCs w:val="21"/>
                <w:u w:val="single"/>
                <w:lang w:val="en-US" w:eastAsia="zh-CN"/>
              </w:rPr>
              <w:t>W</w:t>
            </w:r>
          </w:p>
        </w:tc>
        <w:tc>
          <w:tcPr>
            <w:tcW w:w="1215" w:type="dxa"/>
            <w:vAlign w:val="center"/>
          </w:tcPr>
          <w:p>
            <w:pPr>
              <w:pStyle w:val="25"/>
              <w:rPr>
                <w:kern w:val="2"/>
                <w:szCs w:val="21"/>
                <w:u w:val="single"/>
                <w:lang w:val="en-US" w:eastAsia="zh-CN"/>
              </w:rPr>
            </w:pPr>
            <w:r>
              <w:rPr>
                <w:kern w:val="2"/>
                <w:szCs w:val="21"/>
                <w:u w:val="single"/>
                <w:lang w:val="en-US" w:eastAsia="zh-CN"/>
              </w:rPr>
              <w:t>250</w:t>
            </w:r>
          </w:p>
        </w:tc>
        <w:tc>
          <w:tcPr>
            <w:tcW w:w="1645" w:type="dxa"/>
            <w:vAlign w:val="center"/>
          </w:tcPr>
          <w:p>
            <w:pPr>
              <w:pStyle w:val="25"/>
              <w:rPr>
                <w:kern w:val="2"/>
                <w:szCs w:val="21"/>
                <w:u w:val="single"/>
                <w:lang w:val="en-US" w:eastAsia="zh-CN"/>
              </w:rPr>
            </w:pPr>
            <w:r>
              <w:rPr>
                <w:kern w:val="2"/>
                <w:szCs w:val="21"/>
                <w:u w:val="single"/>
                <w:lang w:val="en-US" w:eastAsia="zh-CN"/>
              </w:rPr>
              <w:t>250</w:t>
            </w:r>
          </w:p>
        </w:tc>
        <w:tc>
          <w:tcPr>
            <w:tcW w:w="2167" w:type="dxa"/>
            <w:vAlign w:val="center"/>
          </w:tcPr>
          <w:p>
            <w:pPr>
              <w:pStyle w:val="25"/>
              <w:rPr>
                <w:kern w:val="2"/>
                <w:szCs w:val="21"/>
                <w:u w:val="single"/>
                <w:lang w:val="en-US" w:eastAsia="zh-CN"/>
              </w:rPr>
            </w:pPr>
            <w:r>
              <w:rPr>
                <w:rFonts w:hint="eastAsia"/>
                <w:kern w:val="2"/>
                <w:szCs w:val="21"/>
                <w:u w:val="single"/>
                <w:lang w:val="en-US" w:eastAsia="zh-CN"/>
              </w:rPr>
              <w:t>地表水：Ⅲ类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7" w:type="dxa"/>
            <w:vMerge w:val="restart"/>
            <w:vAlign w:val="center"/>
          </w:tcPr>
          <w:p>
            <w:pPr>
              <w:pStyle w:val="25"/>
              <w:rPr>
                <w:kern w:val="2"/>
                <w:szCs w:val="21"/>
                <w:u w:val="single"/>
                <w:lang w:val="en-US" w:eastAsia="zh-CN"/>
              </w:rPr>
            </w:pPr>
            <w:r>
              <w:rPr>
                <w:rFonts w:hint="eastAsia"/>
                <w:kern w:val="2"/>
                <w:szCs w:val="21"/>
                <w:u w:val="single"/>
                <w:lang w:val="en-US" w:eastAsia="zh-CN"/>
              </w:rPr>
              <w:t>声环境</w:t>
            </w:r>
          </w:p>
        </w:tc>
        <w:tc>
          <w:tcPr>
            <w:tcW w:w="1079" w:type="dxa"/>
            <w:vAlign w:val="center"/>
          </w:tcPr>
          <w:p>
            <w:pPr>
              <w:pStyle w:val="25"/>
              <w:rPr>
                <w:kern w:val="2"/>
                <w:szCs w:val="21"/>
                <w:u w:val="single"/>
                <w:lang w:val="en-US" w:eastAsia="zh-CN"/>
              </w:rPr>
            </w:pPr>
            <w:r>
              <w:rPr>
                <w:rFonts w:hint="eastAsia"/>
                <w:kern w:val="2"/>
                <w:szCs w:val="21"/>
                <w:u w:val="single"/>
                <w:lang w:val="en-US" w:eastAsia="zh-CN"/>
              </w:rPr>
              <w:t>居民点</w:t>
            </w:r>
          </w:p>
        </w:tc>
        <w:tc>
          <w:tcPr>
            <w:tcW w:w="1532" w:type="dxa"/>
            <w:vAlign w:val="center"/>
          </w:tcPr>
          <w:p>
            <w:pPr>
              <w:pStyle w:val="25"/>
              <w:rPr>
                <w:kern w:val="2"/>
                <w:szCs w:val="21"/>
                <w:u w:val="single"/>
                <w:lang w:val="en-US" w:eastAsia="zh-CN"/>
              </w:rPr>
            </w:pPr>
            <w:r>
              <w:rPr>
                <w:kern w:val="2"/>
                <w:szCs w:val="21"/>
                <w:u w:val="single"/>
                <w:lang w:val="en-US" w:eastAsia="zh-CN"/>
              </w:rPr>
              <w:t>50</w:t>
            </w:r>
            <w:r>
              <w:rPr>
                <w:rFonts w:hint="eastAsia"/>
                <w:kern w:val="2"/>
                <w:szCs w:val="21"/>
                <w:u w:val="single"/>
                <w:lang w:val="en-US" w:eastAsia="zh-CN"/>
              </w:rPr>
              <w:t>户</w:t>
            </w:r>
            <w:r>
              <w:rPr>
                <w:kern w:val="2"/>
                <w:szCs w:val="21"/>
                <w:u w:val="single"/>
                <w:lang w:val="en-US" w:eastAsia="zh-CN"/>
              </w:rPr>
              <w:t>/160</w:t>
            </w:r>
            <w:r>
              <w:rPr>
                <w:rFonts w:hint="eastAsia"/>
                <w:kern w:val="2"/>
                <w:szCs w:val="21"/>
                <w:u w:val="single"/>
                <w:lang w:val="en-US" w:eastAsia="zh-CN"/>
              </w:rPr>
              <w:t>人</w:t>
            </w:r>
          </w:p>
        </w:tc>
        <w:tc>
          <w:tcPr>
            <w:tcW w:w="720" w:type="dxa"/>
            <w:vAlign w:val="center"/>
          </w:tcPr>
          <w:p>
            <w:pPr>
              <w:pStyle w:val="25"/>
              <w:rPr>
                <w:kern w:val="2"/>
                <w:szCs w:val="21"/>
                <w:u w:val="single"/>
                <w:lang w:val="en-US" w:eastAsia="zh-CN"/>
              </w:rPr>
            </w:pPr>
            <w:r>
              <w:rPr>
                <w:kern w:val="2"/>
                <w:szCs w:val="21"/>
                <w:u w:val="single"/>
                <w:lang w:val="en-US" w:eastAsia="zh-CN"/>
              </w:rPr>
              <w:t>W</w:t>
            </w:r>
          </w:p>
        </w:tc>
        <w:tc>
          <w:tcPr>
            <w:tcW w:w="1215" w:type="dxa"/>
            <w:vAlign w:val="center"/>
          </w:tcPr>
          <w:p>
            <w:pPr>
              <w:pStyle w:val="25"/>
              <w:rPr>
                <w:kern w:val="2"/>
                <w:szCs w:val="21"/>
                <w:u w:val="single"/>
                <w:lang w:val="en-US" w:eastAsia="zh-CN"/>
              </w:rPr>
            </w:pPr>
            <w:r>
              <w:rPr>
                <w:kern w:val="2"/>
                <w:szCs w:val="21"/>
                <w:u w:val="single"/>
                <w:lang w:val="en-US" w:eastAsia="zh-CN"/>
              </w:rPr>
              <w:t>20</w:t>
            </w:r>
          </w:p>
        </w:tc>
        <w:tc>
          <w:tcPr>
            <w:tcW w:w="1645" w:type="dxa"/>
            <w:vAlign w:val="center"/>
          </w:tcPr>
          <w:p>
            <w:pPr>
              <w:pStyle w:val="25"/>
              <w:rPr>
                <w:kern w:val="2"/>
                <w:szCs w:val="21"/>
                <w:u w:val="single"/>
                <w:lang w:val="en-US" w:eastAsia="zh-CN"/>
              </w:rPr>
            </w:pPr>
            <w:r>
              <w:rPr>
                <w:kern w:val="2"/>
                <w:szCs w:val="21"/>
                <w:u w:val="single"/>
                <w:lang w:val="en-US" w:eastAsia="zh-CN"/>
              </w:rPr>
              <w:t>20</w:t>
            </w:r>
          </w:p>
        </w:tc>
        <w:tc>
          <w:tcPr>
            <w:tcW w:w="2167" w:type="dxa"/>
            <w:vMerge w:val="restart"/>
            <w:vAlign w:val="center"/>
          </w:tcPr>
          <w:p>
            <w:pPr>
              <w:pStyle w:val="25"/>
              <w:rPr>
                <w:kern w:val="2"/>
                <w:szCs w:val="21"/>
                <w:u w:val="single"/>
                <w:lang w:val="en-US" w:eastAsia="zh-CN"/>
              </w:rPr>
            </w:pPr>
            <w:r>
              <w:rPr>
                <w:rFonts w:hint="eastAsia"/>
                <w:kern w:val="2"/>
                <w:szCs w:val="21"/>
                <w:u w:val="single"/>
                <w:lang w:val="en-US" w:eastAsia="zh-CN"/>
              </w:rPr>
              <w:t>声环境功能区：</w:t>
            </w:r>
            <w:r>
              <w:rPr>
                <w:kern w:val="2"/>
                <w:szCs w:val="21"/>
                <w:u w:val="single"/>
                <w:lang w:val="en-US" w:eastAsia="zh-CN"/>
              </w:rPr>
              <w:t>2</w:t>
            </w:r>
            <w:r>
              <w:rPr>
                <w:rFonts w:hint="eastAsia"/>
                <w:kern w:val="2"/>
                <w:szCs w:val="21"/>
                <w:u w:val="single"/>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7" w:type="dxa"/>
            <w:vMerge w:val="continue"/>
            <w:vAlign w:val="center"/>
          </w:tcPr>
          <w:p>
            <w:pPr>
              <w:pStyle w:val="25"/>
              <w:rPr>
                <w:kern w:val="2"/>
                <w:szCs w:val="21"/>
                <w:u w:val="single"/>
                <w:lang w:val="en-US" w:eastAsia="zh-CN"/>
              </w:rPr>
            </w:pPr>
          </w:p>
        </w:tc>
        <w:tc>
          <w:tcPr>
            <w:tcW w:w="1079" w:type="dxa"/>
            <w:vAlign w:val="center"/>
          </w:tcPr>
          <w:p>
            <w:pPr>
              <w:pStyle w:val="25"/>
              <w:rPr>
                <w:kern w:val="2"/>
                <w:szCs w:val="21"/>
                <w:u w:val="single"/>
                <w:lang w:val="en-US" w:eastAsia="zh-CN"/>
              </w:rPr>
            </w:pPr>
            <w:r>
              <w:rPr>
                <w:rFonts w:hint="eastAsia"/>
                <w:kern w:val="2"/>
                <w:szCs w:val="21"/>
                <w:u w:val="single"/>
                <w:lang w:val="en-US" w:eastAsia="zh-CN"/>
              </w:rPr>
              <w:t>居民点</w:t>
            </w:r>
          </w:p>
        </w:tc>
        <w:tc>
          <w:tcPr>
            <w:tcW w:w="1532" w:type="dxa"/>
            <w:vAlign w:val="center"/>
          </w:tcPr>
          <w:p>
            <w:pPr>
              <w:pStyle w:val="25"/>
              <w:rPr>
                <w:kern w:val="2"/>
                <w:szCs w:val="21"/>
                <w:u w:val="single"/>
                <w:lang w:val="en-US" w:eastAsia="zh-CN"/>
              </w:rPr>
            </w:pPr>
            <w:r>
              <w:rPr>
                <w:rFonts w:hint="eastAsia"/>
                <w:kern w:val="2"/>
                <w:szCs w:val="21"/>
                <w:u w:val="single"/>
                <w:lang w:val="en-US" w:eastAsia="zh-CN"/>
              </w:rPr>
              <w:t>185户</w:t>
            </w:r>
            <w:r>
              <w:rPr>
                <w:kern w:val="2"/>
                <w:szCs w:val="21"/>
                <w:u w:val="single"/>
                <w:lang w:val="en-US" w:eastAsia="zh-CN"/>
              </w:rPr>
              <w:t>/</w:t>
            </w:r>
            <w:r>
              <w:rPr>
                <w:rFonts w:hint="eastAsia"/>
                <w:kern w:val="2"/>
                <w:szCs w:val="21"/>
                <w:u w:val="single"/>
                <w:lang w:val="en-US" w:eastAsia="zh-CN"/>
              </w:rPr>
              <w:t>650人</w:t>
            </w:r>
          </w:p>
        </w:tc>
        <w:tc>
          <w:tcPr>
            <w:tcW w:w="720" w:type="dxa"/>
            <w:vAlign w:val="center"/>
          </w:tcPr>
          <w:p>
            <w:pPr>
              <w:pStyle w:val="25"/>
              <w:rPr>
                <w:kern w:val="2"/>
                <w:szCs w:val="21"/>
                <w:u w:val="single"/>
                <w:lang w:val="en-US" w:eastAsia="zh-CN"/>
              </w:rPr>
            </w:pPr>
            <w:r>
              <w:rPr>
                <w:kern w:val="2"/>
                <w:szCs w:val="21"/>
                <w:u w:val="single"/>
                <w:lang w:val="en-US" w:eastAsia="zh-CN"/>
              </w:rPr>
              <w:t>N</w:t>
            </w:r>
          </w:p>
        </w:tc>
        <w:tc>
          <w:tcPr>
            <w:tcW w:w="1215" w:type="dxa"/>
            <w:vAlign w:val="center"/>
          </w:tcPr>
          <w:p>
            <w:pPr>
              <w:pStyle w:val="25"/>
              <w:rPr>
                <w:kern w:val="2"/>
                <w:szCs w:val="21"/>
                <w:u w:val="single"/>
                <w:lang w:val="en-US" w:eastAsia="zh-CN"/>
              </w:rPr>
            </w:pPr>
            <w:r>
              <w:rPr>
                <w:rFonts w:hint="eastAsia"/>
                <w:kern w:val="2"/>
                <w:szCs w:val="21"/>
                <w:u w:val="single"/>
                <w:lang w:val="en-US" w:eastAsia="zh-CN"/>
              </w:rPr>
              <w:t>20</w:t>
            </w:r>
          </w:p>
        </w:tc>
        <w:tc>
          <w:tcPr>
            <w:tcW w:w="1645" w:type="dxa"/>
            <w:vAlign w:val="center"/>
          </w:tcPr>
          <w:p>
            <w:pPr>
              <w:pStyle w:val="25"/>
              <w:rPr>
                <w:kern w:val="2"/>
                <w:szCs w:val="21"/>
                <w:u w:val="single"/>
                <w:lang w:val="en-US" w:eastAsia="zh-CN"/>
              </w:rPr>
            </w:pPr>
            <w:r>
              <w:rPr>
                <w:kern w:val="2"/>
                <w:szCs w:val="21"/>
                <w:u w:val="single"/>
                <w:lang w:val="en-US" w:eastAsia="zh-CN"/>
              </w:rPr>
              <w:t>140</w:t>
            </w:r>
          </w:p>
        </w:tc>
        <w:tc>
          <w:tcPr>
            <w:tcW w:w="2167" w:type="dxa"/>
            <w:vMerge w:val="continue"/>
            <w:vAlign w:val="center"/>
          </w:tcPr>
          <w:p>
            <w:pPr>
              <w:pStyle w:val="25"/>
              <w:rPr>
                <w:kern w:val="2"/>
                <w:szCs w:val="21"/>
                <w:u w:val="single"/>
                <w:lang w:val="en-US" w:eastAsia="zh-CN"/>
              </w:rPr>
            </w:pPr>
          </w:p>
        </w:tc>
      </w:tr>
    </w:tbl>
    <w:p>
      <w:pPr>
        <w:ind w:firstLine="480"/>
        <w:sectPr>
          <w:pgSz w:w="11906" w:h="16838"/>
          <w:pgMar w:top="1440" w:right="1417" w:bottom="1440" w:left="1417" w:header="851" w:footer="992" w:gutter="0"/>
          <w:cols w:space="0" w:num="1"/>
          <w:docGrid w:type="lines" w:linePitch="332" w:charSpace="0"/>
        </w:sectPr>
      </w:pPr>
    </w:p>
    <w:p>
      <w:pPr>
        <w:pStyle w:val="2"/>
      </w:pPr>
      <w:bookmarkStart w:id="18" w:name="_Toc21407"/>
      <w:r>
        <w:rPr>
          <w:rFonts w:hint="eastAsia"/>
        </w:rPr>
        <w:t>现有项目基本情况及工程分析</w:t>
      </w:r>
      <w:bookmarkEnd w:id="18"/>
    </w:p>
    <w:p>
      <w:pPr>
        <w:pStyle w:val="3"/>
      </w:pPr>
      <w:bookmarkStart w:id="19" w:name="_Toc9840"/>
      <w:r>
        <w:rPr>
          <w:rFonts w:hint="eastAsia"/>
        </w:rPr>
        <w:t>现有企业概况</w:t>
      </w:r>
      <w:bookmarkEnd w:id="19"/>
    </w:p>
    <w:p>
      <w:pPr>
        <w:ind w:firstLine="480"/>
      </w:pPr>
      <w:r>
        <w:t>1</w:t>
      </w:r>
      <w:r>
        <w:rPr>
          <w:rFonts w:hint="eastAsia"/>
        </w:rPr>
        <w:t>、基本概况</w:t>
      </w:r>
    </w:p>
    <w:p>
      <w:pPr>
        <w:ind w:firstLine="480"/>
      </w:pPr>
      <w:r>
        <w:rPr>
          <w:rFonts w:hint="eastAsia"/>
        </w:rPr>
        <w:t>湖南德科纺织印染有限公司原为湖南汨罗纺织印染厂。汨纺始建于</w:t>
      </w:r>
      <w:r>
        <w:t>70</w:t>
      </w:r>
      <w:r>
        <w:rPr>
          <w:rFonts w:hint="eastAsia"/>
        </w:rPr>
        <w:t>年代，是我省内国有大型棉纺织印染企业，于</w:t>
      </w:r>
      <w:r>
        <w:t>2003</w:t>
      </w:r>
      <w:r>
        <w:rPr>
          <w:rFonts w:hint="eastAsia"/>
        </w:rPr>
        <w:t>年改制由深圳德科有限公司收购，改名为湖南德科纺织印染有限公司。湖南德科纺织印染有限公司总投资3</w:t>
      </w:r>
      <w:r>
        <w:t>000</w:t>
      </w:r>
      <w:r>
        <w:rPr>
          <w:rFonts w:hint="eastAsia"/>
        </w:rPr>
        <w:t>万元，占地面积为</w:t>
      </w:r>
      <w:r>
        <w:t>150000m</w:t>
      </w:r>
      <w:r>
        <w:rPr>
          <w:vertAlign w:val="superscript"/>
        </w:rPr>
        <w:t>2</w:t>
      </w:r>
      <w:r>
        <w:rPr>
          <w:rFonts w:hint="eastAsia"/>
        </w:rPr>
        <w:t>，总建筑面积为74185</w:t>
      </w:r>
      <w:r>
        <w:t>m</w:t>
      </w:r>
      <w:r>
        <w:rPr>
          <w:vertAlign w:val="superscript"/>
        </w:rPr>
        <w:t>2</w:t>
      </w:r>
      <w:r>
        <w:rPr>
          <w:rFonts w:hint="eastAsia"/>
        </w:rPr>
        <w:t>，职工45</w:t>
      </w:r>
      <w:r>
        <w:t>00</w:t>
      </w:r>
      <w:r>
        <w:rPr>
          <w:rFonts w:hint="eastAsia"/>
        </w:rPr>
        <w:t>人（其中印染车间</w:t>
      </w:r>
      <w:r>
        <w:t>500</w:t>
      </w:r>
      <w:r>
        <w:rPr>
          <w:rFonts w:hint="eastAsia"/>
        </w:rPr>
        <w:t>人、纺纱车间20</w:t>
      </w:r>
      <w:r>
        <w:t>00</w:t>
      </w:r>
      <w:r>
        <w:rPr>
          <w:rFonts w:hint="eastAsia"/>
        </w:rPr>
        <w:t>人（达产）、织布车间2000人（达产）），实行二班制生产，</w:t>
      </w:r>
      <w:r>
        <w:t>8h/</w:t>
      </w:r>
      <w:r>
        <w:rPr>
          <w:rFonts w:hint="eastAsia"/>
        </w:rPr>
        <w:t>班，年工作日</w:t>
      </w:r>
      <w:r>
        <w:t>300</w:t>
      </w:r>
      <w:r>
        <w:rPr>
          <w:rFonts w:hint="eastAsia"/>
        </w:rPr>
        <w:t>天。</w:t>
      </w:r>
    </w:p>
    <w:p>
      <w:pPr>
        <w:ind w:firstLine="480"/>
      </w:pPr>
      <w:r>
        <w:t>2</w:t>
      </w:r>
      <w:r>
        <w:rPr>
          <w:rFonts w:hint="eastAsia"/>
        </w:rPr>
        <w:t>、现有工程环保手续</w:t>
      </w:r>
    </w:p>
    <w:p>
      <w:pPr>
        <w:ind w:firstLine="480"/>
      </w:pPr>
      <w:r>
        <w:rPr>
          <w:rFonts w:hint="eastAsia"/>
        </w:rPr>
        <w:t>经向建设单位咨询，现有工程自投产以来未收到有关公众对现有工程环保投诉，</w:t>
      </w:r>
      <w:r>
        <w:t>2015</w:t>
      </w:r>
      <w:r>
        <w:rPr>
          <w:rFonts w:hint="eastAsia"/>
        </w:rPr>
        <w:t>年</w:t>
      </w:r>
      <w:r>
        <w:t>9</w:t>
      </w:r>
      <w:r>
        <w:rPr>
          <w:rFonts w:hint="eastAsia"/>
        </w:rPr>
        <w:t>月收到岳阳市环境保护局屈原管理区分局对科达印染有限公司（德科印染车间）下达了停产整改通知书。</w:t>
      </w:r>
    </w:p>
    <w:p>
      <w:pPr>
        <w:ind w:firstLine="480"/>
      </w:pPr>
      <w:r>
        <w:rPr>
          <w:rFonts w:hint="eastAsia"/>
        </w:rPr>
        <w:t>根据查阅资料和建设单位提供资料，湖南德科纺织印染有限公司环保手续如下：</w:t>
      </w:r>
    </w:p>
    <w:p>
      <w:pPr>
        <w:ind w:firstLine="480"/>
      </w:pPr>
      <w:r>
        <w:t>1</w:t>
      </w:r>
      <w:r>
        <w:rPr>
          <w:rFonts w:hint="eastAsia"/>
        </w:rPr>
        <w:t>、</w:t>
      </w:r>
      <w:r>
        <w:t>1999</w:t>
      </w:r>
      <w:r>
        <w:rPr>
          <w:rFonts w:hint="eastAsia"/>
        </w:rPr>
        <w:t>年</w:t>
      </w:r>
      <w:r>
        <w:t>12</w:t>
      </w:r>
      <w:r>
        <w:rPr>
          <w:rFonts w:hint="eastAsia"/>
        </w:rPr>
        <w:t>月</w:t>
      </w:r>
      <w:r>
        <w:t>10</w:t>
      </w:r>
      <w:r>
        <w:rPr>
          <w:rFonts w:hint="eastAsia"/>
        </w:rPr>
        <w:t>日，汨罗纺织印染厂获得工业污染源达标验收合格证；</w:t>
      </w:r>
    </w:p>
    <w:p>
      <w:pPr>
        <w:ind w:firstLine="480"/>
      </w:pPr>
      <w:r>
        <w:t>2</w:t>
      </w:r>
      <w:r>
        <w:rPr>
          <w:rFonts w:hint="eastAsia"/>
        </w:rPr>
        <w:t>、</w:t>
      </w:r>
      <w:r>
        <w:t>2003</w:t>
      </w:r>
      <w:r>
        <w:rPr>
          <w:rFonts w:hint="eastAsia"/>
        </w:rPr>
        <w:t>年</w:t>
      </w:r>
      <w:r>
        <w:t>9</w:t>
      </w:r>
      <w:r>
        <w:rPr>
          <w:rFonts w:hint="eastAsia"/>
        </w:rPr>
        <w:t>月</w:t>
      </w:r>
      <w:r>
        <w:t>4</w:t>
      </w:r>
      <w:r>
        <w:rPr>
          <w:rFonts w:hint="eastAsia"/>
        </w:rPr>
        <w:t>日，湖南德科纺织印染有限公司获得岳阳市环境保护局对湖南德科纺织印染有限公司建设项目的审批意见。</w:t>
      </w:r>
    </w:p>
    <w:p>
      <w:pPr>
        <w:ind w:firstLine="480"/>
      </w:pPr>
      <w:r>
        <w:t>3</w:t>
      </w:r>
      <w:r>
        <w:rPr>
          <w:rFonts w:hint="eastAsia"/>
        </w:rPr>
        <w:t>、</w:t>
      </w:r>
      <w:r>
        <w:t>2016</w:t>
      </w:r>
      <w:r>
        <w:rPr>
          <w:rFonts w:hint="eastAsia"/>
        </w:rPr>
        <w:t>年</w:t>
      </w:r>
      <w:r>
        <w:t>10</w:t>
      </w:r>
      <w:r>
        <w:rPr>
          <w:rFonts w:hint="eastAsia"/>
        </w:rPr>
        <w:t>月</w:t>
      </w:r>
      <w:r>
        <w:t>20</w:t>
      </w:r>
      <w:r>
        <w:rPr>
          <w:rFonts w:hint="eastAsia"/>
        </w:rPr>
        <w:t>日，湖南德科纺织印染有限公司获得岳阳市环境保护局屈原管理区分局更新的排污许可证新证。</w:t>
      </w:r>
    </w:p>
    <w:p>
      <w:pPr>
        <w:pStyle w:val="3"/>
      </w:pPr>
      <w:bookmarkStart w:id="20" w:name="_Toc512"/>
      <w:r>
        <w:rPr>
          <w:rFonts w:hint="eastAsia"/>
        </w:rPr>
        <w:t>现有工程基本情况</w:t>
      </w:r>
      <w:bookmarkEnd w:id="20"/>
    </w:p>
    <w:p>
      <w:pPr>
        <w:ind w:firstLine="480"/>
      </w:pPr>
      <w:r>
        <w:rPr>
          <w:rFonts w:hint="eastAsia"/>
          <w:u w:val="single"/>
        </w:rPr>
        <w:t>根据</w:t>
      </w:r>
      <w:r>
        <w:rPr>
          <w:u w:val="single"/>
        </w:rPr>
        <w:t>2003</w:t>
      </w:r>
      <w:r>
        <w:rPr>
          <w:rFonts w:hint="eastAsia"/>
          <w:u w:val="single"/>
        </w:rPr>
        <w:t>年</w:t>
      </w:r>
      <w:r>
        <w:rPr>
          <w:u w:val="single"/>
        </w:rPr>
        <w:t>9</w:t>
      </w:r>
      <w:r>
        <w:rPr>
          <w:rFonts w:hint="eastAsia"/>
          <w:u w:val="single"/>
        </w:rPr>
        <w:t>月</w:t>
      </w:r>
      <w:r>
        <w:rPr>
          <w:u w:val="single"/>
        </w:rPr>
        <w:t>4</w:t>
      </w:r>
      <w:r>
        <w:rPr>
          <w:rFonts w:hint="eastAsia"/>
          <w:u w:val="single"/>
        </w:rPr>
        <w:t>日批复的湖南德科纺织印染有限公司建设项目环境影响登记表，德科原有纺纱、织布、印染三个部分，其中织布生产的坯布用于印染。根据现场踏勘和企业提供资料，德科现有厂区内仅纺纱和印染部分在生产，织布于2004年停产。本次环评现有工程中的纺纱和印染车间污染源强按照厂区实际情况进行分析，织布车间情况类比同类项目和根据织布未停产时情况对已停产进行分析。</w:t>
      </w:r>
    </w:p>
    <w:p>
      <w:pPr>
        <w:pStyle w:val="4"/>
      </w:pPr>
      <w:r>
        <w:rPr>
          <w:rFonts w:hint="eastAsia"/>
        </w:rPr>
        <w:t>建设内容</w:t>
      </w:r>
    </w:p>
    <w:p>
      <w:pPr>
        <w:ind w:firstLine="480"/>
        <w:rPr>
          <w:u w:val="single"/>
        </w:rPr>
      </w:pPr>
      <w:r>
        <w:rPr>
          <w:rFonts w:hint="eastAsia"/>
          <w:u w:val="single"/>
        </w:rPr>
        <w:t>德科厂区占地面积为15000m</w:t>
      </w:r>
      <w:r>
        <w:rPr>
          <w:rFonts w:hint="eastAsia"/>
          <w:u w:val="single"/>
          <w:vertAlign w:val="superscript"/>
        </w:rPr>
        <w:t>2</w:t>
      </w:r>
      <w:r>
        <w:rPr>
          <w:rFonts w:hint="eastAsia"/>
          <w:u w:val="single"/>
        </w:rPr>
        <w:t>，总建筑面积为74185m</w:t>
      </w:r>
      <w:r>
        <w:rPr>
          <w:rFonts w:hint="eastAsia"/>
          <w:u w:val="single"/>
          <w:vertAlign w:val="superscript"/>
        </w:rPr>
        <w:t>2</w:t>
      </w:r>
      <w:r>
        <w:rPr>
          <w:rFonts w:hint="eastAsia"/>
          <w:u w:val="single"/>
        </w:rPr>
        <w:t>。厂区内现有建筑物主要有第一织布车间、第二织布车间、纺纱车间、印染车间、原料仓库、五金仓库、锅炉房、办公楼等，厂区内现有建筑物详细情况见</w:t>
      </w:r>
      <w:r>
        <w:rPr>
          <w:u w:val="single"/>
        </w:rPr>
        <w:t>3.2-1</w:t>
      </w:r>
      <w:r>
        <w:rPr>
          <w:rFonts w:hint="eastAsia"/>
          <w:u w:val="single"/>
        </w:rPr>
        <w:t>，厂区内现有工程（包含织布）组成情况见3.2-2。</w:t>
      </w:r>
    </w:p>
    <w:p>
      <w:pPr>
        <w:pStyle w:val="26"/>
        <w:rPr>
          <w:b/>
          <w:bCs/>
          <w:u w:val="single"/>
        </w:rPr>
      </w:pPr>
      <w:r>
        <w:rPr>
          <w:rFonts w:hint="eastAsia"/>
          <w:b/>
          <w:bCs/>
          <w:u w:val="single"/>
        </w:rPr>
        <w:t>表</w:t>
      </w:r>
      <w:r>
        <w:rPr>
          <w:b/>
          <w:bCs/>
          <w:u w:val="single"/>
        </w:rPr>
        <w:t xml:space="preserve">3.2-1  </w:t>
      </w:r>
      <w:r>
        <w:rPr>
          <w:rFonts w:hint="eastAsia"/>
          <w:b/>
          <w:bCs/>
          <w:u w:val="single"/>
        </w:rPr>
        <w:t>厂区现有建筑物一览表</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695"/>
        <w:gridCol w:w="855"/>
        <w:gridCol w:w="900"/>
        <w:gridCol w:w="5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32" w:type="dxa"/>
            <w:vAlign w:val="center"/>
          </w:tcPr>
          <w:p>
            <w:pPr>
              <w:pStyle w:val="26"/>
              <w:rPr>
                <w:kern w:val="2"/>
                <w:szCs w:val="21"/>
                <w:u w:val="single"/>
                <w:lang w:val="en-US" w:eastAsia="zh-CN"/>
              </w:rPr>
            </w:pPr>
            <w:r>
              <w:rPr>
                <w:rFonts w:hint="eastAsia"/>
                <w:kern w:val="2"/>
                <w:szCs w:val="21"/>
                <w:u w:val="single"/>
                <w:lang w:val="en-US" w:eastAsia="zh-CN"/>
              </w:rPr>
              <w:t>序号</w:t>
            </w:r>
          </w:p>
        </w:tc>
        <w:tc>
          <w:tcPr>
            <w:tcW w:w="1695" w:type="dxa"/>
            <w:vAlign w:val="center"/>
          </w:tcPr>
          <w:p>
            <w:pPr>
              <w:pStyle w:val="26"/>
              <w:rPr>
                <w:kern w:val="2"/>
                <w:szCs w:val="21"/>
                <w:u w:val="single"/>
                <w:lang w:val="en-US" w:eastAsia="zh-CN"/>
              </w:rPr>
            </w:pPr>
            <w:r>
              <w:rPr>
                <w:rFonts w:hint="eastAsia"/>
                <w:kern w:val="2"/>
                <w:szCs w:val="21"/>
                <w:u w:val="single"/>
                <w:lang w:val="en-US" w:eastAsia="zh-CN"/>
              </w:rPr>
              <w:t>名称</w:t>
            </w:r>
          </w:p>
        </w:tc>
        <w:tc>
          <w:tcPr>
            <w:tcW w:w="855" w:type="dxa"/>
            <w:vAlign w:val="center"/>
          </w:tcPr>
          <w:p>
            <w:pPr>
              <w:pStyle w:val="26"/>
              <w:rPr>
                <w:kern w:val="2"/>
                <w:szCs w:val="21"/>
                <w:u w:val="single"/>
                <w:lang w:val="en-US" w:eastAsia="zh-CN"/>
              </w:rPr>
            </w:pPr>
            <w:r>
              <w:rPr>
                <w:rFonts w:hint="eastAsia"/>
                <w:kern w:val="2"/>
                <w:szCs w:val="21"/>
                <w:u w:val="single"/>
                <w:lang w:val="en-US" w:eastAsia="zh-CN"/>
              </w:rPr>
              <w:t>单位</w:t>
            </w:r>
          </w:p>
        </w:tc>
        <w:tc>
          <w:tcPr>
            <w:tcW w:w="900" w:type="dxa"/>
            <w:vAlign w:val="center"/>
          </w:tcPr>
          <w:p>
            <w:pPr>
              <w:pStyle w:val="26"/>
              <w:rPr>
                <w:kern w:val="2"/>
                <w:szCs w:val="21"/>
                <w:u w:val="single"/>
                <w:lang w:val="en-US" w:eastAsia="zh-CN"/>
              </w:rPr>
            </w:pPr>
            <w:r>
              <w:rPr>
                <w:rFonts w:hint="eastAsia"/>
                <w:kern w:val="2"/>
                <w:szCs w:val="21"/>
                <w:u w:val="single"/>
                <w:lang w:val="en-US" w:eastAsia="zh-CN"/>
              </w:rPr>
              <w:t>数量</w:t>
            </w:r>
          </w:p>
        </w:tc>
        <w:tc>
          <w:tcPr>
            <w:tcW w:w="5672" w:type="dxa"/>
            <w:vAlign w:val="center"/>
          </w:tcPr>
          <w:p>
            <w:pPr>
              <w:pStyle w:val="26"/>
              <w:rPr>
                <w:kern w:val="2"/>
                <w:szCs w:val="21"/>
                <w:u w:val="single"/>
                <w:lang w:val="en-US" w:eastAsia="zh-CN"/>
              </w:rPr>
            </w:pPr>
            <w:r>
              <w:rPr>
                <w:rFonts w:hint="eastAsia"/>
                <w:kern w:val="2"/>
                <w:szCs w:val="21"/>
                <w:u w:val="singl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2" w:type="dxa"/>
            <w:vAlign w:val="center"/>
          </w:tcPr>
          <w:p>
            <w:pPr>
              <w:pStyle w:val="26"/>
              <w:rPr>
                <w:kern w:val="2"/>
                <w:szCs w:val="21"/>
                <w:u w:val="single"/>
                <w:lang w:val="en-US" w:eastAsia="zh-CN"/>
              </w:rPr>
            </w:pPr>
            <w:r>
              <w:rPr>
                <w:rFonts w:hint="eastAsia"/>
                <w:kern w:val="2"/>
                <w:szCs w:val="21"/>
                <w:u w:val="single"/>
                <w:lang w:val="en-US" w:eastAsia="zh-CN"/>
              </w:rPr>
              <w:t>1</w:t>
            </w:r>
          </w:p>
        </w:tc>
        <w:tc>
          <w:tcPr>
            <w:tcW w:w="1695" w:type="dxa"/>
            <w:vAlign w:val="center"/>
          </w:tcPr>
          <w:p>
            <w:pPr>
              <w:pStyle w:val="26"/>
              <w:rPr>
                <w:kern w:val="2"/>
                <w:szCs w:val="21"/>
                <w:u w:val="single"/>
                <w:lang w:val="en-US" w:eastAsia="zh-CN"/>
              </w:rPr>
            </w:pPr>
            <w:r>
              <w:rPr>
                <w:rFonts w:hint="eastAsia"/>
                <w:kern w:val="2"/>
                <w:szCs w:val="21"/>
                <w:u w:val="single"/>
                <w:lang w:val="en-US" w:eastAsia="zh-CN"/>
              </w:rPr>
              <w:t>原第一织布车间</w:t>
            </w:r>
          </w:p>
        </w:tc>
        <w:tc>
          <w:tcPr>
            <w:tcW w:w="855" w:type="dxa"/>
            <w:vAlign w:val="center"/>
          </w:tcPr>
          <w:p>
            <w:pPr>
              <w:pStyle w:val="26"/>
              <w:rPr>
                <w:kern w:val="2"/>
                <w:szCs w:val="21"/>
                <w:u w:val="single"/>
                <w:lang w:val="en-US" w:eastAsia="zh-CN"/>
              </w:rPr>
            </w:pPr>
            <w:r>
              <w:rPr>
                <w:kern w:val="2"/>
                <w:szCs w:val="21"/>
                <w:u w:val="single"/>
                <w:lang w:val="en-US" w:eastAsia="zh-CN"/>
              </w:rPr>
              <w:t>m</w:t>
            </w:r>
            <w:r>
              <w:rPr>
                <w:kern w:val="2"/>
                <w:szCs w:val="21"/>
                <w:u w:val="single"/>
                <w:vertAlign w:val="superscript"/>
                <w:lang w:val="en-US" w:eastAsia="zh-CN"/>
              </w:rPr>
              <w:t>2</w:t>
            </w:r>
          </w:p>
        </w:tc>
        <w:tc>
          <w:tcPr>
            <w:tcW w:w="900" w:type="dxa"/>
            <w:vAlign w:val="center"/>
          </w:tcPr>
          <w:p>
            <w:pPr>
              <w:pStyle w:val="26"/>
              <w:rPr>
                <w:kern w:val="2"/>
                <w:szCs w:val="21"/>
                <w:u w:val="single"/>
                <w:lang w:val="en-US" w:eastAsia="zh-CN"/>
              </w:rPr>
            </w:pPr>
            <w:r>
              <w:rPr>
                <w:kern w:val="2"/>
                <w:szCs w:val="21"/>
                <w:u w:val="single"/>
                <w:lang w:val="en-US" w:eastAsia="zh-CN"/>
              </w:rPr>
              <w:t>4950</w:t>
            </w:r>
          </w:p>
        </w:tc>
        <w:tc>
          <w:tcPr>
            <w:tcW w:w="56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1F，厂房租赁给其他公司作为生产车间，生产与德科无关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2" w:type="dxa"/>
            <w:vAlign w:val="center"/>
          </w:tcPr>
          <w:p>
            <w:pPr>
              <w:pStyle w:val="26"/>
              <w:rPr>
                <w:kern w:val="2"/>
                <w:szCs w:val="21"/>
                <w:u w:val="single"/>
                <w:lang w:val="en-US" w:eastAsia="zh-CN"/>
              </w:rPr>
            </w:pPr>
            <w:r>
              <w:rPr>
                <w:rFonts w:hint="eastAsia"/>
                <w:kern w:val="2"/>
                <w:szCs w:val="21"/>
                <w:u w:val="single"/>
                <w:lang w:val="en-US" w:eastAsia="zh-CN"/>
              </w:rPr>
              <w:t>2</w:t>
            </w:r>
          </w:p>
        </w:tc>
        <w:tc>
          <w:tcPr>
            <w:tcW w:w="1695" w:type="dxa"/>
            <w:vAlign w:val="center"/>
          </w:tcPr>
          <w:p>
            <w:pPr>
              <w:pStyle w:val="26"/>
              <w:rPr>
                <w:kern w:val="2"/>
                <w:szCs w:val="21"/>
                <w:u w:val="single"/>
                <w:lang w:val="en-US" w:eastAsia="zh-CN"/>
              </w:rPr>
            </w:pPr>
            <w:r>
              <w:rPr>
                <w:rFonts w:hint="eastAsia"/>
                <w:kern w:val="2"/>
                <w:szCs w:val="21"/>
                <w:u w:val="single"/>
                <w:lang w:val="en-US" w:eastAsia="zh-CN"/>
              </w:rPr>
              <w:t>原第二织布车间</w:t>
            </w:r>
          </w:p>
        </w:tc>
        <w:tc>
          <w:tcPr>
            <w:tcW w:w="855" w:type="dxa"/>
            <w:vAlign w:val="center"/>
          </w:tcPr>
          <w:p>
            <w:pPr>
              <w:pStyle w:val="26"/>
              <w:rPr>
                <w:kern w:val="2"/>
                <w:szCs w:val="21"/>
                <w:u w:val="single"/>
                <w:lang w:val="en-US" w:eastAsia="zh-CN"/>
              </w:rPr>
            </w:pPr>
            <w:r>
              <w:rPr>
                <w:kern w:val="2"/>
                <w:szCs w:val="21"/>
                <w:u w:val="single"/>
                <w:lang w:val="en-US" w:eastAsia="zh-CN"/>
              </w:rPr>
              <w:t>m</w:t>
            </w:r>
            <w:r>
              <w:rPr>
                <w:kern w:val="2"/>
                <w:szCs w:val="21"/>
                <w:u w:val="single"/>
                <w:vertAlign w:val="superscript"/>
                <w:lang w:val="en-US" w:eastAsia="zh-CN"/>
              </w:rPr>
              <w:t>2</w:t>
            </w:r>
          </w:p>
        </w:tc>
        <w:tc>
          <w:tcPr>
            <w:tcW w:w="900" w:type="dxa"/>
            <w:vAlign w:val="center"/>
          </w:tcPr>
          <w:p>
            <w:pPr>
              <w:pStyle w:val="26"/>
              <w:rPr>
                <w:kern w:val="2"/>
                <w:szCs w:val="21"/>
                <w:u w:val="single"/>
                <w:lang w:val="en-US" w:eastAsia="zh-CN"/>
              </w:rPr>
            </w:pPr>
            <w:r>
              <w:rPr>
                <w:kern w:val="2"/>
                <w:szCs w:val="21"/>
                <w:u w:val="single"/>
                <w:lang w:val="en-US" w:eastAsia="zh-CN"/>
              </w:rPr>
              <w:t>12600</w:t>
            </w:r>
          </w:p>
        </w:tc>
        <w:tc>
          <w:tcPr>
            <w:tcW w:w="56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1F，厂房租赁给其他公司作为生产车间，生产与德科无关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2" w:type="dxa"/>
            <w:vAlign w:val="center"/>
          </w:tcPr>
          <w:p>
            <w:pPr>
              <w:pStyle w:val="26"/>
              <w:rPr>
                <w:kern w:val="2"/>
                <w:szCs w:val="21"/>
                <w:u w:val="single"/>
                <w:lang w:val="en-US" w:eastAsia="zh-CN"/>
              </w:rPr>
            </w:pPr>
            <w:r>
              <w:rPr>
                <w:rFonts w:hint="eastAsia"/>
                <w:kern w:val="2"/>
                <w:szCs w:val="21"/>
                <w:u w:val="single"/>
                <w:lang w:val="en-US" w:eastAsia="zh-CN"/>
              </w:rPr>
              <w:t>3</w:t>
            </w:r>
          </w:p>
        </w:tc>
        <w:tc>
          <w:tcPr>
            <w:tcW w:w="1695" w:type="dxa"/>
            <w:vAlign w:val="center"/>
          </w:tcPr>
          <w:p>
            <w:pPr>
              <w:pStyle w:val="26"/>
              <w:rPr>
                <w:kern w:val="2"/>
                <w:szCs w:val="21"/>
                <w:u w:val="single"/>
                <w:lang w:val="en-US" w:eastAsia="zh-CN"/>
              </w:rPr>
            </w:pPr>
            <w:r>
              <w:rPr>
                <w:rFonts w:hint="eastAsia"/>
                <w:kern w:val="2"/>
                <w:szCs w:val="21"/>
                <w:u w:val="single"/>
                <w:lang w:val="en-US" w:eastAsia="zh-CN"/>
              </w:rPr>
              <w:t>纺纱车间</w:t>
            </w:r>
          </w:p>
        </w:tc>
        <w:tc>
          <w:tcPr>
            <w:tcW w:w="855" w:type="dxa"/>
            <w:vAlign w:val="center"/>
          </w:tcPr>
          <w:p>
            <w:pPr>
              <w:pStyle w:val="26"/>
              <w:rPr>
                <w:kern w:val="2"/>
                <w:szCs w:val="21"/>
                <w:u w:val="single"/>
                <w:lang w:val="en-US" w:eastAsia="zh-CN"/>
              </w:rPr>
            </w:pPr>
            <w:r>
              <w:rPr>
                <w:kern w:val="2"/>
                <w:szCs w:val="21"/>
                <w:u w:val="single"/>
                <w:lang w:val="en-US" w:eastAsia="zh-CN"/>
              </w:rPr>
              <w:t>m</w:t>
            </w:r>
            <w:r>
              <w:rPr>
                <w:kern w:val="2"/>
                <w:szCs w:val="21"/>
                <w:u w:val="single"/>
                <w:vertAlign w:val="superscript"/>
                <w:lang w:val="en-US" w:eastAsia="zh-CN"/>
              </w:rPr>
              <w:t>2</w:t>
            </w:r>
          </w:p>
        </w:tc>
        <w:tc>
          <w:tcPr>
            <w:tcW w:w="900" w:type="dxa"/>
            <w:vAlign w:val="center"/>
          </w:tcPr>
          <w:p>
            <w:pPr>
              <w:pStyle w:val="26"/>
              <w:rPr>
                <w:kern w:val="2"/>
                <w:szCs w:val="21"/>
                <w:u w:val="single"/>
                <w:lang w:val="en-US" w:eastAsia="zh-CN"/>
              </w:rPr>
            </w:pPr>
            <w:r>
              <w:rPr>
                <w:rFonts w:hint="eastAsia"/>
                <w:kern w:val="2"/>
                <w:szCs w:val="21"/>
                <w:u w:val="single"/>
                <w:lang w:val="en-US" w:eastAsia="zh-CN"/>
              </w:rPr>
              <w:t>23556</w:t>
            </w:r>
          </w:p>
        </w:tc>
        <w:tc>
          <w:tcPr>
            <w:tcW w:w="56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2F，德科现有纺纱生产车间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2" w:type="dxa"/>
            <w:vAlign w:val="center"/>
          </w:tcPr>
          <w:p>
            <w:pPr>
              <w:pStyle w:val="26"/>
              <w:rPr>
                <w:kern w:val="2"/>
                <w:szCs w:val="21"/>
                <w:u w:val="single"/>
                <w:lang w:val="en-US" w:eastAsia="zh-CN"/>
              </w:rPr>
            </w:pPr>
            <w:r>
              <w:rPr>
                <w:rFonts w:hint="eastAsia"/>
                <w:kern w:val="2"/>
                <w:szCs w:val="21"/>
                <w:u w:val="single"/>
                <w:lang w:val="en-US" w:eastAsia="zh-CN"/>
              </w:rPr>
              <w:t>4</w:t>
            </w:r>
          </w:p>
        </w:tc>
        <w:tc>
          <w:tcPr>
            <w:tcW w:w="1695" w:type="dxa"/>
            <w:vAlign w:val="center"/>
          </w:tcPr>
          <w:p>
            <w:pPr>
              <w:pStyle w:val="26"/>
              <w:rPr>
                <w:kern w:val="2"/>
                <w:szCs w:val="21"/>
                <w:u w:val="single"/>
                <w:lang w:val="en-US" w:eastAsia="zh-CN"/>
              </w:rPr>
            </w:pPr>
            <w:r>
              <w:rPr>
                <w:rFonts w:hint="eastAsia"/>
                <w:kern w:val="2"/>
                <w:szCs w:val="21"/>
                <w:u w:val="single"/>
                <w:lang w:val="en-US" w:eastAsia="zh-CN"/>
              </w:rPr>
              <w:t>印染车间</w:t>
            </w:r>
          </w:p>
        </w:tc>
        <w:tc>
          <w:tcPr>
            <w:tcW w:w="855" w:type="dxa"/>
            <w:vAlign w:val="center"/>
          </w:tcPr>
          <w:p>
            <w:pPr>
              <w:pStyle w:val="26"/>
              <w:rPr>
                <w:kern w:val="2"/>
                <w:szCs w:val="21"/>
                <w:u w:val="single"/>
                <w:lang w:val="en-US" w:eastAsia="zh-CN"/>
              </w:rPr>
            </w:pPr>
            <w:r>
              <w:rPr>
                <w:kern w:val="2"/>
                <w:szCs w:val="21"/>
                <w:u w:val="single"/>
                <w:lang w:val="en-US" w:eastAsia="zh-CN"/>
              </w:rPr>
              <w:t>m</w:t>
            </w:r>
            <w:r>
              <w:rPr>
                <w:kern w:val="2"/>
                <w:szCs w:val="21"/>
                <w:u w:val="single"/>
                <w:vertAlign w:val="superscript"/>
                <w:lang w:val="en-US" w:eastAsia="zh-CN"/>
              </w:rPr>
              <w:t>2</w:t>
            </w:r>
          </w:p>
        </w:tc>
        <w:tc>
          <w:tcPr>
            <w:tcW w:w="900" w:type="dxa"/>
            <w:vAlign w:val="center"/>
          </w:tcPr>
          <w:p>
            <w:pPr>
              <w:pStyle w:val="26"/>
              <w:rPr>
                <w:kern w:val="2"/>
                <w:szCs w:val="21"/>
                <w:u w:val="single"/>
                <w:lang w:val="en-US" w:eastAsia="zh-CN"/>
              </w:rPr>
            </w:pPr>
            <w:r>
              <w:rPr>
                <w:rFonts w:hint="eastAsia"/>
                <w:kern w:val="2"/>
                <w:szCs w:val="21"/>
                <w:u w:val="single"/>
                <w:lang w:val="en-US" w:eastAsia="zh-CN"/>
              </w:rPr>
              <w:t>9744</w:t>
            </w:r>
          </w:p>
        </w:tc>
        <w:tc>
          <w:tcPr>
            <w:tcW w:w="56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1F，德科现有印染生产车间、原料仓库及成品仓库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2" w:type="dxa"/>
            <w:vAlign w:val="center"/>
          </w:tcPr>
          <w:p>
            <w:pPr>
              <w:pStyle w:val="26"/>
              <w:rPr>
                <w:kern w:val="2"/>
                <w:szCs w:val="21"/>
                <w:u w:val="single"/>
                <w:lang w:val="en-US" w:eastAsia="zh-CN"/>
              </w:rPr>
            </w:pPr>
            <w:r>
              <w:rPr>
                <w:rFonts w:hint="eastAsia"/>
                <w:kern w:val="2"/>
                <w:szCs w:val="21"/>
                <w:u w:val="single"/>
                <w:lang w:val="en-US" w:eastAsia="zh-CN"/>
              </w:rPr>
              <w:t>5</w:t>
            </w:r>
          </w:p>
        </w:tc>
        <w:tc>
          <w:tcPr>
            <w:tcW w:w="1695" w:type="dxa"/>
            <w:vAlign w:val="center"/>
          </w:tcPr>
          <w:p>
            <w:pPr>
              <w:pStyle w:val="26"/>
              <w:rPr>
                <w:kern w:val="2"/>
                <w:szCs w:val="21"/>
                <w:u w:val="single"/>
                <w:lang w:val="en-US" w:eastAsia="zh-CN"/>
              </w:rPr>
            </w:pPr>
            <w:r>
              <w:rPr>
                <w:rFonts w:hint="eastAsia"/>
                <w:kern w:val="2"/>
                <w:szCs w:val="21"/>
                <w:u w:val="single"/>
                <w:lang w:val="en-US" w:eastAsia="zh-CN"/>
              </w:rPr>
              <w:t>原原料仓库</w:t>
            </w:r>
          </w:p>
        </w:tc>
        <w:tc>
          <w:tcPr>
            <w:tcW w:w="855" w:type="dxa"/>
            <w:vAlign w:val="center"/>
          </w:tcPr>
          <w:p>
            <w:pPr>
              <w:pStyle w:val="26"/>
              <w:rPr>
                <w:kern w:val="2"/>
                <w:szCs w:val="21"/>
                <w:u w:val="single"/>
                <w:lang w:val="en-US" w:eastAsia="zh-CN"/>
              </w:rPr>
            </w:pPr>
            <w:r>
              <w:rPr>
                <w:kern w:val="2"/>
                <w:szCs w:val="21"/>
                <w:u w:val="single"/>
                <w:lang w:val="en-US" w:eastAsia="zh-CN"/>
              </w:rPr>
              <w:t>m</w:t>
            </w:r>
            <w:r>
              <w:rPr>
                <w:kern w:val="2"/>
                <w:szCs w:val="21"/>
                <w:u w:val="single"/>
                <w:vertAlign w:val="superscript"/>
                <w:lang w:val="en-US" w:eastAsia="zh-CN"/>
              </w:rPr>
              <w:t>2</w:t>
            </w:r>
          </w:p>
        </w:tc>
        <w:tc>
          <w:tcPr>
            <w:tcW w:w="900" w:type="dxa"/>
            <w:vAlign w:val="center"/>
          </w:tcPr>
          <w:p>
            <w:pPr>
              <w:pStyle w:val="26"/>
              <w:rPr>
                <w:kern w:val="2"/>
                <w:szCs w:val="21"/>
                <w:u w:val="single"/>
                <w:lang w:val="en-US" w:eastAsia="zh-CN"/>
              </w:rPr>
            </w:pPr>
            <w:r>
              <w:rPr>
                <w:kern w:val="2"/>
                <w:szCs w:val="21"/>
                <w:u w:val="single"/>
                <w:lang w:val="en-US" w:eastAsia="zh-CN"/>
              </w:rPr>
              <w:t>9600</w:t>
            </w:r>
          </w:p>
        </w:tc>
        <w:tc>
          <w:tcPr>
            <w:tcW w:w="56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2栋1F，租赁给其他公司作为生产车间，生产与德科无关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2" w:type="dxa"/>
            <w:vAlign w:val="center"/>
          </w:tcPr>
          <w:p>
            <w:pPr>
              <w:pStyle w:val="26"/>
              <w:rPr>
                <w:kern w:val="2"/>
                <w:szCs w:val="21"/>
                <w:u w:val="single"/>
                <w:lang w:val="en-US" w:eastAsia="zh-CN"/>
              </w:rPr>
            </w:pPr>
            <w:r>
              <w:rPr>
                <w:rFonts w:hint="eastAsia"/>
                <w:kern w:val="2"/>
                <w:szCs w:val="21"/>
                <w:u w:val="single"/>
                <w:lang w:val="en-US" w:eastAsia="zh-CN"/>
              </w:rPr>
              <w:t>6</w:t>
            </w:r>
          </w:p>
        </w:tc>
        <w:tc>
          <w:tcPr>
            <w:tcW w:w="1695" w:type="dxa"/>
            <w:vAlign w:val="center"/>
          </w:tcPr>
          <w:p>
            <w:pPr>
              <w:pStyle w:val="26"/>
              <w:rPr>
                <w:kern w:val="2"/>
                <w:szCs w:val="21"/>
                <w:u w:val="single"/>
                <w:lang w:val="en-US" w:eastAsia="zh-CN"/>
              </w:rPr>
            </w:pPr>
            <w:r>
              <w:rPr>
                <w:rFonts w:hint="eastAsia"/>
                <w:kern w:val="2"/>
                <w:szCs w:val="21"/>
                <w:u w:val="single"/>
                <w:lang w:val="en-US" w:eastAsia="zh-CN"/>
              </w:rPr>
              <w:t>原五金仓库</w:t>
            </w:r>
          </w:p>
        </w:tc>
        <w:tc>
          <w:tcPr>
            <w:tcW w:w="855" w:type="dxa"/>
            <w:vAlign w:val="center"/>
          </w:tcPr>
          <w:p>
            <w:pPr>
              <w:pStyle w:val="26"/>
              <w:rPr>
                <w:kern w:val="2"/>
                <w:szCs w:val="21"/>
                <w:u w:val="single"/>
                <w:lang w:val="en-US" w:eastAsia="zh-CN"/>
              </w:rPr>
            </w:pPr>
            <w:r>
              <w:rPr>
                <w:kern w:val="2"/>
                <w:szCs w:val="21"/>
                <w:u w:val="single"/>
                <w:lang w:val="en-US" w:eastAsia="zh-CN"/>
              </w:rPr>
              <w:t>m</w:t>
            </w:r>
            <w:r>
              <w:rPr>
                <w:kern w:val="2"/>
                <w:szCs w:val="21"/>
                <w:u w:val="single"/>
                <w:vertAlign w:val="superscript"/>
                <w:lang w:val="en-US" w:eastAsia="zh-CN"/>
              </w:rPr>
              <w:t>2</w:t>
            </w:r>
          </w:p>
        </w:tc>
        <w:tc>
          <w:tcPr>
            <w:tcW w:w="900" w:type="dxa"/>
            <w:vAlign w:val="center"/>
          </w:tcPr>
          <w:p>
            <w:pPr>
              <w:pStyle w:val="26"/>
              <w:rPr>
                <w:kern w:val="2"/>
                <w:szCs w:val="21"/>
                <w:u w:val="single"/>
                <w:lang w:val="en-US" w:eastAsia="zh-CN"/>
              </w:rPr>
            </w:pPr>
            <w:r>
              <w:rPr>
                <w:rFonts w:hint="eastAsia"/>
                <w:kern w:val="2"/>
                <w:szCs w:val="21"/>
                <w:u w:val="single"/>
                <w:lang w:val="en-US" w:eastAsia="zh-CN"/>
              </w:rPr>
              <w:t>2772</w:t>
            </w:r>
          </w:p>
        </w:tc>
        <w:tc>
          <w:tcPr>
            <w:tcW w:w="56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4栋，厂房租赁给其他公司作为生产车间，生产与德科无关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2" w:type="dxa"/>
            <w:vAlign w:val="center"/>
          </w:tcPr>
          <w:p>
            <w:pPr>
              <w:pStyle w:val="26"/>
              <w:rPr>
                <w:kern w:val="2"/>
                <w:szCs w:val="21"/>
                <w:u w:val="single"/>
                <w:lang w:val="en-US" w:eastAsia="zh-CN"/>
              </w:rPr>
            </w:pPr>
            <w:r>
              <w:rPr>
                <w:rFonts w:hint="eastAsia"/>
                <w:kern w:val="2"/>
                <w:szCs w:val="21"/>
                <w:u w:val="single"/>
                <w:lang w:val="en-US" w:eastAsia="zh-CN"/>
              </w:rPr>
              <w:t>7</w:t>
            </w:r>
          </w:p>
        </w:tc>
        <w:tc>
          <w:tcPr>
            <w:tcW w:w="1695" w:type="dxa"/>
            <w:vAlign w:val="center"/>
          </w:tcPr>
          <w:p>
            <w:pPr>
              <w:pStyle w:val="26"/>
              <w:rPr>
                <w:kern w:val="2"/>
                <w:szCs w:val="21"/>
                <w:u w:val="single"/>
                <w:lang w:val="en-US" w:eastAsia="zh-CN"/>
              </w:rPr>
            </w:pPr>
            <w:r>
              <w:rPr>
                <w:rFonts w:hint="eastAsia"/>
                <w:kern w:val="2"/>
                <w:szCs w:val="21"/>
                <w:u w:val="single"/>
                <w:lang w:val="en-US" w:eastAsia="zh-CN"/>
              </w:rPr>
              <w:t>原机修车间</w:t>
            </w:r>
          </w:p>
        </w:tc>
        <w:tc>
          <w:tcPr>
            <w:tcW w:w="855" w:type="dxa"/>
            <w:vAlign w:val="center"/>
          </w:tcPr>
          <w:p>
            <w:pPr>
              <w:pStyle w:val="26"/>
              <w:rPr>
                <w:kern w:val="2"/>
                <w:szCs w:val="21"/>
                <w:u w:val="single"/>
                <w:lang w:val="en-US" w:eastAsia="zh-CN"/>
              </w:rPr>
            </w:pPr>
            <w:r>
              <w:rPr>
                <w:kern w:val="2"/>
                <w:szCs w:val="21"/>
                <w:u w:val="single"/>
                <w:lang w:val="en-US" w:eastAsia="zh-CN"/>
              </w:rPr>
              <w:t>m</w:t>
            </w:r>
            <w:r>
              <w:rPr>
                <w:kern w:val="2"/>
                <w:szCs w:val="21"/>
                <w:u w:val="single"/>
                <w:vertAlign w:val="superscript"/>
                <w:lang w:val="en-US" w:eastAsia="zh-CN"/>
              </w:rPr>
              <w:t>2</w:t>
            </w:r>
          </w:p>
        </w:tc>
        <w:tc>
          <w:tcPr>
            <w:tcW w:w="900" w:type="dxa"/>
            <w:vAlign w:val="center"/>
          </w:tcPr>
          <w:p>
            <w:pPr>
              <w:pStyle w:val="26"/>
              <w:rPr>
                <w:kern w:val="2"/>
                <w:szCs w:val="21"/>
                <w:u w:val="single"/>
                <w:lang w:val="en-US" w:eastAsia="zh-CN"/>
              </w:rPr>
            </w:pPr>
            <w:r>
              <w:rPr>
                <w:rFonts w:hint="eastAsia"/>
                <w:kern w:val="2"/>
                <w:szCs w:val="21"/>
                <w:u w:val="single"/>
                <w:lang w:val="en-US" w:eastAsia="zh-CN"/>
              </w:rPr>
              <w:t>4954</w:t>
            </w:r>
          </w:p>
        </w:tc>
        <w:tc>
          <w:tcPr>
            <w:tcW w:w="56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4栋，厂房租赁给其他公司作为生产车间，生产与德科无关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2" w:type="dxa"/>
            <w:vAlign w:val="center"/>
          </w:tcPr>
          <w:p>
            <w:pPr>
              <w:pStyle w:val="26"/>
              <w:rPr>
                <w:kern w:val="2"/>
                <w:szCs w:val="21"/>
                <w:u w:val="single"/>
                <w:lang w:val="en-US" w:eastAsia="zh-CN"/>
              </w:rPr>
            </w:pPr>
            <w:r>
              <w:rPr>
                <w:rFonts w:hint="eastAsia"/>
                <w:kern w:val="2"/>
                <w:szCs w:val="21"/>
                <w:u w:val="single"/>
                <w:lang w:val="en-US" w:eastAsia="zh-CN"/>
              </w:rPr>
              <w:t>8</w:t>
            </w:r>
          </w:p>
        </w:tc>
        <w:tc>
          <w:tcPr>
            <w:tcW w:w="1695" w:type="dxa"/>
            <w:vAlign w:val="center"/>
          </w:tcPr>
          <w:p>
            <w:pPr>
              <w:pStyle w:val="26"/>
              <w:rPr>
                <w:kern w:val="2"/>
                <w:szCs w:val="21"/>
                <w:u w:val="single"/>
                <w:lang w:val="en-US" w:eastAsia="zh-CN"/>
              </w:rPr>
            </w:pPr>
            <w:r>
              <w:rPr>
                <w:rFonts w:hint="eastAsia"/>
                <w:kern w:val="2"/>
                <w:szCs w:val="21"/>
                <w:u w:val="single"/>
                <w:lang w:val="en-US" w:eastAsia="zh-CN"/>
              </w:rPr>
              <w:t>原成品仓库</w:t>
            </w:r>
          </w:p>
        </w:tc>
        <w:tc>
          <w:tcPr>
            <w:tcW w:w="855" w:type="dxa"/>
            <w:vAlign w:val="center"/>
          </w:tcPr>
          <w:p>
            <w:pPr>
              <w:pStyle w:val="26"/>
              <w:rPr>
                <w:kern w:val="2"/>
                <w:szCs w:val="21"/>
                <w:u w:val="single"/>
                <w:lang w:val="en-US" w:eastAsia="zh-CN"/>
              </w:rPr>
            </w:pPr>
            <w:r>
              <w:rPr>
                <w:kern w:val="2"/>
                <w:szCs w:val="21"/>
                <w:u w:val="single"/>
                <w:lang w:val="en-US" w:eastAsia="zh-CN"/>
              </w:rPr>
              <w:t>m</w:t>
            </w:r>
            <w:r>
              <w:rPr>
                <w:kern w:val="2"/>
                <w:szCs w:val="21"/>
                <w:u w:val="single"/>
                <w:vertAlign w:val="superscript"/>
                <w:lang w:val="en-US" w:eastAsia="zh-CN"/>
              </w:rPr>
              <w:t>2</w:t>
            </w:r>
          </w:p>
        </w:tc>
        <w:tc>
          <w:tcPr>
            <w:tcW w:w="900" w:type="dxa"/>
            <w:vAlign w:val="center"/>
          </w:tcPr>
          <w:p>
            <w:pPr>
              <w:pStyle w:val="26"/>
              <w:rPr>
                <w:kern w:val="2"/>
                <w:szCs w:val="21"/>
                <w:u w:val="single"/>
                <w:lang w:val="en-US" w:eastAsia="zh-CN"/>
              </w:rPr>
            </w:pPr>
            <w:r>
              <w:rPr>
                <w:rFonts w:hint="eastAsia"/>
                <w:kern w:val="2"/>
                <w:szCs w:val="21"/>
                <w:u w:val="single"/>
                <w:lang w:val="en-US" w:eastAsia="zh-CN"/>
              </w:rPr>
              <w:t>3025</w:t>
            </w:r>
          </w:p>
        </w:tc>
        <w:tc>
          <w:tcPr>
            <w:tcW w:w="56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2栋，仓库租赁给其他公司作为生产车间，生产与德科无关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2" w:type="dxa"/>
            <w:vAlign w:val="center"/>
          </w:tcPr>
          <w:p>
            <w:pPr>
              <w:pStyle w:val="26"/>
              <w:rPr>
                <w:kern w:val="2"/>
                <w:szCs w:val="21"/>
                <w:u w:val="single"/>
                <w:lang w:val="en-US" w:eastAsia="zh-CN"/>
              </w:rPr>
            </w:pPr>
            <w:r>
              <w:rPr>
                <w:rFonts w:hint="eastAsia"/>
                <w:kern w:val="2"/>
                <w:szCs w:val="21"/>
                <w:u w:val="single"/>
                <w:lang w:val="en-US" w:eastAsia="zh-CN"/>
              </w:rPr>
              <w:t>9</w:t>
            </w:r>
          </w:p>
        </w:tc>
        <w:tc>
          <w:tcPr>
            <w:tcW w:w="1695" w:type="dxa"/>
            <w:vAlign w:val="center"/>
          </w:tcPr>
          <w:p>
            <w:pPr>
              <w:pStyle w:val="26"/>
              <w:rPr>
                <w:kern w:val="2"/>
                <w:szCs w:val="21"/>
                <w:u w:val="single"/>
                <w:lang w:val="en-US" w:eastAsia="zh-CN"/>
              </w:rPr>
            </w:pPr>
            <w:r>
              <w:rPr>
                <w:rFonts w:hint="eastAsia"/>
                <w:kern w:val="2"/>
                <w:szCs w:val="21"/>
                <w:u w:val="single"/>
                <w:lang w:val="en-US" w:eastAsia="zh-CN"/>
              </w:rPr>
              <w:t>锅炉房</w:t>
            </w:r>
          </w:p>
        </w:tc>
        <w:tc>
          <w:tcPr>
            <w:tcW w:w="855" w:type="dxa"/>
            <w:vAlign w:val="center"/>
          </w:tcPr>
          <w:p>
            <w:pPr>
              <w:pStyle w:val="26"/>
              <w:rPr>
                <w:kern w:val="2"/>
                <w:szCs w:val="21"/>
                <w:u w:val="single"/>
                <w:lang w:val="en-US" w:eastAsia="zh-CN"/>
              </w:rPr>
            </w:pPr>
            <w:r>
              <w:rPr>
                <w:kern w:val="2"/>
                <w:szCs w:val="21"/>
                <w:u w:val="single"/>
                <w:lang w:val="en-US" w:eastAsia="zh-CN"/>
              </w:rPr>
              <w:t>m</w:t>
            </w:r>
            <w:r>
              <w:rPr>
                <w:kern w:val="2"/>
                <w:szCs w:val="21"/>
                <w:u w:val="single"/>
                <w:vertAlign w:val="superscript"/>
                <w:lang w:val="en-US" w:eastAsia="zh-CN"/>
              </w:rPr>
              <w:t>2</w:t>
            </w:r>
          </w:p>
        </w:tc>
        <w:tc>
          <w:tcPr>
            <w:tcW w:w="900" w:type="dxa"/>
            <w:vAlign w:val="center"/>
          </w:tcPr>
          <w:p>
            <w:pPr>
              <w:pStyle w:val="26"/>
              <w:rPr>
                <w:kern w:val="2"/>
                <w:szCs w:val="21"/>
                <w:u w:val="single"/>
                <w:lang w:val="en-US" w:eastAsia="zh-CN"/>
              </w:rPr>
            </w:pPr>
            <w:r>
              <w:rPr>
                <w:kern w:val="2"/>
                <w:szCs w:val="21"/>
                <w:u w:val="single"/>
                <w:lang w:val="en-US" w:eastAsia="zh-CN"/>
              </w:rPr>
              <w:t>300</w:t>
            </w:r>
          </w:p>
        </w:tc>
        <w:tc>
          <w:tcPr>
            <w:tcW w:w="56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为印染生产过程提供蒸汽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2" w:type="dxa"/>
            <w:vAlign w:val="center"/>
          </w:tcPr>
          <w:p>
            <w:pPr>
              <w:pStyle w:val="26"/>
              <w:rPr>
                <w:kern w:val="2"/>
                <w:szCs w:val="21"/>
                <w:u w:val="single"/>
                <w:lang w:val="en-US" w:eastAsia="zh-CN"/>
              </w:rPr>
            </w:pPr>
            <w:r>
              <w:rPr>
                <w:rFonts w:hint="eastAsia"/>
                <w:kern w:val="2"/>
                <w:szCs w:val="21"/>
                <w:u w:val="single"/>
                <w:lang w:val="en-US" w:eastAsia="zh-CN"/>
              </w:rPr>
              <w:t>10</w:t>
            </w:r>
          </w:p>
        </w:tc>
        <w:tc>
          <w:tcPr>
            <w:tcW w:w="1695" w:type="dxa"/>
            <w:vAlign w:val="center"/>
          </w:tcPr>
          <w:p>
            <w:pPr>
              <w:pStyle w:val="26"/>
              <w:rPr>
                <w:kern w:val="2"/>
                <w:szCs w:val="21"/>
                <w:u w:val="single"/>
                <w:lang w:val="en-US" w:eastAsia="zh-CN"/>
              </w:rPr>
            </w:pPr>
            <w:r>
              <w:rPr>
                <w:rFonts w:hint="eastAsia"/>
                <w:kern w:val="2"/>
                <w:szCs w:val="21"/>
                <w:u w:val="single"/>
                <w:lang w:val="en-US" w:eastAsia="zh-CN"/>
              </w:rPr>
              <w:t>2#办公楼</w:t>
            </w:r>
          </w:p>
        </w:tc>
        <w:tc>
          <w:tcPr>
            <w:tcW w:w="855" w:type="dxa"/>
            <w:vAlign w:val="center"/>
          </w:tcPr>
          <w:p>
            <w:pPr>
              <w:pStyle w:val="26"/>
              <w:rPr>
                <w:kern w:val="2"/>
                <w:szCs w:val="21"/>
                <w:u w:val="single"/>
                <w:lang w:val="en-US" w:eastAsia="zh-CN"/>
              </w:rPr>
            </w:pPr>
            <w:r>
              <w:rPr>
                <w:kern w:val="2"/>
                <w:szCs w:val="21"/>
                <w:u w:val="single"/>
                <w:lang w:val="en-US" w:eastAsia="zh-CN"/>
              </w:rPr>
              <w:t>m</w:t>
            </w:r>
            <w:r>
              <w:rPr>
                <w:kern w:val="2"/>
                <w:szCs w:val="21"/>
                <w:u w:val="single"/>
                <w:vertAlign w:val="superscript"/>
                <w:lang w:val="en-US" w:eastAsia="zh-CN"/>
              </w:rPr>
              <w:t>2</w:t>
            </w:r>
          </w:p>
        </w:tc>
        <w:tc>
          <w:tcPr>
            <w:tcW w:w="900" w:type="dxa"/>
            <w:vAlign w:val="center"/>
          </w:tcPr>
          <w:p>
            <w:pPr>
              <w:pStyle w:val="26"/>
              <w:rPr>
                <w:kern w:val="2"/>
                <w:szCs w:val="21"/>
                <w:u w:val="single"/>
                <w:lang w:val="en-US" w:eastAsia="zh-CN"/>
              </w:rPr>
            </w:pPr>
            <w:r>
              <w:rPr>
                <w:kern w:val="2"/>
                <w:szCs w:val="21"/>
                <w:u w:val="single"/>
                <w:lang w:val="en-US" w:eastAsia="zh-CN"/>
              </w:rPr>
              <w:t>684</w:t>
            </w:r>
          </w:p>
        </w:tc>
        <w:tc>
          <w:tcPr>
            <w:tcW w:w="56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1F，印染生产区办公楼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2" w:type="dxa"/>
            <w:vAlign w:val="center"/>
          </w:tcPr>
          <w:p>
            <w:pPr>
              <w:pStyle w:val="26"/>
              <w:rPr>
                <w:kern w:val="2"/>
                <w:szCs w:val="21"/>
                <w:u w:val="single"/>
                <w:lang w:val="en-US" w:eastAsia="zh-CN"/>
              </w:rPr>
            </w:pPr>
            <w:r>
              <w:rPr>
                <w:rFonts w:hint="eastAsia"/>
                <w:kern w:val="2"/>
                <w:szCs w:val="21"/>
                <w:u w:val="single"/>
                <w:lang w:val="en-US" w:eastAsia="zh-CN"/>
              </w:rPr>
              <w:t>11</w:t>
            </w:r>
          </w:p>
        </w:tc>
        <w:tc>
          <w:tcPr>
            <w:tcW w:w="1695" w:type="dxa"/>
            <w:vAlign w:val="center"/>
          </w:tcPr>
          <w:p>
            <w:pPr>
              <w:pStyle w:val="26"/>
              <w:rPr>
                <w:kern w:val="2"/>
                <w:szCs w:val="21"/>
                <w:u w:val="single"/>
                <w:lang w:val="en-US" w:eastAsia="zh-CN"/>
              </w:rPr>
            </w:pPr>
            <w:r>
              <w:rPr>
                <w:rFonts w:hint="eastAsia"/>
                <w:kern w:val="2"/>
                <w:szCs w:val="21"/>
                <w:u w:val="single"/>
                <w:lang w:val="en-US" w:eastAsia="zh-CN"/>
              </w:rPr>
              <w:t>1#办公楼</w:t>
            </w:r>
          </w:p>
        </w:tc>
        <w:tc>
          <w:tcPr>
            <w:tcW w:w="855" w:type="dxa"/>
            <w:vAlign w:val="center"/>
          </w:tcPr>
          <w:p>
            <w:pPr>
              <w:pStyle w:val="26"/>
              <w:rPr>
                <w:kern w:val="2"/>
                <w:szCs w:val="21"/>
                <w:u w:val="single"/>
                <w:lang w:val="en-US" w:eastAsia="zh-CN"/>
              </w:rPr>
            </w:pPr>
            <w:r>
              <w:rPr>
                <w:kern w:val="2"/>
                <w:szCs w:val="21"/>
                <w:u w:val="single"/>
                <w:lang w:val="en-US" w:eastAsia="zh-CN"/>
              </w:rPr>
              <w:t>m</w:t>
            </w:r>
            <w:r>
              <w:rPr>
                <w:kern w:val="2"/>
                <w:szCs w:val="21"/>
                <w:u w:val="single"/>
                <w:vertAlign w:val="superscript"/>
                <w:lang w:val="en-US" w:eastAsia="zh-CN"/>
              </w:rPr>
              <w:t>2</w:t>
            </w:r>
          </w:p>
        </w:tc>
        <w:tc>
          <w:tcPr>
            <w:tcW w:w="900" w:type="dxa"/>
            <w:vAlign w:val="center"/>
          </w:tcPr>
          <w:p>
            <w:pPr>
              <w:pStyle w:val="26"/>
              <w:rPr>
                <w:kern w:val="2"/>
                <w:szCs w:val="21"/>
                <w:u w:val="single"/>
                <w:lang w:val="en-US" w:eastAsia="zh-CN"/>
              </w:rPr>
            </w:pPr>
            <w:r>
              <w:rPr>
                <w:rFonts w:hint="eastAsia"/>
                <w:kern w:val="2"/>
                <w:szCs w:val="21"/>
                <w:u w:val="single"/>
                <w:lang w:val="en-US" w:eastAsia="zh-CN"/>
              </w:rPr>
              <w:t>2000</w:t>
            </w:r>
          </w:p>
        </w:tc>
        <w:tc>
          <w:tcPr>
            <w:tcW w:w="56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德科综合办公楼</w:t>
            </w:r>
          </w:p>
        </w:tc>
      </w:tr>
    </w:tbl>
    <w:p>
      <w:pPr>
        <w:pStyle w:val="26"/>
        <w:rPr>
          <w:b/>
          <w:bCs/>
          <w:u w:val="single"/>
        </w:rPr>
      </w:pPr>
      <w:r>
        <w:rPr>
          <w:rFonts w:hint="eastAsia"/>
          <w:b/>
          <w:bCs/>
          <w:u w:val="single"/>
        </w:rPr>
        <w:t>表</w:t>
      </w:r>
      <w:r>
        <w:rPr>
          <w:b/>
          <w:bCs/>
          <w:u w:val="single"/>
        </w:rPr>
        <w:t xml:space="preserve">3.2-2 </w:t>
      </w:r>
      <w:r>
        <w:rPr>
          <w:rFonts w:hint="eastAsia"/>
          <w:b/>
          <w:bCs/>
          <w:u w:val="single"/>
        </w:rPr>
        <w:t>现有项目组成一览表</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254"/>
        <w:gridCol w:w="4515"/>
        <w:gridCol w:w="2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83" w:type="dxa"/>
            <w:vAlign w:val="center"/>
          </w:tcPr>
          <w:p>
            <w:pPr>
              <w:pStyle w:val="26"/>
              <w:rPr>
                <w:kern w:val="2"/>
                <w:szCs w:val="21"/>
                <w:u w:val="single"/>
                <w:lang w:val="en-US" w:eastAsia="zh-CN"/>
              </w:rPr>
            </w:pPr>
            <w:r>
              <w:rPr>
                <w:rFonts w:hint="eastAsia"/>
                <w:kern w:val="2"/>
                <w:szCs w:val="21"/>
                <w:u w:val="single"/>
                <w:lang w:val="en-US" w:eastAsia="zh-CN"/>
              </w:rPr>
              <w:t>类别</w:t>
            </w:r>
          </w:p>
        </w:tc>
        <w:tc>
          <w:tcPr>
            <w:tcW w:w="1254" w:type="dxa"/>
            <w:vAlign w:val="center"/>
          </w:tcPr>
          <w:p>
            <w:pPr>
              <w:pStyle w:val="26"/>
              <w:rPr>
                <w:kern w:val="2"/>
                <w:szCs w:val="21"/>
                <w:u w:val="single"/>
                <w:lang w:val="en-US" w:eastAsia="zh-CN"/>
              </w:rPr>
            </w:pPr>
            <w:r>
              <w:rPr>
                <w:rFonts w:hint="eastAsia"/>
                <w:kern w:val="2"/>
                <w:szCs w:val="21"/>
                <w:u w:val="single"/>
                <w:lang w:val="en-US" w:eastAsia="zh-CN"/>
              </w:rPr>
              <w:t>名称</w:t>
            </w:r>
          </w:p>
        </w:tc>
        <w:tc>
          <w:tcPr>
            <w:tcW w:w="4515" w:type="dxa"/>
            <w:vAlign w:val="center"/>
          </w:tcPr>
          <w:p>
            <w:pPr>
              <w:pStyle w:val="26"/>
              <w:spacing w:line="240" w:lineRule="auto"/>
              <w:rPr>
                <w:kern w:val="2"/>
                <w:szCs w:val="21"/>
                <w:u w:val="single"/>
                <w:lang w:val="en-US" w:eastAsia="zh-CN"/>
              </w:rPr>
            </w:pPr>
            <w:r>
              <w:rPr>
                <w:rFonts w:hint="eastAsia"/>
                <w:kern w:val="2"/>
                <w:szCs w:val="21"/>
                <w:u w:val="single"/>
                <w:lang w:val="en-US" w:eastAsia="zh-CN"/>
              </w:rPr>
              <w:t>内容</w:t>
            </w:r>
          </w:p>
        </w:tc>
        <w:tc>
          <w:tcPr>
            <w:tcW w:w="2702" w:type="dxa"/>
            <w:vAlign w:val="center"/>
          </w:tcPr>
          <w:p>
            <w:pPr>
              <w:pStyle w:val="26"/>
              <w:spacing w:line="240" w:lineRule="auto"/>
              <w:rPr>
                <w:kern w:val="2"/>
                <w:szCs w:val="21"/>
                <w:u w:val="single"/>
                <w:lang w:val="en-US" w:eastAsia="zh-CN"/>
              </w:rPr>
            </w:pPr>
            <w:r>
              <w:rPr>
                <w:rFonts w:hint="eastAsia"/>
                <w:kern w:val="2"/>
                <w:szCs w:val="21"/>
                <w:u w:val="singl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3" w:type="dxa"/>
            <w:vAlign w:val="center"/>
          </w:tcPr>
          <w:p>
            <w:pPr>
              <w:pStyle w:val="26"/>
              <w:rPr>
                <w:kern w:val="2"/>
                <w:szCs w:val="21"/>
                <w:u w:val="single"/>
                <w:lang w:val="en-US" w:eastAsia="zh-CN"/>
              </w:rPr>
            </w:pPr>
            <w:r>
              <w:rPr>
                <w:rFonts w:hint="eastAsia"/>
                <w:kern w:val="2"/>
                <w:szCs w:val="21"/>
                <w:u w:val="single"/>
                <w:lang w:val="en-US" w:eastAsia="zh-CN"/>
              </w:rPr>
              <w:t>主体工程</w:t>
            </w:r>
          </w:p>
        </w:tc>
        <w:tc>
          <w:tcPr>
            <w:tcW w:w="1254" w:type="dxa"/>
            <w:vAlign w:val="center"/>
          </w:tcPr>
          <w:p>
            <w:pPr>
              <w:pStyle w:val="26"/>
              <w:spacing w:line="240" w:lineRule="auto"/>
              <w:rPr>
                <w:kern w:val="2"/>
                <w:szCs w:val="21"/>
                <w:u w:val="single"/>
                <w:lang w:val="en-US" w:eastAsia="zh-CN"/>
              </w:rPr>
            </w:pPr>
            <w:r>
              <w:rPr>
                <w:rFonts w:hint="eastAsia"/>
                <w:kern w:val="2"/>
                <w:szCs w:val="21"/>
                <w:u w:val="single"/>
                <w:lang w:val="en-US" w:eastAsia="zh-CN"/>
              </w:rPr>
              <w:t>生产车间</w:t>
            </w:r>
          </w:p>
        </w:tc>
        <w:tc>
          <w:tcPr>
            <w:tcW w:w="4515" w:type="dxa"/>
            <w:vAlign w:val="center"/>
          </w:tcPr>
          <w:p>
            <w:pPr>
              <w:pStyle w:val="26"/>
              <w:spacing w:line="240" w:lineRule="auto"/>
              <w:rPr>
                <w:kern w:val="2"/>
                <w:szCs w:val="21"/>
                <w:u w:val="single"/>
                <w:lang w:val="en-US" w:eastAsia="zh-CN"/>
              </w:rPr>
            </w:pPr>
            <w:r>
              <w:rPr>
                <w:rFonts w:hint="eastAsia"/>
                <w:kern w:val="2"/>
                <w:szCs w:val="21"/>
                <w:u w:val="single"/>
                <w:lang w:val="en-US" w:eastAsia="zh-CN"/>
              </w:rPr>
              <w:t>共有4个生产车间，其中1个为纺纱车间、2个为织布车间（现已外租）、1个印染车间</w:t>
            </w:r>
          </w:p>
        </w:tc>
        <w:tc>
          <w:tcPr>
            <w:tcW w:w="2702" w:type="dxa"/>
            <w:vAlign w:val="center"/>
          </w:tcPr>
          <w:p>
            <w:pPr>
              <w:pStyle w:val="26"/>
              <w:spacing w:line="240" w:lineRule="auto"/>
              <w:rPr>
                <w:kern w:val="2"/>
                <w:szCs w:val="21"/>
                <w:u w:val="single"/>
                <w:lang w:val="en-US" w:eastAsia="zh-CN"/>
              </w:rPr>
            </w:pPr>
            <w:r>
              <w:rPr>
                <w:rFonts w:hint="eastAsia"/>
                <w:kern w:val="2"/>
                <w:szCs w:val="21"/>
                <w:u w:val="single"/>
                <w:lang w:val="en-US" w:eastAsia="zh-CN"/>
              </w:rPr>
              <w:t>其中织布车间已外租给其他企业作为生产用房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3" w:type="dxa"/>
            <w:vMerge w:val="restart"/>
            <w:vAlign w:val="center"/>
          </w:tcPr>
          <w:p>
            <w:pPr>
              <w:pStyle w:val="26"/>
              <w:rPr>
                <w:kern w:val="2"/>
                <w:szCs w:val="21"/>
                <w:u w:val="single"/>
                <w:lang w:val="en-US" w:eastAsia="zh-CN"/>
              </w:rPr>
            </w:pPr>
            <w:r>
              <w:rPr>
                <w:rFonts w:hint="eastAsia"/>
                <w:kern w:val="2"/>
                <w:szCs w:val="21"/>
                <w:u w:val="single"/>
                <w:lang w:val="en-US" w:eastAsia="zh-CN"/>
              </w:rPr>
              <w:t>辅助工程</w:t>
            </w:r>
          </w:p>
        </w:tc>
        <w:tc>
          <w:tcPr>
            <w:tcW w:w="1254" w:type="dxa"/>
            <w:vAlign w:val="center"/>
          </w:tcPr>
          <w:p>
            <w:pPr>
              <w:pStyle w:val="26"/>
              <w:rPr>
                <w:kern w:val="2"/>
                <w:szCs w:val="21"/>
                <w:u w:val="single"/>
                <w:lang w:val="en-US" w:eastAsia="zh-CN"/>
              </w:rPr>
            </w:pPr>
            <w:r>
              <w:rPr>
                <w:rFonts w:hint="eastAsia"/>
                <w:kern w:val="2"/>
                <w:szCs w:val="21"/>
                <w:u w:val="single"/>
                <w:lang w:val="en-US" w:eastAsia="zh-CN"/>
              </w:rPr>
              <w:t>办公楼</w:t>
            </w:r>
          </w:p>
        </w:tc>
        <w:tc>
          <w:tcPr>
            <w:tcW w:w="4515" w:type="dxa"/>
            <w:vAlign w:val="center"/>
          </w:tcPr>
          <w:p>
            <w:pPr>
              <w:pStyle w:val="26"/>
              <w:spacing w:line="240" w:lineRule="auto"/>
              <w:rPr>
                <w:kern w:val="2"/>
                <w:szCs w:val="21"/>
                <w:u w:val="single"/>
                <w:lang w:val="en-US" w:eastAsia="zh-CN"/>
              </w:rPr>
            </w:pPr>
            <w:r>
              <w:rPr>
                <w:rFonts w:hint="eastAsia"/>
                <w:kern w:val="2"/>
                <w:szCs w:val="21"/>
                <w:u w:val="single"/>
                <w:lang w:val="en-US" w:eastAsia="zh-CN"/>
              </w:rPr>
              <w:t>共有2栋办公楼，其中1栋位于场地东部为综合办公楼、1栋位于印染车间东侧的办公楼为印染生产区办公楼</w:t>
            </w:r>
          </w:p>
        </w:tc>
        <w:tc>
          <w:tcPr>
            <w:tcW w:w="2702" w:type="dxa"/>
            <w:vAlign w:val="center"/>
          </w:tcPr>
          <w:p>
            <w:pPr>
              <w:pStyle w:val="26"/>
              <w:spacing w:line="240" w:lineRule="auto"/>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3" w:type="dxa"/>
            <w:vMerge w:val="continue"/>
            <w:vAlign w:val="center"/>
          </w:tcPr>
          <w:p>
            <w:pPr>
              <w:pStyle w:val="26"/>
              <w:rPr>
                <w:kern w:val="2"/>
                <w:szCs w:val="21"/>
                <w:u w:val="single"/>
                <w:lang w:val="en-US" w:eastAsia="zh-CN"/>
              </w:rPr>
            </w:pPr>
          </w:p>
        </w:tc>
        <w:tc>
          <w:tcPr>
            <w:tcW w:w="1254" w:type="dxa"/>
            <w:vAlign w:val="center"/>
          </w:tcPr>
          <w:p>
            <w:pPr>
              <w:pStyle w:val="26"/>
              <w:rPr>
                <w:kern w:val="2"/>
                <w:szCs w:val="21"/>
                <w:u w:val="single"/>
                <w:lang w:val="en-US" w:eastAsia="zh-CN"/>
              </w:rPr>
            </w:pPr>
            <w:r>
              <w:rPr>
                <w:rFonts w:hint="eastAsia"/>
                <w:kern w:val="2"/>
                <w:szCs w:val="21"/>
                <w:u w:val="single"/>
                <w:lang w:val="en-US" w:eastAsia="zh-CN"/>
              </w:rPr>
              <w:t>锅炉房</w:t>
            </w:r>
          </w:p>
        </w:tc>
        <w:tc>
          <w:tcPr>
            <w:tcW w:w="4515" w:type="dxa"/>
            <w:vAlign w:val="center"/>
          </w:tcPr>
          <w:p>
            <w:pPr>
              <w:pStyle w:val="26"/>
              <w:spacing w:line="240" w:lineRule="auto"/>
              <w:rPr>
                <w:kern w:val="2"/>
                <w:szCs w:val="21"/>
                <w:u w:val="single"/>
                <w:lang w:val="en-US" w:eastAsia="zh-CN"/>
              </w:rPr>
            </w:pPr>
            <w:r>
              <w:rPr>
                <w:rFonts w:hint="eastAsia"/>
                <w:kern w:val="2"/>
                <w:szCs w:val="21"/>
                <w:u w:val="single"/>
                <w:lang w:val="en-US" w:eastAsia="zh-CN"/>
              </w:rPr>
              <w:t>设有2台燃煤锅炉，其中1台为6.5t/h蒸汽锅炉、1台4吨导热油锅炉</w:t>
            </w:r>
          </w:p>
        </w:tc>
        <w:tc>
          <w:tcPr>
            <w:tcW w:w="2702" w:type="dxa"/>
            <w:vAlign w:val="center"/>
          </w:tcPr>
          <w:p>
            <w:pPr>
              <w:pStyle w:val="26"/>
              <w:spacing w:line="240" w:lineRule="auto"/>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3" w:type="dxa"/>
            <w:vMerge w:val="continue"/>
            <w:vAlign w:val="center"/>
          </w:tcPr>
          <w:p>
            <w:pPr>
              <w:pStyle w:val="26"/>
              <w:rPr>
                <w:kern w:val="2"/>
                <w:szCs w:val="21"/>
                <w:u w:val="single"/>
                <w:lang w:val="en-US" w:eastAsia="zh-CN"/>
              </w:rPr>
            </w:pPr>
          </w:p>
        </w:tc>
        <w:tc>
          <w:tcPr>
            <w:tcW w:w="1254" w:type="dxa"/>
            <w:vAlign w:val="center"/>
          </w:tcPr>
          <w:p>
            <w:pPr>
              <w:pStyle w:val="26"/>
              <w:rPr>
                <w:kern w:val="2"/>
                <w:szCs w:val="21"/>
                <w:u w:val="single"/>
                <w:lang w:val="en-US" w:eastAsia="zh-CN"/>
              </w:rPr>
            </w:pPr>
            <w:r>
              <w:rPr>
                <w:rFonts w:hint="eastAsia"/>
                <w:kern w:val="2"/>
                <w:szCs w:val="21"/>
                <w:u w:val="single"/>
                <w:lang w:val="en-US" w:eastAsia="zh-CN"/>
              </w:rPr>
              <w:t>仓库</w:t>
            </w:r>
          </w:p>
        </w:tc>
        <w:tc>
          <w:tcPr>
            <w:tcW w:w="4515" w:type="dxa"/>
            <w:vAlign w:val="center"/>
          </w:tcPr>
          <w:p>
            <w:pPr>
              <w:pStyle w:val="26"/>
              <w:spacing w:line="240" w:lineRule="auto"/>
              <w:rPr>
                <w:kern w:val="2"/>
                <w:szCs w:val="21"/>
                <w:u w:val="single"/>
                <w:lang w:val="en-US" w:eastAsia="zh-CN"/>
              </w:rPr>
            </w:pPr>
            <w:r>
              <w:rPr>
                <w:rFonts w:hint="eastAsia"/>
                <w:kern w:val="2"/>
                <w:szCs w:val="21"/>
                <w:u w:val="single"/>
                <w:lang w:val="en-US" w:eastAsia="zh-CN"/>
              </w:rPr>
              <w:t>共设有7栋，其中2栋原料仓库、2栋成品仓库、4栋五金仓库</w:t>
            </w:r>
          </w:p>
        </w:tc>
        <w:tc>
          <w:tcPr>
            <w:tcW w:w="2702" w:type="dxa"/>
            <w:vAlign w:val="center"/>
          </w:tcPr>
          <w:p>
            <w:pPr>
              <w:pStyle w:val="26"/>
              <w:spacing w:line="240" w:lineRule="auto"/>
              <w:rPr>
                <w:kern w:val="2"/>
                <w:szCs w:val="21"/>
                <w:u w:val="single"/>
                <w:lang w:val="en-US" w:eastAsia="zh-CN"/>
              </w:rPr>
            </w:pPr>
            <w:r>
              <w:rPr>
                <w:rFonts w:hint="eastAsia"/>
                <w:kern w:val="2"/>
                <w:szCs w:val="21"/>
                <w:u w:val="single"/>
                <w:lang w:val="en-US" w:eastAsia="zh-CN"/>
              </w:rPr>
              <w:t>现均已外租，不作为德科现有项目仓库使用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3" w:type="dxa"/>
            <w:vMerge w:val="continue"/>
            <w:vAlign w:val="center"/>
          </w:tcPr>
          <w:p>
            <w:pPr>
              <w:pStyle w:val="26"/>
              <w:rPr>
                <w:kern w:val="2"/>
                <w:szCs w:val="21"/>
                <w:u w:val="single"/>
                <w:lang w:val="en-US" w:eastAsia="zh-CN"/>
              </w:rPr>
            </w:pPr>
          </w:p>
        </w:tc>
        <w:tc>
          <w:tcPr>
            <w:tcW w:w="1254" w:type="dxa"/>
            <w:vAlign w:val="center"/>
          </w:tcPr>
          <w:p>
            <w:pPr>
              <w:pStyle w:val="26"/>
              <w:rPr>
                <w:kern w:val="2"/>
                <w:szCs w:val="21"/>
                <w:u w:val="single"/>
                <w:lang w:val="en-US" w:eastAsia="zh-CN"/>
              </w:rPr>
            </w:pPr>
            <w:r>
              <w:rPr>
                <w:rFonts w:hint="eastAsia"/>
                <w:kern w:val="2"/>
                <w:szCs w:val="21"/>
                <w:u w:val="single"/>
                <w:lang w:val="en-US" w:eastAsia="zh-CN"/>
              </w:rPr>
              <w:t>机修车间</w:t>
            </w:r>
          </w:p>
        </w:tc>
        <w:tc>
          <w:tcPr>
            <w:tcW w:w="4515" w:type="dxa"/>
            <w:vAlign w:val="center"/>
          </w:tcPr>
          <w:p>
            <w:pPr>
              <w:pStyle w:val="26"/>
              <w:spacing w:line="240" w:lineRule="auto"/>
              <w:rPr>
                <w:kern w:val="2"/>
                <w:szCs w:val="21"/>
                <w:u w:val="single"/>
                <w:lang w:val="en-US" w:eastAsia="zh-CN"/>
              </w:rPr>
            </w:pPr>
            <w:r>
              <w:rPr>
                <w:rFonts w:hint="eastAsia"/>
                <w:kern w:val="2"/>
                <w:szCs w:val="21"/>
                <w:u w:val="single"/>
                <w:lang w:val="en-US" w:eastAsia="zh-CN"/>
              </w:rPr>
              <w:t>共4栋</w:t>
            </w:r>
          </w:p>
        </w:tc>
        <w:tc>
          <w:tcPr>
            <w:tcW w:w="2702" w:type="dxa"/>
            <w:vAlign w:val="center"/>
          </w:tcPr>
          <w:p>
            <w:pPr>
              <w:pStyle w:val="26"/>
              <w:spacing w:line="240" w:lineRule="auto"/>
              <w:rPr>
                <w:kern w:val="2"/>
                <w:szCs w:val="21"/>
                <w:u w:val="single"/>
                <w:lang w:val="en-US" w:eastAsia="zh-CN"/>
              </w:rPr>
            </w:pPr>
            <w:r>
              <w:rPr>
                <w:rFonts w:hint="eastAsia"/>
                <w:kern w:val="2"/>
                <w:szCs w:val="21"/>
                <w:u w:val="single"/>
                <w:lang w:val="en-US" w:eastAsia="zh-CN"/>
              </w:rPr>
              <w:t>现均已外租，不作为德科现有项目生产使用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3" w:type="dxa"/>
            <w:vMerge w:val="restart"/>
            <w:vAlign w:val="center"/>
          </w:tcPr>
          <w:p>
            <w:pPr>
              <w:pStyle w:val="26"/>
              <w:rPr>
                <w:kern w:val="2"/>
                <w:szCs w:val="21"/>
                <w:u w:val="single"/>
                <w:lang w:val="en-US" w:eastAsia="zh-CN"/>
              </w:rPr>
            </w:pPr>
            <w:r>
              <w:rPr>
                <w:rFonts w:hint="eastAsia"/>
                <w:kern w:val="2"/>
                <w:szCs w:val="21"/>
                <w:u w:val="single"/>
                <w:lang w:val="en-US" w:eastAsia="zh-CN"/>
              </w:rPr>
              <w:t>公用工程</w:t>
            </w:r>
          </w:p>
        </w:tc>
        <w:tc>
          <w:tcPr>
            <w:tcW w:w="1254" w:type="dxa"/>
            <w:vAlign w:val="center"/>
          </w:tcPr>
          <w:p>
            <w:pPr>
              <w:pStyle w:val="26"/>
              <w:rPr>
                <w:kern w:val="2"/>
                <w:szCs w:val="21"/>
                <w:u w:val="single"/>
                <w:lang w:val="en-US" w:eastAsia="zh-CN"/>
              </w:rPr>
            </w:pPr>
            <w:r>
              <w:rPr>
                <w:rFonts w:hint="eastAsia"/>
                <w:kern w:val="2"/>
                <w:szCs w:val="21"/>
                <w:u w:val="single"/>
                <w:lang w:val="en-US" w:eastAsia="zh-CN"/>
              </w:rPr>
              <w:t>给水</w:t>
            </w:r>
          </w:p>
        </w:tc>
        <w:tc>
          <w:tcPr>
            <w:tcW w:w="7217" w:type="dxa"/>
            <w:gridSpan w:val="2"/>
            <w:vAlign w:val="center"/>
          </w:tcPr>
          <w:p>
            <w:pPr>
              <w:pStyle w:val="26"/>
              <w:spacing w:line="240" w:lineRule="auto"/>
              <w:rPr>
                <w:kern w:val="2"/>
                <w:szCs w:val="21"/>
                <w:u w:val="single"/>
                <w:lang w:val="en-US" w:eastAsia="zh-CN"/>
              </w:rPr>
            </w:pPr>
            <w:r>
              <w:rPr>
                <w:rFonts w:hint="eastAsia"/>
                <w:kern w:val="2"/>
                <w:szCs w:val="21"/>
                <w:u w:val="single"/>
                <w:lang w:val="en-US" w:eastAsia="zh-CN"/>
              </w:rPr>
              <w:t>由地下水井供水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3" w:type="dxa"/>
            <w:vMerge w:val="continue"/>
            <w:vAlign w:val="center"/>
          </w:tcPr>
          <w:p>
            <w:pPr>
              <w:pStyle w:val="26"/>
              <w:rPr>
                <w:kern w:val="2"/>
                <w:szCs w:val="21"/>
                <w:u w:val="single"/>
                <w:lang w:val="en-US" w:eastAsia="zh-CN"/>
              </w:rPr>
            </w:pPr>
          </w:p>
        </w:tc>
        <w:tc>
          <w:tcPr>
            <w:tcW w:w="1254" w:type="dxa"/>
            <w:vAlign w:val="center"/>
          </w:tcPr>
          <w:p>
            <w:pPr>
              <w:pStyle w:val="26"/>
              <w:rPr>
                <w:kern w:val="2"/>
                <w:szCs w:val="21"/>
                <w:u w:val="single"/>
                <w:lang w:val="en-US" w:eastAsia="zh-CN"/>
              </w:rPr>
            </w:pPr>
            <w:r>
              <w:rPr>
                <w:rFonts w:hint="eastAsia"/>
                <w:kern w:val="2"/>
                <w:szCs w:val="21"/>
                <w:u w:val="single"/>
                <w:lang w:val="en-US" w:eastAsia="zh-CN"/>
              </w:rPr>
              <w:t>排水</w:t>
            </w:r>
          </w:p>
        </w:tc>
        <w:tc>
          <w:tcPr>
            <w:tcW w:w="7217" w:type="dxa"/>
            <w:gridSpan w:val="2"/>
            <w:vAlign w:val="center"/>
          </w:tcPr>
          <w:p>
            <w:pPr>
              <w:pStyle w:val="26"/>
              <w:spacing w:line="240" w:lineRule="auto"/>
              <w:jc w:val="both"/>
              <w:rPr>
                <w:kern w:val="2"/>
                <w:szCs w:val="21"/>
                <w:u w:val="single"/>
                <w:lang w:val="en-US" w:eastAsia="zh-CN"/>
              </w:rPr>
            </w:pPr>
            <w:r>
              <w:rPr>
                <w:rFonts w:hint="eastAsia"/>
                <w:kern w:val="2"/>
                <w:szCs w:val="21"/>
                <w:u w:val="single"/>
                <w:lang w:val="en-US" w:eastAsia="zh-CN"/>
              </w:rPr>
              <w:t>实行雨污分流，现有</w:t>
            </w:r>
            <w:r>
              <w:rPr>
                <w:kern w:val="2"/>
                <w:szCs w:val="21"/>
                <w:u w:val="single"/>
                <w:lang w:val="en-US" w:eastAsia="zh-CN"/>
              </w:rPr>
              <w:t>1</w:t>
            </w:r>
            <w:r>
              <w:rPr>
                <w:rFonts w:hint="eastAsia"/>
                <w:kern w:val="2"/>
                <w:szCs w:val="21"/>
                <w:u w:val="single"/>
                <w:lang w:val="en-US" w:eastAsia="zh-CN"/>
              </w:rPr>
              <w:t>套日处理能力为2000吨的印染废水污水处理设施。雨水经厂区雨水管道收集后排入市政雨水管道进入湘江；印染废水经厂区污水处理站处理后排入氧化塘进一步处理，处理达标后排入湘江；生活污水经化粪池处理后排入营田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3" w:type="dxa"/>
            <w:vMerge w:val="continue"/>
            <w:vAlign w:val="center"/>
          </w:tcPr>
          <w:p>
            <w:pPr>
              <w:pStyle w:val="26"/>
              <w:rPr>
                <w:kern w:val="2"/>
                <w:szCs w:val="21"/>
                <w:u w:val="single"/>
                <w:lang w:val="en-US" w:eastAsia="zh-CN"/>
              </w:rPr>
            </w:pPr>
          </w:p>
        </w:tc>
        <w:tc>
          <w:tcPr>
            <w:tcW w:w="1254" w:type="dxa"/>
            <w:vAlign w:val="center"/>
          </w:tcPr>
          <w:p>
            <w:pPr>
              <w:pStyle w:val="26"/>
              <w:rPr>
                <w:kern w:val="2"/>
                <w:szCs w:val="21"/>
                <w:u w:val="single"/>
                <w:lang w:val="en-US" w:eastAsia="zh-CN"/>
              </w:rPr>
            </w:pPr>
            <w:r>
              <w:rPr>
                <w:rFonts w:hint="eastAsia"/>
                <w:kern w:val="2"/>
                <w:szCs w:val="21"/>
                <w:u w:val="single"/>
                <w:lang w:val="en-US" w:eastAsia="zh-CN"/>
              </w:rPr>
              <w:t>供电</w:t>
            </w:r>
          </w:p>
        </w:tc>
        <w:tc>
          <w:tcPr>
            <w:tcW w:w="7217" w:type="dxa"/>
            <w:gridSpan w:val="2"/>
            <w:vAlign w:val="center"/>
          </w:tcPr>
          <w:p>
            <w:pPr>
              <w:pStyle w:val="26"/>
              <w:spacing w:line="240" w:lineRule="auto"/>
              <w:rPr>
                <w:kern w:val="2"/>
                <w:szCs w:val="21"/>
                <w:u w:val="single"/>
                <w:lang w:val="en-US" w:eastAsia="zh-CN"/>
              </w:rPr>
            </w:pPr>
            <w:r>
              <w:rPr>
                <w:rFonts w:hint="eastAsia"/>
                <w:kern w:val="2"/>
                <w:szCs w:val="21"/>
                <w:u w:val="single"/>
                <w:lang w:val="en-US" w:eastAsia="zh-CN"/>
              </w:rPr>
              <w:t>由市政供电管网供电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3" w:type="dxa"/>
            <w:vMerge w:val="continue"/>
            <w:vAlign w:val="center"/>
          </w:tcPr>
          <w:p>
            <w:pPr>
              <w:pStyle w:val="26"/>
              <w:rPr>
                <w:kern w:val="2"/>
                <w:szCs w:val="21"/>
                <w:u w:val="single"/>
                <w:lang w:val="en-US" w:eastAsia="zh-CN"/>
              </w:rPr>
            </w:pPr>
          </w:p>
        </w:tc>
        <w:tc>
          <w:tcPr>
            <w:tcW w:w="1254" w:type="dxa"/>
            <w:vAlign w:val="center"/>
          </w:tcPr>
          <w:p>
            <w:pPr>
              <w:pStyle w:val="26"/>
              <w:spacing w:line="240" w:lineRule="auto"/>
              <w:rPr>
                <w:kern w:val="2"/>
                <w:szCs w:val="21"/>
                <w:u w:val="single"/>
                <w:lang w:val="en-US" w:eastAsia="zh-CN"/>
              </w:rPr>
            </w:pPr>
            <w:r>
              <w:rPr>
                <w:rFonts w:hint="eastAsia"/>
                <w:kern w:val="2"/>
                <w:szCs w:val="21"/>
                <w:u w:val="single"/>
                <w:lang w:val="en-US" w:eastAsia="zh-CN"/>
              </w:rPr>
              <w:t>供热</w:t>
            </w:r>
          </w:p>
        </w:tc>
        <w:tc>
          <w:tcPr>
            <w:tcW w:w="7217" w:type="dxa"/>
            <w:gridSpan w:val="2"/>
            <w:vAlign w:val="center"/>
          </w:tcPr>
          <w:p>
            <w:pPr>
              <w:pStyle w:val="26"/>
              <w:spacing w:line="240" w:lineRule="auto"/>
              <w:rPr>
                <w:kern w:val="2"/>
                <w:szCs w:val="21"/>
                <w:u w:val="single"/>
                <w:lang w:val="en-US" w:eastAsia="zh-CN"/>
              </w:rPr>
            </w:pPr>
            <w:r>
              <w:rPr>
                <w:rFonts w:hint="eastAsia"/>
                <w:kern w:val="2"/>
                <w:szCs w:val="21"/>
                <w:u w:val="single"/>
                <w:lang w:val="en-US" w:eastAsia="zh-CN"/>
              </w:rPr>
              <w:t>厂区设有锅炉房，由</w:t>
            </w:r>
            <w:r>
              <w:rPr>
                <w:kern w:val="2"/>
                <w:szCs w:val="21"/>
                <w:u w:val="single"/>
                <w:lang w:val="en-US" w:eastAsia="zh-CN"/>
              </w:rPr>
              <w:t>6.5</w:t>
            </w:r>
            <w:r>
              <w:rPr>
                <w:rFonts w:hint="eastAsia"/>
                <w:kern w:val="2"/>
                <w:szCs w:val="21"/>
                <w:u w:val="single"/>
                <w:lang w:val="en-US" w:eastAsia="zh-CN"/>
              </w:rPr>
              <w:t>吨燃煤锅炉供应印染所需蒸汽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3" w:type="dxa"/>
            <w:vMerge w:val="restart"/>
            <w:vAlign w:val="center"/>
          </w:tcPr>
          <w:p>
            <w:pPr>
              <w:pStyle w:val="26"/>
              <w:rPr>
                <w:kern w:val="2"/>
                <w:szCs w:val="21"/>
                <w:u w:val="single"/>
                <w:lang w:val="en-US" w:eastAsia="zh-CN"/>
              </w:rPr>
            </w:pPr>
            <w:r>
              <w:rPr>
                <w:rFonts w:hint="eastAsia"/>
                <w:kern w:val="2"/>
                <w:szCs w:val="21"/>
                <w:u w:val="single"/>
                <w:lang w:val="en-US" w:eastAsia="zh-CN"/>
              </w:rPr>
              <w:t>环保工程</w:t>
            </w:r>
          </w:p>
        </w:tc>
        <w:tc>
          <w:tcPr>
            <w:tcW w:w="1254" w:type="dxa"/>
            <w:vAlign w:val="center"/>
          </w:tcPr>
          <w:p>
            <w:pPr>
              <w:pStyle w:val="26"/>
              <w:rPr>
                <w:kern w:val="2"/>
                <w:szCs w:val="21"/>
                <w:u w:val="single"/>
                <w:lang w:val="en-US" w:eastAsia="zh-CN"/>
              </w:rPr>
            </w:pPr>
            <w:r>
              <w:rPr>
                <w:rFonts w:hint="eastAsia"/>
                <w:kern w:val="2"/>
                <w:szCs w:val="21"/>
                <w:u w:val="single"/>
                <w:lang w:val="en-US" w:eastAsia="zh-CN"/>
              </w:rPr>
              <w:t>废水</w:t>
            </w:r>
          </w:p>
        </w:tc>
        <w:tc>
          <w:tcPr>
            <w:tcW w:w="7217" w:type="dxa"/>
            <w:gridSpan w:val="2"/>
            <w:vAlign w:val="center"/>
          </w:tcPr>
          <w:p>
            <w:pPr>
              <w:pStyle w:val="26"/>
              <w:spacing w:line="240" w:lineRule="auto"/>
              <w:rPr>
                <w:kern w:val="2"/>
                <w:szCs w:val="21"/>
                <w:u w:val="single"/>
                <w:lang w:val="en-US" w:eastAsia="zh-CN"/>
              </w:rPr>
            </w:pPr>
            <w:r>
              <w:rPr>
                <w:rFonts w:hint="eastAsia"/>
                <w:kern w:val="2"/>
                <w:szCs w:val="21"/>
                <w:u w:val="single"/>
                <w:lang w:val="en-US" w:eastAsia="zh-CN"/>
              </w:rPr>
              <w:t>处理能力为</w:t>
            </w:r>
            <w:r>
              <w:rPr>
                <w:kern w:val="2"/>
                <w:szCs w:val="21"/>
                <w:u w:val="single"/>
                <w:lang w:val="en-US" w:eastAsia="zh-CN"/>
              </w:rPr>
              <w:t>2000t/d</w:t>
            </w:r>
            <w:r>
              <w:rPr>
                <w:rFonts w:hint="eastAsia"/>
                <w:kern w:val="2"/>
                <w:szCs w:val="21"/>
                <w:u w:val="single"/>
                <w:lang w:val="en-US" w:eastAsia="zh-CN"/>
              </w:rPr>
              <w:t>印染污水处理装置；化粪池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3" w:type="dxa"/>
            <w:vMerge w:val="continue"/>
            <w:vAlign w:val="center"/>
          </w:tcPr>
          <w:p>
            <w:pPr>
              <w:pStyle w:val="26"/>
              <w:rPr>
                <w:kern w:val="2"/>
                <w:szCs w:val="21"/>
                <w:u w:val="single"/>
                <w:lang w:val="en-US" w:eastAsia="zh-CN"/>
              </w:rPr>
            </w:pPr>
          </w:p>
        </w:tc>
        <w:tc>
          <w:tcPr>
            <w:tcW w:w="1254" w:type="dxa"/>
            <w:vAlign w:val="center"/>
          </w:tcPr>
          <w:p>
            <w:pPr>
              <w:pStyle w:val="26"/>
              <w:rPr>
                <w:kern w:val="2"/>
                <w:szCs w:val="21"/>
                <w:u w:val="single"/>
                <w:lang w:val="en-US" w:eastAsia="zh-CN"/>
              </w:rPr>
            </w:pPr>
            <w:r>
              <w:rPr>
                <w:rFonts w:hint="eastAsia"/>
                <w:kern w:val="2"/>
                <w:szCs w:val="21"/>
                <w:u w:val="single"/>
                <w:lang w:val="en-US" w:eastAsia="zh-CN"/>
              </w:rPr>
              <w:t>废气</w:t>
            </w:r>
          </w:p>
        </w:tc>
        <w:tc>
          <w:tcPr>
            <w:tcW w:w="7217" w:type="dxa"/>
            <w:gridSpan w:val="2"/>
            <w:vAlign w:val="center"/>
          </w:tcPr>
          <w:p>
            <w:pPr>
              <w:pStyle w:val="26"/>
              <w:spacing w:line="240" w:lineRule="auto"/>
              <w:rPr>
                <w:kern w:val="2"/>
                <w:szCs w:val="21"/>
                <w:u w:val="single"/>
                <w:lang w:val="en-US" w:eastAsia="zh-CN"/>
              </w:rPr>
            </w:pPr>
            <w:r>
              <w:rPr>
                <w:kern w:val="2"/>
                <w:szCs w:val="21"/>
                <w:u w:val="single"/>
                <w:lang w:val="en-US" w:eastAsia="zh-CN"/>
              </w:rPr>
              <w:t>6</w:t>
            </w:r>
            <w:r>
              <w:rPr>
                <w:rFonts w:hint="eastAsia"/>
                <w:kern w:val="2"/>
                <w:szCs w:val="21"/>
                <w:u w:val="single"/>
                <w:lang w:val="en-US" w:eastAsia="zh-CN"/>
              </w:rPr>
              <w:t>吨蒸汽燃煤锅炉废气采用麻石水膜处理系统，导热油锅炉废气采用水膜除尘系统。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3" w:type="dxa"/>
            <w:vMerge w:val="continue"/>
            <w:vAlign w:val="center"/>
          </w:tcPr>
          <w:p>
            <w:pPr>
              <w:pStyle w:val="26"/>
              <w:rPr>
                <w:kern w:val="2"/>
                <w:szCs w:val="21"/>
                <w:u w:val="single"/>
                <w:lang w:val="en-US" w:eastAsia="zh-CN"/>
              </w:rPr>
            </w:pPr>
          </w:p>
        </w:tc>
        <w:tc>
          <w:tcPr>
            <w:tcW w:w="1254" w:type="dxa"/>
            <w:vAlign w:val="center"/>
          </w:tcPr>
          <w:p>
            <w:pPr>
              <w:pStyle w:val="26"/>
              <w:rPr>
                <w:kern w:val="2"/>
                <w:szCs w:val="21"/>
                <w:u w:val="single"/>
                <w:lang w:val="en-US" w:eastAsia="zh-CN"/>
              </w:rPr>
            </w:pPr>
            <w:r>
              <w:rPr>
                <w:rFonts w:hint="eastAsia"/>
                <w:kern w:val="2"/>
                <w:szCs w:val="21"/>
                <w:u w:val="single"/>
                <w:lang w:val="en-US" w:eastAsia="zh-CN"/>
              </w:rPr>
              <w:t>噪声</w:t>
            </w:r>
          </w:p>
        </w:tc>
        <w:tc>
          <w:tcPr>
            <w:tcW w:w="7217" w:type="dxa"/>
            <w:gridSpan w:val="2"/>
            <w:vAlign w:val="center"/>
          </w:tcPr>
          <w:p>
            <w:pPr>
              <w:pStyle w:val="26"/>
              <w:spacing w:line="240" w:lineRule="auto"/>
              <w:rPr>
                <w:kern w:val="2"/>
                <w:szCs w:val="21"/>
                <w:u w:val="single"/>
                <w:lang w:val="en-US" w:eastAsia="zh-CN"/>
              </w:rPr>
            </w:pPr>
            <w:r>
              <w:rPr>
                <w:rFonts w:hint="eastAsia"/>
                <w:kern w:val="2"/>
                <w:szCs w:val="21"/>
                <w:u w:val="single"/>
                <w:lang w:val="en-US" w:eastAsia="zh-CN"/>
              </w:rPr>
              <w:t>墙体隔声，减振</w:t>
            </w:r>
          </w:p>
        </w:tc>
      </w:tr>
    </w:tbl>
    <w:p>
      <w:pPr>
        <w:pStyle w:val="4"/>
      </w:pPr>
      <w:r>
        <w:rPr>
          <w:rFonts w:hint="eastAsia"/>
        </w:rPr>
        <w:t>产品方案</w:t>
      </w:r>
    </w:p>
    <w:p>
      <w:pPr>
        <w:ind w:firstLine="480"/>
      </w:pPr>
      <w:r>
        <w:rPr>
          <w:rFonts w:hint="eastAsia"/>
        </w:rPr>
        <w:t>根据湖南德科纺织印染有限公司建设项目环境影响登记表，德科主要生产包括纺纱、织布和印染三部分，印染所需坯布由厂区内织布车间供应；根据现有工程实际生产情况，德科现有实际生产仅有纺纱和印染。德科批准产品生产规模和现有工程实际生产规模德科产品规模见表</w:t>
      </w:r>
      <w:r>
        <w:t>3.2-3</w:t>
      </w:r>
      <w:r>
        <w:rPr>
          <w:rFonts w:hint="eastAsia"/>
        </w:rPr>
        <w:t>。</w:t>
      </w:r>
    </w:p>
    <w:p>
      <w:pPr>
        <w:pStyle w:val="26"/>
        <w:rPr>
          <w:b/>
          <w:bCs/>
        </w:rPr>
      </w:pPr>
      <w:r>
        <w:rPr>
          <w:rFonts w:hint="eastAsia"/>
          <w:b/>
          <w:bCs/>
        </w:rPr>
        <w:t>表</w:t>
      </w:r>
      <w:r>
        <w:rPr>
          <w:b/>
          <w:bCs/>
        </w:rPr>
        <w:t xml:space="preserve">3.2-3  </w:t>
      </w:r>
      <w:r>
        <w:rPr>
          <w:rFonts w:hint="eastAsia"/>
          <w:b/>
          <w:bCs/>
        </w:rPr>
        <w:t>现有工程产品方案一览表</w:t>
      </w:r>
    </w:p>
    <w:tbl>
      <w:tblPr>
        <w:tblStyle w:val="23"/>
        <w:tblW w:w="97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529"/>
        <w:gridCol w:w="1756"/>
        <w:gridCol w:w="1740"/>
        <w:gridCol w:w="1575"/>
        <w:gridCol w:w="1155"/>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752" w:type="dxa"/>
            <w:vAlign w:val="center"/>
          </w:tcPr>
          <w:p>
            <w:pPr>
              <w:pStyle w:val="26"/>
              <w:rPr>
                <w:kern w:val="2"/>
                <w:szCs w:val="21"/>
                <w:lang w:val="en-US" w:eastAsia="zh-CN"/>
              </w:rPr>
            </w:pPr>
            <w:r>
              <w:rPr>
                <w:rFonts w:hint="eastAsia"/>
                <w:kern w:val="2"/>
                <w:szCs w:val="21"/>
                <w:lang w:val="en-US" w:eastAsia="zh-CN"/>
              </w:rPr>
              <w:t>序号</w:t>
            </w:r>
          </w:p>
        </w:tc>
        <w:tc>
          <w:tcPr>
            <w:tcW w:w="1529" w:type="dxa"/>
            <w:vAlign w:val="center"/>
          </w:tcPr>
          <w:p>
            <w:pPr>
              <w:pStyle w:val="26"/>
              <w:rPr>
                <w:kern w:val="2"/>
                <w:szCs w:val="21"/>
                <w:lang w:val="en-US" w:eastAsia="zh-CN"/>
              </w:rPr>
            </w:pPr>
            <w:r>
              <w:rPr>
                <w:rFonts w:hint="eastAsia"/>
                <w:kern w:val="2"/>
                <w:szCs w:val="21"/>
                <w:lang w:val="en-US" w:eastAsia="zh-CN"/>
              </w:rPr>
              <w:t>产品类别</w:t>
            </w:r>
          </w:p>
        </w:tc>
        <w:tc>
          <w:tcPr>
            <w:tcW w:w="1756" w:type="dxa"/>
            <w:vAlign w:val="center"/>
          </w:tcPr>
          <w:p>
            <w:pPr>
              <w:pStyle w:val="26"/>
              <w:rPr>
                <w:kern w:val="2"/>
                <w:szCs w:val="21"/>
                <w:lang w:val="en-US" w:eastAsia="zh-CN"/>
              </w:rPr>
            </w:pPr>
            <w:r>
              <w:rPr>
                <w:rFonts w:hint="eastAsia"/>
                <w:kern w:val="2"/>
                <w:szCs w:val="21"/>
                <w:lang w:val="en-US" w:eastAsia="zh-CN"/>
              </w:rPr>
              <w:t>产品方案（批复）</w:t>
            </w:r>
          </w:p>
        </w:tc>
        <w:tc>
          <w:tcPr>
            <w:tcW w:w="1740" w:type="dxa"/>
            <w:vAlign w:val="center"/>
          </w:tcPr>
          <w:p>
            <w:pPr>
              <w:pStyle w:val="26"/>
              <w:rPr>
                <w:kern w:val="2"/>
                <w:szCs w:val="21"/>
                <w:lang w:val="en-US" w:eastAsia="zh-CN"/>
              </w:rPr>
            </w:pPr>
            <w:r>
              <w:rPr>
                <w:rFonts w:hint="eastAsia"/>
                <w:kern w:val="2"/>
                <w:szCs w:val="21"/>
                <w:lang w:val="en-US" w:eastAsia="zh-CN"/>
              </w:rPr>
              <w:t>产品方案（实际）</w:t>
            </w:r>
          </w:p>
        </w:tc>
        <w:tc>
          <w:tcPr>
            <w:tcW w:w="1575" w:type="dxa"/>
            <w:vAlign w:val="center"/>
          </w:tcPr>
          <w:p>
            <w:pPr>
              <w:pStyle w:val="26"/>
              <w:rPr>
                <w:kern w:val="2"/>
                <w:szCs w:val="21"/>
                <w:lang w:val="en-US" w:eastAsia="zh-CN"/>
              </w:rPr>
            </w:pPr>
            <w:r>
              <w:rPr>
                <w:rFonts w:hint="eastAsia"/>
                <w:kern w:val="2"/>
                <w:szCs w:val="21"/>
                <w:lang w:val="en-US" w:eastAsia="zh-CN"/>
              </w:rPr>
              <w:t>产品规格</w:t>
            </w:r>
            <w:r>
              <w:rPr>
                <w:kern w:val="2"/>
                <w:szCs w:val="21"/>
                <w:lang w:val="en-US" w:eastAsia="zh-CN"/>
              </w:rPr>
              <w:t>(mm)</w:t>
            </w:r>
          </w:p>
        </w:tc>
        <w:tc>
          <w:tcPr>
            <w:tcW w:w="1155" w:type="dxa"/>
            <w:vAlign w:val="center"/>
          </w:tcPr>
          <w:p>
            <w:pPr>
              <w:pStyle w:val="26"/>
              <w:rPr>
                <w:kern w:val="2"/>
                <w:szCs w:val="21"/>
                <w:lang w:val="en-US" w:eastAsia="zh-CN"/>
              </w:rPr>
            </w:pPr>
            <w:r>
              <w:rPr>
                <w:rFonts w:hint="eastAsia"/>
                <w:kern w:val="2"/>
                <w:szCs w:val="21"/>
                <w:lang w:val="en-US" w:eastAsia="zh-CN"/>
              </w:rPr>
              <w:t>平均克重</w:t>
            </w:r>
          </w:p>
        </w:tc>
        <w:tc>
          <w:tcPr>
            <w:tcW w:w="1261" w:type="dxa"/>
            <w:vAlign w:val="center"/>
          </w:tcPr>
          <w:p>
            <w:pPr>
              <w:pStyle w:val="26"/>
              <w:rPr>
                <w:kern w:val="2"/>
                <w:szCs w:val="21"/>
                <w:lang w:val="en-US" w:eastAsia="zh-CN"/>
              </w:rPr>
            </w:pPr>
            <w:r>
              <w:rPr>
                <w:rFonts w:hint="eastAsia"/>
                <w:kern w:val="2"/>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752" w:type="dxa"/>
            <w:vAlign w:val="center"/>
          </w:tcPr>
          <w:p>
            <w:pPr>
              <w:pStyle w:val="26"/>
              <w:rPr>
                <w:kern w:val="2"/>
                <w:szCs w:val="21"/>
                <w:lang w:val="en-US" w:eastAsia="zh-CN"/>
              </w:rPr>
            </w:pPr>
            <w:r>
              <w:rPr>
                <w:kern w:val="2"/>
                <w:szCs w:val="21"/>
                <w:lang w:val="en-US" w:eastAsia="zh-CN"/>
              </w:rPr>
              <w:t>1</w:t>
            </w:r>
          </w:p>
        </w:tc>
        <w:tc>
          <w:tcPr>
            <w:tcW w:w="1529" w:type="dxa"/>
            <w:vAlign w:val="center"/>
          </w:tcPr>
          <w:p>
            <w:pPr>
              <w:pStyle w:val="26"/>
              <w:rPr>
                <w:kern w:val="2"/>
                <w:szCs w:val="21"/>
                <w:lang w:val="en-US" w:eastAsia="zh-CN"/>
              </w:rPr>
            </w:pPr>
            <w:r>
              <w:rPr>
                <w:rFonts w:hint="eastAsia"/>
                <w:kern w:val="2"/>
                <w:szCs w:val="21"/>
                <w:lang w:val="en-US" w:eastAsia="zh-CN"/>
              </w:rPr>
              <w:t>棉麻染色布</w:t>
            </w:r>
          </w:p>
        </w:tc>
        <w:tc>
          <w:tcPr>
            <w:tcW w:w="1756" w:type="dxa"/>
            <w:vAlign w:val="center"/>
          </w:tcPr>
          <w:p>
            <w:pPr>
              <w:pStyle w:val="26"/>
              <w:rPr>
                <w:kern w:val="2"/>
                <w:szCs w:val="21"/>
                <w:lang w:val="en-US" w:eastAsia="zh-CN"/>
              </w:rPr>
            </w:pPr>
            <w:r>
              <w:rPr>
                <w:kern w:val="2"/>
                <w:szCs w:val="21"/>
                <w:lang w:val="en-US" w:eastAsia="zh-CN"/>
              </w:rPr>
              <w:t>600</w:t>
            </w:r>
            <w:r>
              <w:rPr>
                <w:rFonts w:hint="eastAsia"/>
                <w:kern w:val="2"/>
                <w:szCs w:val="21"/>
                <w:lang w:val="en-US" w:eastAsia="zh-CN"/>
              </w:rPr>
              <w:t>万</w:t>
            </w:r>
            <w:r>
              <w:rPr>
                <w:kern w:val="2"/>
                <w:szCs w:val="21"/>
                <w:lang w:val="en-US" w:eastAsia="zh-CN"/>
              </w:rPr>
              <w:t>m /a</w:t>
            </w:r>
          </w:p>
        </w:tc>
        <w:tc>
          <w:tcPr>
            <w:tcW w:w="1740" w:type="dxa"/>
            <w:vAlign w:val="center"/>
          </w:tcPr>
          <w:p>
            <w:pPr>
              <w:pStyle w:val="26"/>
              <w:rPr>
                <w:kern w:val="2"/>
                <w:szCs w:val="21"/>
                <w:lang w:val="en-US" w:eastAsia="zh-CN"/>
              </w:rPr>
            </w:pPr>
            <w:r>
              <w:rPr>
                <w:kern w:val="2"/>
                <w:szCs w:val="21"/>
                <w:lang w:val="en-US" w:eastAsia="zh-CN"/>
              </w:rPr>
              <w:t>600</w:t>
            </w:r>
            <w:r>
              <w:rPr>
                <w:rFonts w:hint="eastAsia"/>
                <w:kern w:val="2"/>
                <w:szCs w:val="21"/>
                <w:lang w:val="en-US" w:eastAsia="zh-CN"/>
              </w:rPr>
              <w:t>万</w:t>
            </w:r>
            <w:r>
              <w:rPr>
                <w:kern w:val="2"/>
                <w:szCs w:val="21"/>
                <w:lang w:val="en-US" w:eastAsia="zh-CN"/>
              </w:rPr>
              <w:t>m /a</w:t>
            </w:r>
          </w:p>
        </w:tc>
        <w:tc>
          <w:tcPr>
            <w:tcW w:w="1575" w:type="dxa"/>
            <w:vAlign w:val="center"/>
          </w:tcPr>
          <w:p>
            <w:pPr>
              <w:pStyle w:val="26"/>
              <w:rPr>
                <w:kern w:val="2"/>
                <w:szCs w:val="21"/>
                <w:lang w:val="en-US" w:eastAsia="zh-CN"/>
              </w:rPr>
            </w:pPr>
            <w:r>
              <w:rPr>
                <w:kern w:val="2"/>
                <w:szCs w:val="21"/>
                <w:lang w:val="en-US" w:eastAsia="zh-CN"/>
              </w:rPr>
              <w:t>1500</w:t>
            </w:r>
          </w:p>
        </w:tc>
        <w:tc>
          <w:tcPr>
            <w:tcW w:w="1155" w:type="dxa"/>
            <w:vAlign w:val="center"/>
          </w:tcPr>
          <w:p>
            <w:pPr>
              <w:pStyle w:val="26"/>
              <w:rPr>
                <w:kern w:val="2"/>
                <w:szCs w:val="21"/>
                <w:lang w:val="en-US" w:eastAsia="zh-CN"/>
              </w:rPr>
            </w:pPr>
            <w:r>
              <w:rPr>
                <w:kern w:val="2"/>
                <w:szCs w:val="21"/>
                <w:lang w:val="en-US" w:eastAsia="zh-CN"/>
              </w:rPr>
              <w:t>300g/m</w:t>
            </w:r>
            <w:r>
              <w:rPr>
                <w:kern w:val="2"/>
                <w:szCs w:val="21"/>
                <w:vertAlign w:val="superscript"/>
                <w:lang w:val="en-US" w:eastAsia="zh-CN"/>
              </w:rPr>
              <w:t>2</w:t>
            </w:r>
          </w:p>
        </w:tc>
        <w:tc>
          <w:tcPr>
            <w:tcW w:w="1261"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752" w:type="dxa"/>
            <w:vAlign w:val="center"/>
          </w:tcPr>
          <w:p>
            <w:pPr>
              <w:pStyle w:val="26"/>
              <w:rPr>
                <w:kern w:val="2"/>
                <w:szCs w:val="21"/>
                <w:lang w:val="en-US" w:eastAsia="zh-CN"/>
              </w:rPr>
            </w:pPr>
            <w:r>
              <w:rPr>
                <w:kern w:val="2"/>
                <w:szCs w:val="21"/>
                <w:lang w:val="en-US" w:eastAsia="zh-CN"/>
              </w:rPr>
              <w:t>2</w:t>
            </w:r>
          </w:p>
        </w:tc>
        <w:tc>
          <w:tcPr>
            <w:tcW w:w="1529" w:type="dxa"/>
            <w:vAlign w:val="center"/>
          </w:tcPr>
          <w:p>
            <w:pPr>
              <w:pStyle w:val="26"/>
              <w:rPr>
                <w:kern w:val="2"/>
                <w:szCs w:val="21"/>
                <w:lang w:val="en-US" w:eastAsia="zh-CN"/>
              </w:rPr>
            </w:pPr>
            <w:r>
              <w:rPr>
                <w:rFonts w:hint="eastAsia"/>
                <w:kern w:val="2"/>
                <w:szCs w:val="21"/>
                <w:lang w:val="en-US" w:eastAsia="zh-CN"/>
              </w:rPr>
              <w:t>纺纱</w:t>
            </w:r>
          </w:p>
        </w:tc>
        <w:tc>
          <w:tcPr>
            <w:tcW w:w="1756" w:type="dxa"/>
            <w:vAlign w:val="center"/>
          </w:tcPr>
          <w:p>
            <w:pPr>
              <w:pStyle w:val="26"/>
              <w:rPr>
                <w:kern w:val="2"/>
                <w:szCs w:val="21"/>
                <w:lang w:val="en-US" w:eastAsia="zh-CN"/>
              </w:rPr>
            </w:pPr>
            <w:r>
              <w:rPr>
                <w:kern w:val="2"/>
                <w:szCs w:val="21"/>
                <w:lang w:val="en-US" w:eastAsia="zh-CN"/>
              </w:rPr>
              <w:t>5</w:t>
            </w:r>
            <w:r>
              <w:rPr>
                <w:rFonts w:hint="eastAsia"/>
                <w:kern w:val="2"/>
                <w:szCs w:val="21"/>
                <w:lang w:val="en-US" w:eastAsia="zh-CN"/>
              </w:rPr>
              <w:t>万锭</w:t>
            </w:r>
            <w:r>
              <w:rPr>
                <w:kern w:val="2"/>
                <w:szCs w:val="21"/>
                <w:lang w:val="en-US" w:eastAsia="zh-CN"/>
              </w:rPr>
              <w:t>/a</w:t>
            </w:r>
          </w:p>
        </w:tc>
        <w:tc>
          <w:tcPr>
            <w:tcW w:w="1740" w:type="dxa"/>
            <w:vAlign w:val="center"/>
          </w:tcPr>
          <w:p>
            <w:pPr>
              <w:pStyle w:val="26"/>
              <w:rPr>
                <w:kern w:val="2"/>
                <w:szCs w:val="21"/>
                <w:lang w:val="en-US" w:eastAsia="zh-CN"/>
              </w:rPr>
            </w:pPr>
            <w:r>
              <w:rPr>
                <w:kern w:val="2"/>
                <w:szCs w:val="21"/>
                <w:lang w:val="en-US" w:eastAsia="zh-CN"/>
              </w:rPr>
              <w:t>2</w:t>
            </w:r>
            <w:r>
              <w:rPr>
                <w:rFonts w:hint="eastAsia"/>
                <w:kern w:val="2"/>
                <w:szCs w:val="21"/>
                <w:lang w:val="en-US" w:eastAsia="zh-CN"/>
              </w:rPr>
              <w:t>万锭</w:t>
            </w:r>
            <w:r>
              <w:rPr>
                <w:kern w:val="2"/>
                <w:szCs w:val="21"/>
                <w:lang w:val="en-US" w:eastAsia="zh-CN"/>
              </w:rPr>
              <w:t>/a</w:t>
            </w:r>
          </w:p>
        </w:tc>
        <w:tc>
          <w:tcPr>
            <w:tcW w:w="1575" w:type="dxa"/>
            <w:vAlign w:val="center"/>
          </w:tcPr>
          <w:p>
            <w:pPr>
              <w:pStyle w:val="26"/>
              <w:rPr>
                <w:kern w:val="2"/>
                <w:szCs w:val="21"/>
                <w:lang w:val="en-US" w:eastAsia="zh-CN"/>
              </w:rPr>
            </w:pPr>
            <w:r>
              <w:rPr>
                <w:kern w:val="2"/>
                <w:szCs w:val="21"/>
                <w:lang w:val="en-US" w:eastAsia="zh-CN"/>
              </w:rPr>
              <w:t>/</w:t>
            </w:r>
          </w:p>
        </w:tc>
        <w:tc>
          <w:tcPr>
            <w:tcW w:w="1155" w:type="dxa"/>
            <w:vAlign w:val="center"/>
          </w:tcPr>
          <w:p>
            <w:pPr>
              <w:pStyle w:val="26"/>
              <w:rPr>
                <w:kern w:val="2"/>
                <w:szCs w:val="21"/>
                <w:lang w:val="en-US" w:eastAsia="zh-CN"/>
              </w:rPr>
            </w:pPr>
            <w:r>
              <w:rPr>
                <w:rFonts w:hint="eastAsia"/>
                <w:kern w:val="2"/>
                <w:szCs w:val="21"/>
                <w:lang w:val="en-US" w:eastAsia="zh-CN"/>
              </w:rPr>
              <w:t>6kg/锭</w:t>
            </w:r>
          </w:p>
        </w:tc>
        <w:tc>
          <w:tcPr>
            <w:tcW w:w="1261"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752" w:type="dxa"/>
            <w:vAlign w:val="center"/>
          </w:tcPr>
          <w:p>
            <w:pPr>
              <w:pStyle w:val="26"/>
              <w:rPr>
                <w:kern w:val="2"/>
                <w:szCs w:val="21"/>
                <w:lang w:val="en-US" w:eastAsia="zh-CN"/>
              </w:rPr>
            </w:pPr>
            <w:r>
              <w:rPr>
                <w:kern w:val="2"/>
                <w:szCs w:val="21"/>
                <w:lang w:val="en-US" w:eastAsia="zh-CN"/>
              </w:rPr>
              <w:t>3</w:t>
            </w:r>
          </w:p>
        </w:tc>
        <w:tc>
          <w:tcPr>
            <w:tcW w:w="1529" w:type="dxa"/>
            <w:vAlign w:val="center"/>
          </w:tcPr>
          <w:p>
            <w:pPr>
              <w:pStyle w:val="26"/>
              <w:rPr>
                <w:kern w:val="2"/>
                <w:szCs w:val="21"/>
                <w:lang w:val="en-US" w:eastAsia="zh-CN"/>
              </w:rPr>
            </w:pPr>
            <w:r>
              <w:rPr>
                <w:rFonts w:hint="eastAsia"/>
                <w:kern w:val="2"/>
                <w:szCs w:val="21"/>
                <w:lang w:val="en-US" w:eastAsia="zh-CN"/>
              </w:rPr>
              <w:t>织布</w:t>
            </w:r>
          </w:p>
        </w:tc>
        <w:tc>
          <w:tcPr>
            <w:tcW w:w="1756" w:type="dxa"/>
            <w:vAlign w:val="center"/>
          </w:tcPr>
          <w:p>
            <w:pPr>
              <w:pStyle w:val="26"/>
              <w:rPr>
                <w:kern w:val="2"/>
                <w:szCs w:val="21"/>
                <w:lang w:val="en-US" w:eastAsia="zh-CN"/>
              </w:rPr>
            </w:pPr>
            <w:r>
              <w:rPr>
                <w:kern w:val="2"/>
                <w:szCs w:val="21"/>
                <w:lang w:val="en-US" w:eastAsia="zh-CN"/>
              </w:rPr>
              <w:t>600</w:t>
            </w:r>
            <w:r>
              <w:rPr>
                <w:rFonts w:hint="eastAsia"/>
                <w:kern w:val="2"/>
                <w:szCs w:val="21"/>
                <w:lang w:val="en-US" w:eastAsia="zh-CN"/>
              </w:rPr>
              <w:t>万</w:t>
            </w:r>
            <w:r>
              <w:rPr>
                <w:kern w:val="2"/>
                <w:szCs w:val="21"/>
                <w:lang w:val="en-US" w:eastAsia="zh-CN"/>
              </w:rPr>
              <w:t>m /a</w:t>
            </w:r>
          </w:p>
        </w:tc>
        <w:tc>
          <w:tcPr>
            <w:tcW w:w="1740" w:type="dxa"/>
            <w:vAlign w:val="center"/>
          </w:tcPr>
          <w:p>
            <w:pPr>
              <w:pStyle w:val="26"/>
              <w:rPr>
                <w:kern w:val="2"/>
                <w:szCs w:val="21"/>
                <w:lang w:val="en-US" w:eastAsia="zh-CN"/>
              </w:rPr>
            </w:pPr>
            <w:r>
              <w:rPr>
                <w:kern w:val="2"/>
                <w:szCs w:val="21"/>
                <w:lang w:val="en-US" w:eastAsia="zh-CN"/>
              </w:rPr>
              <w:t>0</w:t>
            </w:r>
          </w:p>
        </w:tc>
        <w:tc>
          <w:tcPr>
            <w:tcW w:w="1575" w:type="dxa"/>
            <w:vAlign w:val="center"/>
          </w:tcPr>
          <w:p>
            <w:pPr>
              <w:pStyle w:val="26"/>
              <w:rPr>
                <w:kern w:val="2"/>
                <w:szCs w:val="21"/>
                <w:lang w:val="en-US" w:eastAsia="zh-CN"/>
              </w:rPr>
            </w:pPr>
            <w:r>
              <w:rPr>
                <w:kern w:val="2"/>
                <w:szCs w:val="21"/>
                <w:lang w:val="en-US" w:eastAsia="zh-CN"/>
              </w:rPr>
              <w:t>/</w:t>
            </w:r>
          </w:p>
        </w:tc>
        <w:tc>
          <w:tcPr>
            <w:tcW w:w="1155" w:type="dxa"/>
            <w:vAlign w:val="center"/>
          </w:tcPr>
          <w:p>
            <w:pPr>
              <w:pStyle w:val="26"/>
              <w:rPr>
                <w:kern w:val="2"/>
                <w:szCs w:val="21"/>
                <w:lang w:val="en-US" w:eastAsia="zh-CN"/>
              </w:rPr>
            </w:pPr>
            <w:r>
              <w:rPr>
                <w:kern w:val="2"/>
                <w:szCs w:val="21"/>
                <w:lang w:val="en-US" w:eastAsia="zh-CN"/>
              </w:rPr>
              <w:t>/</w:t>
            </w:r>
          </w:p>
        </w:tc>
        <w:tc>
          <w:tcPr>
            <w:tcW w:w="1261" w:type="dxa"/>
            <w:vAlign w:val="center"/>
          </w:tcPr>
          <w:p>
            <w:pPr>
              <w:pStyle w:val="26"/>
              <w:rPr>
                <w:kern w:val="2"/>
                <w:szCs w:val="21"/>
                <w:lang w:val="en-US" w:eastAsia="zh-CN"/>
              </w:rPr>
            </w:pPr>
            <w:r>
              <w:rPr>
                <w:rFonts w:hint="eastAsia"/>
                <w:kern w:val="2"/>
                <w:szCs w:val="21"/>
                <w:lang w:val="en-US" w:eastAsia="zh-CN"/>
              </w:rPr>
              <w:t>用于印染</w:t>
            </w:r>
          </w:p>
        </w:tc>
      </w:tr>
    </w:tbl>
    <w:p>
      <w:pPr>
        <w:pStyle w:val="4"/>
      </w:pPr>
      <w:r>
        <w:rPr>
          <w:rFonts w:hint="eastAsia"/>
        </w:rPr>
        <w:t>主要原辅材料</w:t>
      </w:r>
    </w:p>
    <w:p>
      <w:pPr>
        <w:ind w:firstLine="480"/>
      </w:pPr>
      <w:r>
        <w:t>1</w:t>
      </w:r>
      <w:r>
        <w:rPr>
          <w:rFonts w:hint="eastAsia"/>
        </w:rPr>
        <w:t>、原辅材料消耗情况</w:t>
      </w:r>
    </w:p>
    <w:p>
      <w:pPr>
        <w:ind w:firstLine="480"/>
      </w:pPr>
      <w:r>
        <w:rPr>
          <w:rFonts w:hint="eastAsia"/>
        </w:rPr>
        <w:t>根据现场踏勘，厂区内现仅有纺纱和印染在生产，织布已停产。根据建设单位提供资料，织布未停产时，印染原辅材料中的坯布是由织布车间提供；织布停产后，印染所需的坯布从市场上购买。</w:t>
      </w:r>
    </w:p>
    <w:p>
      <w:pPr>
        <w:ind w:firstLine="480"/>
        <w:rPr>
          <w:rFonts w:hint="eastAsia"/>
        </w:rPr>
      </w:pPr>
      <w:r>
        <w:rPr>
          <w:rFonts w:hint="eastAsia"/>
        </w:rPr>
        <w:t>本次环评对现有工程中纺纱、印染部分的原辅材料按照厂区实际情况进行分析，织布工程所需要的原辅材料按照未停产时情况进行分析。现有工程主要原辅材料消耗情况见表</w:t>
      </w:r>
      <w:r>
        <w:t>3.2-4</w:t>
      </w:r>
      <w:r>
        <w:rPr>
          <w:rFonts w:hint="eastAsia"/>
        </w:rPr>
        <w:t>。</w:t>
      </w:r>
    </w:p>
    <w:p>
      <w:pPr>
        <w:ind w:firstLine="480"/>
        <w:rPr>
          <w:rFonts w:hint="eastAsia"/>
        </w:rPr>
      </w:pPr>
    </w:p>
    <w:p>
      <w:pPr>
        <w:ind w:firstLine="480"/>
        <w:rPr>
          <w:rFonts w:hint="eastAsia"/>
        </w:rPr>
      </w:pPr>
    </w:p>
    <w:p>
      <w:pPr>
        <w:ind w:firstLine="480"/>
        <w:rPr>
          <w:rFonts w:hint="eastAsia"/>
        </w:rPr>
      </w:pPr>
    </w:p>
    <w:p>
      <w:pPr>
        <w:pStyle w:val="26"/>
        <w:rPr>
          <w:b/>
          <w:bCs/>
        </w:rPr>
      </w:pPr>
      <w:r>
        <w:rPr>
          <w:rFonts w:hint="eastAsia"/>
          <w:b/>
          <w:bCs/>
        </w:rPr>
        <w:t>表</w:t>
      </w:r>
      <w:r>
        <w:rPr>
          <w:b/>
          <w:bCs/>
        </w:rPr>
        <w:t xml:space="preserve">3.2-4  </w:t>
      </w:r>
      <w:r>
        <w:rPr>
          <w:rFonts w:hint="eastAsia"/>
          <w:b/>
          <w:bCs/>
        </w:rPr>
        <w:t>现有工程主要原辅材料实际消耗情况一览表</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689"/>
        <w:gridCol w:w="1395"/>
        <w:gridCol w:w="1785"/>
        <w:gridCol w:w="3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blHeader/>
          <w:jc w:val="center"/>
        </w:trPr>
        <w:tc>
          <w:tcPr>
            <w:tcW w:w="1379" w:type="dxa"/>
            <w:vAlign w:val="center"/>
          </w:tcPr>
          <w:p>
            <w:pPr>
              <w:pStyle w:val="26"/>
              <w:rPr>
                <w:kern w:val="2"/>
                <w:szCs w:val="21"/>
                <w:lang w:val="en-US" w:eastAsia="zh-CN"/>
              </w:rPr>
            </w:pPr>
            <w:r>
              <w:rPr>
                <w:rFonts w:hint="eastAsia"/>
                <w:kern w:val="2"/>
                <w:szCs w:val="21"/>
                <w:lang w:val="en-US" w:eastAsia="zh-CN"/>
              </w:rPr>
              <w:t>序号</w:t>
            </w:r>
          </w:p>
        </w:tc>
        <w:tc>
          <w:tcPr>
            <w:tcW w:w="1689" w:type="dxa"/>
            <w:vAlign w:val="center"/>
          </w:tcPr>
          <w:p>
            <w:pPr>
              <w:pStyle w:val="26"/>
              <w:rPr>
                <w:kern w:val="2"/>
                <w:szCs w:val="21"/>
                <w:lang w:val="en-US" w:eastAsia="zh-CN"/>
              </w:rPr>
            </w:pPr>
            <w:r>
              <w:rPr>
                <w:rFonts w:hint="eastAsia"/>
                <w:kern w:val="2"/>
                <w:szCs w:val="21"/>
                <w:lang w:val="en-US" w:eastAsia="zh-CN"/>
              </w:rPr>
              <w:t>原辅材料名称</w:t>
            </w:r>
          </w:p>
        </w:tc>
        <w:tc>
          <w:tcPr>
            <w:tcW w:w="1395" w:type="dxa"/>
            <w:vAlign w:val="center"/>
          </w:tcPr>
          <w:p>
            <w:pPr>
              <w:pStyle w:val="26"/>
              <w:rPr>
                <w:kern w:val="2"/>
                <w:szCs w:val="21"/>
                <w:lang w:val="en-US" w:eastAsia="zh-CN"/>
              </w:rPr>
            </w:pPr>
            <w:r>
              <w:rPr>
                <w:rFonts w:hint="eastAsia"/>
                <w:kern w:val="2"/>
                <w:szCs w:val="21"/>
                <w:lang w:val="en-US" w:eastAsia="zh-CN"/>
              </w:rPr>
              <w:t>单位</w:t>
            </w:r>
          </w:p>
        </w:tc>
        <w:tc>
          <w:tcPr>
            <w:tcW w:w="1785" w:type="dxa"/>
            <w:vAlign w:val="center"/>
          </w:tcPr>
          <w:p>
            <w:pPr>
              <w:pStyle w:val="26"/>
              <w:rPr>
                <w:kern w:val="2"/>
                <w:szCs w:val="21"/>
                <w:lang w:val="en-US" w:eastAsia="zh-CN"/>
              </w:rPr>
            </w:pPr>
            <w:r>
              <w:rPr>
                <w:rFonts w:hint="eastAsia"/>
                <w:kern w:val="2"/>
                <w:szCs w:val="21"/>
                <w:lang w:val="en-US" w:eastAsia="zh-CN"/>
              </w:rPr>
              <w:t>数量</w:t>
            </w:r>
          </w:p>
        </w:tc>
        <w:tc>
          <w:tcPr>
            <w:tcW w:w="3606" w:type="dxa"/>
            <w:vAlign w:val="center"/>
          </w:tcPr>
          <w:p>
            <w:pPr>
              <w:pStyle w:val="26"/>
              <w:rPr>
                <w:kern w:val="2"/>
                <w:szCs w:val="21"/>
                <w:lang w:val="en-US" w:eastAsia="zh-CN"/>
              </w:rPr>
            </w:pPr>
            <w:r>
              <w:rPr>
                <w:rFonts w:hint="eastAsia"/>
                <w:kern w:val="2"/>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9854" w:type="dxa"/>
            <w:gridSpan w:val="5"/>
            <w:vAlign w:val="center"/>
          </w:tcPr>
          <w:p>
            <w:pPr>
              <w:pStyle w:val="26"/>
              <w:rPr>
                <w:kern w:val="2"/>
                <w:szCs w:val="21"/>
                <w:lang w:val="en-US" w:eastAsia="zh-CN"/>
              </w:rPr>
            </w:pPr>
            <w:r>
              <w:rPr>
                <w:rFonts w:hint="eastAsia"/>
                <w:kern w:val="2"/>
                <w:szCs w:val="21"/>
                <w:lang w:val="en-US" w:eastAsia="zh-CN"/>
              </w:rPr>
              <w:t>一、印染车间主要原辅材料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kern w:val="2"/>
                <w:szCs w:val="21"/>
                <w:lang w:val="en-US" w:eastAsia="zh-CN"/>
              </w:rPr>
              <w:t>1</w:t>
            </w:r>
          </w:p>
        </w:tc>
        <w:tc>
          <w:tcPr>
            <w:tcW w:w="1689" w:type="dxa"/>
            <w:vAlign w:val="center"/>
          </w:tcPr>
          <w:p>
            <w:pPr>
              <w:pStyle w:val="26"/>
              <w:rPr>
                <w:kern w:val="2"/>
                <w:szCs w:val="21"/>
                <w:lang w:val="en-US" w:eastAsia="zh-CN"/>
              </w:rPr>
            </w:pPr>
            <w:r>
              <w:rPr>
                <w:rFonts w:hint="eastAsia"/>
                <w:kern w:val="2"/>
                <w:szCs w:val="21"/>
                <w:lang w:val="en-US" w:eastAsia="zh-CN"/>
              </w:rPr>
              <w:t>棉坯布</w:t>
            </w:r>
          </w:p>
        </w:tc>
        <w:tc>
          <w:tcPr>
            <w:tcW w:w="1395" w:type="dxa"/>
            <w:vAlign w:val="center"/>
          </w:tcPr>
          <w:p>
            <w:pPr>
              <w:pStyle w:val="26"/>
              <w:rPr>
                <w:kern w:val="2"/>
                <w:szCs w:val="21"/>
                <w:lang w:val="en-US" w:eastAsia="zh-CN"/>
              </w:rPr>
            </w:pPr>
            <w:r>
              <w:rPr>
                <w:rFonts w:hint="eastAsia"/>
                <w:kern w:val="2"/>
                <w:szCs w:val="21"/>
                <w:lang w:val="en-US" w:eastAsia="zh-CN"/>
              </w:rPr>
              <w:t>万</w:t>
            </w:r>
            <w:r>
              <w:rPr>
                <w:kern w:val="2"/>
                <w:szCs w:val="21"/>
                <w:lang w:val="en-US" w:eastAsia="zh-CN"/>
              </w:rPr>
              <w:t>m/a</w:t>
            </w:r>
          </w:p>
        </w:tc>
        <w:tc>
          <w:tcPr>
            <w:tcW w:w="1785" w:type="dxa"/>
            <w:vAlign w:val="center"/>
          </w:tcPr>
          <w:p>
            <w:pPr>
              <w:pStyle w:val="26"/>
              <w:rPr>
                <w:kern w:val="2"/>
                <w:szCs w:val="21"/>
                <w:lang w:val="en-US" w:eastAsia="zh-CN"/>
              </w:rPr>
            </w:pPr>
            <w:r>
              <w:rPr>
                <w:kern w:val="2"/>
                <w:szCs w:val="21"/>
                <w:lang w:val="en-US" w:eastAsia="zh-CN"/>
              </w:rPr>
              <w:t>50</w:t>
            </w:r>
            <w:r>
              <w:rPr>
                <w:rFonts w:hint="eastAsia"/>
                <w:kern w:val="2"/>
                <w:szCs w:val="21"/>
                <w:lang w:val="en-US" w:eastAsia="zh-CN"/>
              </w:rPr>
              <w:t>0</w:t>
            </w:r>
          </w:p>
        </w:tc>
        <w:tc>
          <w:tcPr>
            <w:tcW w:w="3606" w:type="dxa"/>
            <w:vMerge w:val="restart"/>
            <w:vAlign w:val="center"/>
          </w:tcPr>
          <w:p>
            <w:pPr>
              <w:pStyle w:val="26"/>
              <w:spacing w:line="240" w:lineRule="auto"/>
              <w:rPr>
                <w:kern w:val="2"/>
                <w:szCs w:val="21"/>
                <w:lang w:val="en-US" w:eastAsia="zh-CN"/>
              </w:rPr>
            </w:pPr>
            <w:r>
              <w:rPr>
                <w:rFonts w:hint="eastAsia"/>
                <w:kern w:val="2"/>
                <w:szCs w:val="21"/>
                <w:lang w:val="en-US" w:eastAsia="zh-CN"/>
              </w:rPr>
              <w:t>织布车间未停产时，由织布车间提供；织布车间停产后，从市场上购买。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kern w:val="2"/>
                <w:szCs w:val="21"/>
                <w:lang w:val="en-US" w:eastAsia="zh-CN"/>
              </w:rPr>
              <w:t>2</w:t>
            </w:r>
          </w:p>
        </w:tc>
        <w:tc>
          <w:tcPr>
            <w:tcW w:w="1689" w:type="dxa"/>
            <w:vAlign w:val="center"/>
          </w:tcPr>
          <w:p>
            <w:pPr>
              <w:pStyle w:val="26"/>
              <w:rPr>
                <w:kern w:val="2"/>
                <w:szCs w:val="21"/>
                <w:lang w:val="en-US" w:eastAsia="zh-CN"/>
              </w:rPr>
            </w:pPr>
            <w:r>
              <w:rPr>
                <w:rFonts w:hint="eastAsia"/>
                <w:kern w:val="2"/>
                <w:szCs w:val="21"/>
                <w:lang w:val="en-US" w:eastAsia="zh-CN"/>
              </w:rPr>
              <w:t>麻坯布</w:t>
            </w:r>
          </w:p>
        </w:tc>
        <w:tc>
          <w:tcPr>
            <w:tcW w:w="1395" w:type="dxa"/>
            <w:vAlign w:val="center"/>
          </w:tcPr>
          <w:p>
            <w:pPr>
              <w:pStyle w:val="26"/>
              <w:rPr>
                <w:kern w:val="2"/>
                <w:szCs w:val="21"/>
                <w:lang w:val="en-US" w:eastAsia="zh-CN"/>
              </w:rPr>
            </w:pPr>
            <w:r>
              <w:rPr>
                <w:rFonts w:hint="eastAsia"/>
                <w:kern w:val="2"/>
                <w:szCs w:val="21"/>
                <w:lang w:val="en-US" w:eastAsia="zh-CN"/>
              </w:rPr>
              <w:t>万</w:t>
            </w:r>
            <w:r>
              <w:rPr>
                <w:kern w:val="2"/>
                <w:szCs w:val="21"/>
                <w:lang w:val="en-US" w:eastAsia="zh-CN"/>
              </w:rPr>
              <w:t>m/a</w:t>
            </w:r>
          </w:p>
        </w:tc>
        <w:tc>
          <w:tcPr>
            <w:tcW w:w="1785" w:type="dxa"/>
            <w:vAlign w:val="center"/>
          </w:tcPr>
          <w:p>
            <w:pPr>
              <w:pStyle w:val="26"/>
              <w:rPr>
                <w:kern w:val="2"/>
                <w:szCs w:val="21"/>
                <w:lang w:val="en-US" w:eastAsia="zh-CN"/>
              </w:rPr>
            </w:pPr>
            <w:r>
              <w:rPr>
                <w:kern w:val="2"/>
                <w:szCs w:val="21"/>
                <w:lang w:val="en-US" w:eastAsia="zh-CN"/>
              </w:rPr>
              <w:t>10</w:t>
            </w:r>
            <w:r>
              <w:rPr>
                <w:rFonts w:hint="eastAsia"/>
                <w:kern w:val="2"/>
                <w:szCs w:val="21"/>
                <w:lang w:val="en-US" w:eastAsia="zh-CN"/>
              </w:rPr>
              <w:t>0</w:t>
            </w:r>
          </w:p>
        </w:tc>
        <w:tc>
          <w:tcPr>
            <w:tcW w:w="3606"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kern w:val="2"/>
                <w:szCs w:val="21"/>
                <w:lang w:val="en-US" w:eastAsia="zh-CN"/>
              </w:rPr>
              <w:t>3</w:t>
            </w:r>
          </w:p>
        </w:tc>
        <w:tc>
          <w:tcPr>
            <w:tcW w:w="1689" w:type="dxa"/>
            <w:vAlign w:val="center"/>
          </w:tcPr>
          <w:p>
            <w:pPr>
              <w:pStyle w:val="26"/>
              <w:rPr>
                <w:kern w:val="2"/>
                <w:szCs w:val="21"/>
                <w:lang w:val="en-US" w:eastAsia="zh-CN"/>
              </w:rPr>
            </w:pPr>
            <w:r>
              <w:rPr>
                <w:rFonts w:hint="eastAsia"/>
                <w:kern w:val="2"/>
                <w:szCs w:val="21"/>
                <w:lang w:val="en-US" w:eastAsia="zh-CN"/>
              </w:rPr>
              <w:t>还原染料</w:t>
            </w:r>
          </w:p>
        </w:tc>
        <w:tc>
          <w:tcPr>
            <w:tcW w:w="1395" w:type="dxa"/>
            <w:vAlign w:val="center"/>
          </w:tcPr>
          <w:p>
            <w:pPr>
              <w:pStyle w:val="26"/>
              <w:rPr>
                <w:kern w:val="2"/>
                <w:szCs w:val="21"/>
                <w:lang w:val="en-US" w:eastAsia="zh-CN"/>
              </w:rPr>
            </w:pPr>
            <w:r>
              <w:rPr>
                <w:kern w:val="2"/>
                <w:szCs w:val="21"/>
                <w:lang w:val="en-US" w:eastAsia="zh-CN"/>
              </w:rPr>
              <w:t>t/a</w:t>
            </w:r>
          </w:p>
        </w:tc>
        <w:tc>
          <w:tcPr>
            <w:tcW w:w="1785" w:type="dxa"/>
            <w:vAlign w:val="center"/>
          </w:tcPr>
          <w:p>
            <w:pPr>
              <w:pStyle w:val="26"/>
              <w:rPr>
                <w:kern w:val="2"/>
                <w:szCs w:val="21"/>
                <w:lang w:val="en-US" w:eastAsia="zh-CN"/>
              </w:rPr>
            </w:pPr>
            <w:r>
              <w:rPr>
                <w:kern w:val="2"/>
                <w:szCs w:val="21"/>
                <w:lang w:val="en-US" w:eastAsia="zh-CN"/>
              </w:rPr>
              <w:t>8.4</w:t>
            </w:r>
          </w:p>
        </w:tc>
        <w:tc>
          <w:tcPr>
            <w:tcW w:w="3606" w:type="dxa"/>
            <w:vAlign w:val="center"/>
          </w:tcPr>
          <w:p>
            <w:pPr>
              <w:pStyle w:val="26"/>
              <w:rPr>
                <w:kern w:val="2"/>
                <w:szCs w:val="21"/>
                <w:lang w:val="en-US" w:eastAsia="zh-CN"/>
              </w:rPr>
            </w:pPr>
            <w:r>
              <w:rPr>
                <w:rFonts w:hint="eastAsia"/>
                <w:kern w:val="2"/>
                <w:szCs w:val="21"/>
                <w:lang w:val="en-US" w:eastAsia="zh-CN"/>
              </w:rPr>
              <w:t>其中还原卡</w:t>
            </w:r>
            <w:r>
              <w:rPr>
                <w:kern w:val="2"/>
                <w:szCs w:val="21"/>
                <w:lang w:val="en-US" w:eastAsia="zh-CN"/>
              </w:rPr>
              <w:t>G2G 3.6t/a</w:t>
            </w:r>
            <w:r>
              <w:rPr>
                <w:rFonts w:hint="eastAsia"/>
                <w:kern w:val="2"/>
                <w:szCs w:val="21"/>
                <w:lang w:val="en-US" w:eastAsia="zh-CN"/>
              </w:rPr>
              <w:t>；绿</w:t>
            </w:r>
            <w:r>
              <w:rPr>
                <w:kern w:val="2"/>
                <w:szCs w:val="21"/>
                <w:lang w:val="en-US" w:eastAsia="zh-CN"/>
              </w:rPr>
              <w:t>B 4.8t/a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kern w:val="2"/>
                <w:szCs w:val="21"/>
                <w:lang w:val="en-US" w:eastAsia="zh-CN"/>
              </w:rPr>
              <w:t>4</w:t>
            </w:r>
          </w:p>
        </w:tc>
        <w:tc>
          <w:tcPr>
            <w:tcW w:w="1689" w:type="dxa"/>
            <w:vAlign w:val="center"/>
          </w:tcPr>
          <w:p>
            <w:pPr>
              <w:pStyle w:val="26"/>
              <w:rPr>
                <w:kern w:val="2"/>
                <w:szCs w:val="21"/>
                <w:lang w:val="en-US" w:eastAsia="zh-CN"/>
              </w:rPr>
            </w:pPr>
            <w:r>
              <w:rPr>
                <w:rFonts w:hint="eastAsia"/>
                <w:kern w:val="2"/>
                <w:szCs w:val="21"/>
                <w:lang w:val="en-US" w:eastAsia="zh-CN"/>
              </w:rPr>
              <w:t>尿素</w:t>
            </w:r>
          </w:p>
        </w:tc>
        <w:tc>
          <w:tcPr>
            <w:tcW w:w="1395" w:type="dxa"/>
            <w:vAlign w:val="center"/>
          </w:tcPr>
          <w:p>
            <w:pPr>
              <w:pStyle w:val="26"/>
              <w:rPr>
                <w:kern w:val="2"/>
                <w:szCs w:val="21"/>
                <w:lang w:val="en-US" w:eastAsia="zh-CN"/>
              </w:rPr>
            </w:pPr>
            <w:r>
              <w:rPr>
                <w:kern w:val="2"/>
                <w:szCs w:val="21"/>
                <w:lang w:val="en-US" w:eastAsia="zh-CN"/>
              </w:rPr>
              <w:t>t/a</w:t>
            </w:r>
          </w:p>
        </w:tc>
        <w:tc>
          <w:tcPr>
            <w:tcW w:w="1785" w:type="dxa"/>
            <w:vAlign w:val="center"/>
          </w:tcPr>
          <w:p>
            <w:pPr>
              <w:pStyle w:val="26"/>
              <w:rPr>
                <w:kern w:val="2"/>
                <w:szCs w:val="21"/>
                <w:lang w:val="en-US" w:eastAsia="zh-CN"/>
              </w:rPr>
            </w:pPr>
            <w:r>
              <w:rPr>
                <w:kern w:val="2"/>
                <w:szCs w:val="21"/>
                <w:lang w:val="en-US" w:eastAsia="zh-CN"/>
              </w:rPr>
              <w:t>1.2</w:t>
            </w:r>
          </w:p>
        </w:tc>
        <w:tc>
          <w:tcPr>
            <w:tcW w:w="360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kern w:val="2"/>
                <w:szCs w:val="21"/>
                <w:lang w:val="en-US" w:eastAsia="zh-CN"/>
              </w:rPr>
              <w:t>5</w:t>
            </w:r>
          </w:p>
        </w:tc>
        <w:tc>
          <w:tcPr>
            <w:tcW w:w="1689" w:type="dxa"/>
            <w:vAlign w:val="center"/>
          </w:tcPr>
          <w:p>
            <w:pPr>
              <w:pStyle w:val="26"/>
              <w:rPr>
                <w:kern w:val="2"/>
                <w:szCs w:val="21"/>
                <w:lang w:val="en-US" w:eastAsia="zh-CN"/>
              </w:rPr>
            </w:pPr>
            <w:r>
              <w:rPr>
                <w:rFonts w:hint="eastAsia"/>
                <w:kern w:val="2"/>
                <w:szCs w:val="21"/>
                <w:lang w:val="en-US" w:eastAsia="zh-CN"/>
              </w:rPr>
              <w:t>保险粉</w:t>
            </w:r>
          </w:p>
        </w:tc>
        <w:tc>
          <w:tcPr>
            <w:tcW w:w="1395" w:type="dxa"/>
            <w:vAlign w:val="center"/>
          </w:tcPr>
          <w:p>
            <w:pPr>
              <w:pStyle w:val="26"/>
              <w:rPr>
                <w:kern w:val="2"/>
                <w:szCs w:val="21"/>
                <w:lang w:val="en-US" w:eastAsia="zh-CN"/>
              </w:rPr>
            </w:pPr>
            <w:r>
              <w:rPr>
                <w:kern w:val="2"/>
                <w:szCs w:val="21"/>
                <w:lang w:val="en-US" w:eastAsia="zh-CN"/>
              </w:rPr>
              <w:t>t/a</w:t>
            </w:r>
          </w:p>
        </w:tc>
        <w:tc>
          <w:tcPr>
            <w:tcW w:w="1785" w:type="dxa"/>
            <w:vAlign w:val="center"/>
          </w:tcPr>
          <w:p>
            <w:pPr>
              <w:pStyle w:val="26"/>
              <w:rPr>
                <w:kern w:val="2"/>
                <w:szCs w:val="21"/>
                <w:lang w:val="en-US" w:eastAsia="zh-CN"/>
              </w:rPr>
            </w:pPr>
            <w:r>
              <w:rPr>
                <w:kern w:val="2"/>
                <w:szCs w:val="21"/>
                <w:lang w:val="en-US" w:eastAsia="zh-CN"/>
              </w:rPr>
              <w:t>15</w:t>
            </w:r>
          </w:p>
        </w:tc>
        <w:tc>
          <w:tcPr>
            <w:tcW w:w="360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kern w:val="2"/>
                <w:szCs w:val="21"/>
                <w:lang w:val="en-US" w:eastAsia="zh-CN"/>
              </w:rPr>
              <w:t>6</w:t>
            </w:r>
          </w:p>
        </w:tc>
        <w:tc>
          <w:tcPr>
            <w:tcW w:w="1689" w:type="dxa"/>
            <w:vAlign w:val="center"/>
          </w:tcPr>
          <w:p>
            <w:pPr>
              <w:pStyle w:val="26"/>
              <w:rPr>
                <w:kern w:val="2"/>
                <w:szCs w:val="21"/>
                <w:lang w:val="en-US" w:eastAsia="zh-CN"/>
              </w:rPr>
            </w:pPr>
            <w:r>
              <w:rPr>
                <w:rFonts w:hint="eastAsia"/>
                <w:kern w:val="2"/>
                <w:szCs w:val="21"/>
                <w:lang w:val="en-US" w:eastAsia="zh-CN"/>
              </w:rPr>
              <w:t>液碱</w:t>
            </w:r>
          </w:p>
        </w:tc>
        <w:tc>
          <w:tcPr>
            <w:tcW w:w="1395" w:type="dxa"/>
            <w:vAlign w:val="center"/>
          </w:tcPr>
          <w:p>
            <w:pPr>
              <w:pStyle w:val="26"/>
              <w:rPr>
                <w:kern w:val="2"/>
                <w:szCs w:val="21"/>
                <w:lang w:val="en-US" w:eastAsia="zh-CN"/>
              </w:rPr>
            </w:pPr>
            <w:r>
              <w:rPr>
                <w:kern w:val="2"/>
                <w:szCs w:val="21"/>
                <w:lang w:val="en-US" w:eastAsia="zh-CN"/>
              </w:rPr>
              <w:t>t/a</w:t>
            </w:r>
          </w:p>
        </w:tc>
        <w:tc>
          <w:tcPr>
            <w:tcW w:w="1785" w:type="dxa"/>
            <w:vAlign w:val="center"/>
          </w:tcPr>
          <w:p>
            <w:pPr>
              <w:pStyle w:val="26"/>
              <w:rPr>
                <w:kern w:val="2"/>
                <w:szCs w:val="21"/>
                <w:lang w:val="en-US" w:eastAsia="zh-CN"/>
              </w:rPr>
            </w:pPr>
            <w:r>
              <w:rPr>
                <w:kern w:val="2"/>
                <w:szCs w:val="21"/>
                <w:lang w:val="en-US" w:eastAsia="zh-CN"/>
              </w:rPr>
              <w:t>7.5</w:t>
            </w:r>
          </w:p>
        </w:tc>
        <w:tc>
          <w:tcPr>
            <w:tcW w:w="360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kern w:val="2"/>
                <w:szCs w:val="21"/>
                <w:lang w:val="en-US" w:eastAsia="zh-CN"/>
              </w:rPr>
              <w:t>7</w:t>
            </w:r>
          </w:p>
        </w:tc>
        <w:tc>
          <w:tcPr>
            <w:tcW w:w="1689" w:type="dxa"/>
            <w:vAlign w:val="center"/>
          </w:tcPr>
          <w:p>
            <w:pPr>
              <w:pStyle w:val="26"/>
              <w:rPr>
                <w:kern w:val="2"/>
                <w:szCs w:val="21"/>
                <w:lang w:val="en-US" w:eastAsia="zh-CN"/>
              </w:rPr>
            </w:pPr>
            <w:r>
              <w:rPr>
                <w:rFonts w:hint="eastAsia"/>
                <w:kern w:val="2"/>
                <w:szCs w:val="21"/>
                <w:lang w:val="en-US" w:eastAsia="zh-CN"/>
              </w:rPr>
              <w:t>消泡剂</w:t>
            </w:r>
          </w:p>
        </w:tc>
        <w:tc>
          <w:tcPr>
            <w:tcW w:w="1395" w:type="dxa"/>
            <w:vAlign w:val="center"/>
          </w:tcPr>
          <w:p>
            <w:pPr>
              <w:pStyle w:val="26"/>
              <w:rPr>
                <w:kern w:val="2"/>
                <w:szCs w:val="21"/>
                <w:lang w:val="en-US" w:eastAsia="zh-CN"/>
              </w:rPr>
            </w:pPr>
            <w:r>
              <w:rPr>
                <w:kern w:val="2"/>
                <w:szCs w:val="21"/>
                <w:lang w:val="en-US" w:eastAsia="zh-CN"/>
              </w:rPr>
              <w:t>t/a</w:t>
            </w:r>
          </w:p>
        </w:tc>
        <w:tc>
          <w:tcPr>
            <w:tcW w:w="1785" w:type="dxa"/>
            <w:vAlign w:val="center"/>
          </w:tcPr>
          <w:p>
            <w:pPr>
              <w:pStyle w:val="26"/>
              <w:rPr>
                <w:kern w:val="2"/>
                <w:szCs w:val="21"/>
                <w:lang w:val="en-US" w:eastAsia="zh-CN"/>
              </w:rPr>
            </w:pPr>
            <w:r>
              <w:rPr>
                <w:kern w:val="2"/>
                <w:szCs w:val="21"/>
                <w:lang w:val="en-US" w:eastAsia="zh-CN"/>
              </w:rPr>
              <w:t>1.2</w:t>
            </w:r>
          </w:p>
        </w:tc>
        <w:tc>
          <w:tcPr>
            <w:tcW w:w="360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kern w:val="2"/>
                <w:szCs w:val="21"/>
                <w:lang w:val="en-US" w:eastAsia="zh-CN"/>
              </w:rPr>
              <w:t>8</w:t>
            </w:r>
          </w:p>
        </w:tc>
        <w:tc>
          <w:tcPr>
            <w:tcW w:w="1689" w:type="dxa"/>
            <w:vAlign w:val="center"/>
          </w:tcPr>
          <w:p>
            <w:pPr>
              <w:pStyle w:val="26"/>
              <w:rPr>
                <w:kern w:val="2"/>
                <w:szCs w:val="21"/>
                <w:lang w:val="en-US" w:eastAsia="zh-CN"/>
              </w:rPr>
            </w:pPr>
            <w:r>
              <w:rPr>
                <w:rFonts w:hint="eastAsia"/>
                <w:kern w:val="2"/>
                <w:szCs w:val="21"/>
                <w:lang w:val="en-US" w:eastAsia="zh-CN"/>
              </w:rPr>
              <w:t>渗透剂</w:t>
            </w:r>
          </w:p>
        </w:tc>
        <w:tc>
          <w:tcPr>
            <w:tcW w:w="1395" w:type="dxa"/>
            <w:vAlign w:val="center"/>
          </w:tcPr>
          <w:p>
            <w:pPr>
              <w:pStyle w:val="26"/>
              <w:rPr>
                <w:kern w:val="2"/>
                <w:szCs w:val="21"/>
                <w:lang w:val="en-US" w:eastAsia="zh-CN"/>
              </w:rPr>
            </w:pPr>
            <w:r>
              <w:rPr>
                <w:kern w:val="2"/>
                <w:szCs w:val="21"/>
                <w:lang w:val="en-US" w:eastAsia="zh-CN"/>
              </w:rPr>
              <w:t>t/a</w:t>
            </w:r>
          </w:p>
        </w:tc>
        <w:tc>
          <w:tcPr>
            <w:tcW w:w="1785" w:type="dxa"/>
            <w:vAlign w:val="center"/>
          </w:tcPr>
          <w:p>
            <w:pPr>
              <w:pStyle w:val="26"/>
              <w:rPr>
                <w:kern w:val="2"/>
                <w:szCs w:val="21"/>
                <w:lang w:val="en-US" w:eastAsia="zh-CN"/>
              </w:rPr>
            </w:pPr>
            <w:r>
              <w:rPr>
                <w:kern w:val="2"/>
                <w:szCs w:val="21"/>
                <w:lang w:val="en-US" w:eastAsia="zh-CN"/>
              </w:rPr>
              <w:t>12</w:t>
            </w:r>
          </w:p>
        </w:tc>
        <w:tc>
          <w:tcPr>
            <w:tcW w:w="360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kern w:val="2"/>
                <w:szCs w:val="21"/>
                <w:lang w:val="en-US" w:eastAsia="zh-CN"/>
              </w:rPr>
              <w:t>9</w:t>
            </w:r>
          </w:p>
        </w:tc>
        <w:tc>
          <w:tcPr>
            <w:tcW w:w="1689" w:type="dxa"/>
            <w:vAlign w:val="center"/>
          </w:tcPr>
          <w:p>
            <w:pPr>
              <w:pStyle w:val="26"/>
              <w:rPr>
                <w:kern w:val="2"/>
                <w:szCs w:val="21"/>
                <w:lang w:val="en-US" w:eastAsia="zh-CN"/>
              </w:rPr>
            </w:pPr>
            <w:r>
              <w:rPr>
                <w:rFonts w:hint="eastAsia"/>
                <w:kern w:val="2"/>
                <w:szCs w:val="21"/>
                <w:lang w:val="en-US" w:eastAsia="zh-CN"/>
              </w:rPr>
              <w:t>蒸汽</w:t>
            </w:r>
          </w:p>
        </w:tc>
        <w:tc>
          <w:tcPr>
            <w:tcW w:w="1395" w:type="dxa"/>
            <w:vAlign w:val="center"/>
          </w:tcPr>
          <w:p>
            <w:pPr>
              <w:pStyle w:val="26"/>
              <w:rPr>
                <w:kern w:val="2"/>
                <w:szCs w:val="21"/>
                <w:lang w:val="en-US" w:eastAsia="zh-CN"/>
              </w:rPr>
            </w:pPr>
            <w:r>
              <w:rPr>
                <w:kern w:val="2"/>
                <w:szCs w:val="21"/>
                <w:lang w:val="en-US" w:eastAsia="zh-CN"/>
              </w:rPr>
              <w:t>t/a</w:t>
            </w:r>
          </w:p>
        </w:tc>
        <w:tc>
          <w:tcPr>
            <w:tcW w:w="1785" w:type="dxa"/>
            <w:vAlign w:val="center"/>
          </w:tcPr>
          <w:p>
            <w:pPr>
              <w:pStyle w:val="26"/>
              <w:rPr>
                <w:kern w:val="2"/>
                <w:szCs w:val="21"/>
                <w:lang w:val="en-US" w:eastAsia="zh-CN"/>
              </w:rPr>
            </w:pPr>
            <w:r>
              <w:rPr>
                <w:kern w:val="2"/>
                <w:szCs w:val="21"/>
                <w:lang w:val="en-US" w:eastAsia="zh-CN"/>
              </w:rPr>
              <w:t>3.12</w:t>
            </w:r>
          </w:p>
        </w:tc>
        <w:tc>
          <w:tcPr>
            <w:tcW w:w="360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9854" w:type="dxa"/>
            <w:gridSpan w:val="5"/>
            <w:vAlign w:val="center"/>
          </w:tcPr>
          <w:p>
            <w:pPr>
              <w:pStyle w:val="26"/>
              <w:rPr>
                <w:kern w:val="2"/>
                <w:szCs w:val="21"/>
                <w:lang w:val="en-US" w:eastAsia="zh-CN"/>
              </w:rPr>
            </w:pPr>
            <w:r>
              <w:rPr>
                <w:rFonts w:hint="eastAsia"/>
                <w:kern w:val="2"/>
                <w:szCs w:val="21"/>
                <w:lang w:val="en-US" w:eastAsia="zh-CN"/>
              </w:rPr>
              <w:t>二、纺纱车间主要原辅材料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kern w:val="2"/>
                <w:szCs w:val="21"/>
                <w:lang w:val="en-US" w:eastAsia="zh-CN"/>
              </w:rPr>
              <w:t>1</w:t>
            </w:r>
          </w:p>
        </w:tc>
        <w:tc>
          <w:tcPr>
            <w:tcW w:w="1689" w:type="dxa"/>
            <w:vAlign w:val="center"/>
          </w:tcPr>
          <w:p>
            <w:pPr>
              <w:pStyle w:val="26"/>
              <w:rPr>
                <w:kern w:val="2"/>
                <w:szCs w:val="21"/>
                <w:lang w:val="en-US" w:eastAsia="zh-CN"/>
              </w:rPr>
            </w:pPr>
            <w:r>
              <w:rPr>
                <w:rFonts w:hint="eastAsia"/>
                <w:kern w:val="2"/>
                <w:szCs w:val="21"/>
                <w:lang w:val="en-US" w:eastAsia="zh-CN"/>
              </w:rPr>
              <w:t>涤纶短纤</w:t>
            </w:r>
          </w:p>
        </w:tc>
        <w:tc>
          <w:tcPr>
            <w:tcW w:w="1395" w:type="dxa"/>
            <w:vAlign w:val="center"/>
          </w:tcPr>
          <w:p>
            <w:pPr>
              <w:pStyle w:val="26"/>
              <w:rPr>
                <w:kern w:val="2"/>
                <w:szCs w:val="21"/>
                <w:lang w:val="en-US" w:eastAsia="zh-CN"/>
              </w:rPr>
            </w:pPr>
            <w:r>
              <w:rPr>
                <w:rFonts w:hint="eastAsia"/>
                <w:kern w:val="2"/>
                <w:szCs w:val="21"/>
                <w:lang w:val="en-US" w:eastAsia="zh-CN"/>
              </w:rPr>
              <w:t>吨</w:t>
            </w:r>
            <w:r>
              <w:rPr>
                <w:kern w:val="2"/>
                <w:szCs w:val="21"/>
                <w:lang w:val="en-US" w:eastAsia="zh-CN"/>
              </w:rPr>
              <w:t>/a</w:t>
            </w:r>
          </w:p>
        </w:tc>
        <w:tc>
          <w:tcPr>
            <w:tcW w:w="1785" w:type="dxa"/>
            <w:vAlign w:val="center"/>
          </w:tcPr>
          <w:p>
            <w:pPr>
              <w:pStyle w:val="26"/>
              <w:rPr>
                <w:kern w:val="2"/>
                <w:szCs w:val="21"/>
                <w:lang w:val="en-US" w:eastAsia="zh-CN"/>
              </w:rPr>
            </w:pPr>
            <w:r>
              <w:rPr>
                <w:rFonts w:hint="eastAsia"/>
                <w:kern w:val="2"/>
                <w:szCs w:val="21"/>
                <w:lang w:val="en-US" w:eastAsia="zh-CN"/>
              </w:rPr>
              <w:t>303</w:t>
            </w:r>
          </w:p>
        </w:tc>
        <w:tc>
          <w:tcPr>
            <w:tcW w:w="360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9854" w:type="dxa"/>
            <w:gridSpan w:val="5"/>
            <w:vAlign w:val="center"/>
          </w:tcPr>
          <w:p>
            <w:pPr>
              <w:pStyle w:val="26"/>
              <w:rPr>
                <w:kern w:val="2"/>
                <w:szCs w:val="21"/>
                <w:lang w:val="en-US" w:eastAsia="zh-CN"/>
              </w:rPr>
            </w:pPr>
            <w:r>
              <w:rPr>
                <w:rFonts w:hint="eastAsia"/>
                <w:kern w:val="2"/>
                <w:szCs w:val="21"/>
                <w:lang w:val="en-US" w:eastAsia="zh-CN"/>
              </w:rPr>
              <w:t>三、织布车间主要原辅材料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rFonts w:hint="eastAsia"/>
                <w:kern w:val="2"/>
                <w:szCs w:val="21"/>
                <w:lang w:val="en-US" w:eastAsia="zh-CN"/>
              </w:rPr>
              <w:t>1</w:t>
            </w:r>
          </w:p>
        </w:tc>
        <w:tc>
          <w:tcPr>
            <w:tcW w:w="1689" w:type="dxa"/>
            <w:vAlign w:val="center"/>
          </w:tcPr>
          <w:p>
            <w:pPr>
              <w:pStyle w:val="26"/>
              <w:rPr>
                <w:kern w:val="2"/>
                <w:szCs w:val="21"/>
                <w:lang w:val="en-US" w:eastAsia="zh-CN"/>
              </w:rPr>
            </w:pPr>
            <w:r>
              <w:rPr>
                <w:rFonts w:hint="eastAsia"/>
                <w:kern w:val="2"/>
                <w:szCs w:val="21"/>
                <w:lang w:val="en-US" w:eastAsia="zh-CN"/>
              </w:rPr>
              <w:t>棉线</w:t>
            </w:r>
          </w:p>
        </w:tc>
        <w:tc>
          <w:tcPr>
            <w:tcW w:w="1395" w:type="dxa"/>
            <w:vAlign w:val="center"/>
          </w:tcPr>
          <w:p>
            <w:pPr>
              <w:pStyle w:val="26"/>
              <w:rPr>
                <w:kern w:val="2"/>
                <w:szCs w:val="21"/>
                <w:lang w:val="en-US" w:eastAsia="zh-CN"/>
              </w:rPr>
            </w:pPr>
            <w:r>
              <w:rPr>
                <w:rFonts w:hint="eastAsia"/>
                <w:kern w:val="2"/>
                <w:szCs w:val="21"/>
                <w:lang w:val="en-US" w:eastAsia="zh-CN"/>
              </w:rPr>
              <w:t>万吨/a</w:t>
            </w:r>
          </w:p>
        </w:tc>
        <w:tc>
          <w:tcPr>
            <w:tcW w:w="1785" w:type="dxa"/>
            <w:vAlign w:val="center"/>
          </w:tcPr>
          <w:p>
            <w:pPr>
              <w:pStyle w:val="26"/>
              <w:rPr>
                <w:kern w:val="2"/>
                <w:szCs w:val="21"/>
                <w:lang w:val="en-US" w:eastAsia="zh-CN"/>
              </w:rPr>
            </w:pPr>
            <w:r>
              <w:rPr>
                <w:rFonts w:hint="eastAsia"/>
                <w:kern w:val="2"/>
                <w:szCs w:val="21"/>
                <w:lang w:val="en-US" w:eastAsia="zh-CN"/>
              </w:rPr>
              <w:t>1818</w:t>
            </w:r>
          </w:p>
        </w:tc>
        <w:tc>
          <w:tcPr>
            <w:tcW w:w="3606" w:type="dxa"/>
            <w:vAlign w:val="center"/>
          </w:tcPr>
          <w:p>
            <w:pPr>
              <w:pStyle w:val="26"/>
              <w:rPr>
                <w:kern w:val="2"/>
                <w:szCs w:val="21"/>
                <w:lang w:val="en-US" w:eastAsia="zh-CN"/>
              </w:rPr>
            </w:pPr>
            <w:r>
              <w:rPr>
                <w:rFonts w:hint="eastAsia"/>
                <w:kern w:val="2"/>
                <w:szCs w:val="21"/>
                <w:lang w:val="en-US" w:eastAsia="zh-CN"/>
              </w:rPr>
              <w:t>织布车间已停产，该部分实际情况无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9854" w:type="dxa"/>
            <w:gridSpan w:val="5"/>
            <w:vAlign w:val="center"/>
          </w:tcPr>
          <w:p>
            <w:pPr>
              <w:pStyle w:val="26"/>
              <w:rPr>
                <w:kern w:val="2"/>
                <w:szCs w:val="21"/>
                <w:lang w:val="en-US" w:eastAsia="zh-CN"/>
              </w:rPr>
            </w:pPr>
            <w:r>
              <w:rPr>
                <w:rFonts w:hint="eastAsia"/>
                <w:kern w:val="2"/>
                <w:szCs w:val="21"/>
                <w:lang w:val="en-US" w:eastAsia="zh-CN"/>
              </w:rPr>
              <w:t>四、能源消耗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rFonts w:hint="eastAsia"/>
                <w:kern w:val="2"/>
                <w:szCs w:val="21"/>
                <w:lang w:val="en-US" w:eastAsia="zh-CN"/>
              </w:rPr>
              <w:t>1</w:t>
            </w:r>
          </w:p>
        </w:tc>
        <w:tc>
          <w:tcPr>
            <w:tcW w:w="1689" w:type="dxa"/>
            <w:vAlign w:val="center"/>
          </w:tcPr>
          <w:p>
            <w:pPr>
              <w:pStyle w:val="26"/>
              <w:rPr>
                <w:kern w:val="2"/>
                <w:szCs w:val="21"/>
                <w:lang w:val="en-US" w:eastAsia="zh-CN"/>
              </w:rPr>
            </w:pPr>
            <w:r>
              <w:rPr>
                <w:rFonts w:hint="eastAsia"/>
                <w:kern w:val="2"/>
                <w:szCs w:val="21"/>
                <w:lang w:val="en-US" w:eastAsia="zh-CN"/>
              </w:rPr>
              <w:t>水</w:t>
            </w:r>
          </w:p>
        </w:tc>
        <w:tc>
          <w:tcPr>
            <w:tcW w:w="1395" w:type="dxa"/>
            <w:vAlign w:val="center"/>
          </w:tcPr>
          <w:p>
            <w:pPr>
              <w:pStyle w:val="26"/>
              <w:rPr>
                <w:kern w:val="2"/>
                <w:szCs w:val="21"/>
                <w:lang w:val="en-US" w:eastAsia="zh-CN"/>
              </w:rPr>
            </w:pPr>
            <w:r>
              <w:rPr>
                <w:rFonts w:hint="eastAsia"/>
                <w:kern w:val="2"/>
                <w:szCs w:val="21"/>
                <w:lang w:val="en-US" w:eastAsia="zh-CN"/>
              </w:rPr>
              <w:t>万</w:t>
            </w:r>
            <w:r>
              <w:rPr>
                <w:kern w:val="2"/>
                <w:szCs w:val="21"/>
                <w:lang w:val="en-US" w:eastAsia="zh-CN"/>
              </w:rPr>
              <w:t>m</w:t>
            </w:r>
            <w:r>
              <w:rPr>
                <w:kern w:val="2"/>
                <w:szCs w:val="21"/>
                <w:vertAlign w:val="superscript"/>
                <w:lang w:val="en-US" w:eastAsia="zh-CN"/>
              </w:rPr>
              <w:t>3</w:t>
            </w:r>
            <w:r>
              <w:rPr>
                <w:kern w:val="2"/>
                <w:szCs w:val="21"/>
                <w:lang w:val="en-US" w:eastAsia="zh-CN"/>
              </w:rPr>
              <w:t>/a</w:t>
            </w:r>
          </w:p>
        </w:tc>
        <w:tc>
          <w:tcPr>
            <w:tcW w:w="1785" w:type="dxa"/>
            <w:vAlign w:val="center"/>
          </w:tcPr>
          <w:p>
            <w:pPr>
              <w:pStyle w:val="26"/>
              <w:rPr>
                <w:kern w:val="2"/>
                <w:szCs w:val="21"/>
                <w:lang w:val="en-US" w:eastAsia="zh-CN"/>
              </w:rPr>
            </w:pPr>
            <w:r>
              <w:rPr>
                <w:rFonts w:hint="eastAsia"/>
                <w:kern w:val="2"/>
                <w:szCs w:val="21"/>
                <w:lang w:val="en-US" w:eastAsia="zh-CN"/>
              </w:rPr>
              <w:t>36.729</w:t>
            </w:r>
          </w:p>
        </w:tc>
        <w:tc>
          <w:tcPr>
            <w:tcW w:w="360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rFonts w:hint="eastAsia"/>
                <w:kern w:val="2"/>
                <w:szCs w:val="21"/>
                <w:lang w:val="en-US" w:eastAsia="zh-CN"/>
              </w:rPr>
              <w:t>2</w:t>
            </w:r>
          </w:p>
        </w:tc>
        <w:tc>
          <w:tcPr>
            <w:tcW w:w="1689" w:type="dxa"/>
            <w:vAlign w:val="center"/>
          </w:tcPr>
          <w:p>
            <w:pPr>
              <w:pStyle w:val="26"/>
              <w:rPr>
                <w:kern w:val="2"/>
                <w:szCs w:val="21"/>
                <w:lang w:val="en-US" w:eastAsia="zh-CN"/>
              </w:rPr>
            </w:pPr>
            <w:r>
              <w:rPr>
                <w:rFonts w:hint="eastAsia"/>
                <w:kern w:val="2"/>
                <w:szCs w:val="21"/>
                <w:lang w:val="en-US" w:eastAsia="zh-CN"/>
              </w:rPr>
              <w:t>电</w:t>
            </w:r>
          </w:p>
        </w:tc>
        <w:tc>
          <w:tcPr>
            <w:tcW w:w="1395" w:type="dxa"/>
            <w:vAlign w:val="center"/>
          </w:tcPr>
          <w:p>
            <w:pPr>
              <w:pStyle w:val="26"/>
              <w:rPr>
                <w:kern w:val="2"/>
                <w:szCs w:val="21"/>
                <w:lang w:val="en-US" w:eastAsia="zh-CN"/>
              </w:rPr>
            </w:pPr>
            <w:r>
              <w:rPr>
                <w:rFonts w:hint="eastAsia"/>
                <w:kern w:val="2"/>
                <w:szCs w:val="21"/>
                <w:lang w:val="en-US" w:eastAsia="zh-CN"/>
              </w:rPr>
              <w:t>万度</w:t>
            </w:r>
            <w:r>
              <w:rPr>
                <w:kern w:val="2"/>
                <w:szCs w:val="21"/>
                <w:lang w:val="en-US" w:eastAsia="zh-CN"/>
              </w:rPr>
              <w:t>/a</w:t>
            </w:r>
          </w:p>
        </w:tc>
        <w:tc>
          <w:tcPr>
            <w:tcW w:w="1785" w:type="dxa"/>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7.7</w:t>
            </w:r>
          </w:p>
        </w:tc>
        <w:tc>
          <w:tcPr>
            <w:tcW w:w="360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rFonts w:hint="eastAsia"/>
                <w:kern w:val="2"/>
                <w:szCs w:val="21"/>
                <w:lang w:val="en-US" w:eastAsia="zh-CN"/>
              </w:rPr>
              <w:t>3</w:t>
            </w:r>
          </w:p>
        </w:tc>
        <w:tc>
          <w:tcPr>
            <w:tcW w:w="1689" w:type="dxa"/>
            <w:vAlign w:val="center"/>
          </w:tcPr>
          <w:p>
            <w:pPr>
              <w:pStyle w:val="26"/>
              <w:rPr>
                <w:kern w:val="2"/>
                <w:szCs w:val="21"/>
                <w:lang w:val="en-US" w:eastAsia="zh-CN"/>
              </w:rPr>
            </w:pPr>
            <w:r>
              <w:rPr>
                <w:rFonts w:hint="eastAsia"/>
                <w:kern w:val="2"/>
                <w:szCs w:val="21"/>
                <w:lang w:val="en-US" w:eastAsia="zh-CN"/>
              </w:rPr>
              <w:t>煤</w:t>
            </w:r>
          </w:p>
        </w:tc>
        <w:tc>
          <w:tcPr>
            <w:tcW w:w="1395" w:type="dxa"/>
            <w:vAlign w:val="center"/>
          </w:tcPr>
          <w:p>
            <w:pPr>
              <w:pStyle w:val="26"/>
              <w:rPr>
                <w:kern w:val="2"/>
                <w:szCs w:val="21"/>
                <w:lang w:val="en-US" w:eastAsia="zh-CN"/>
              </w:rPr>
            </w:pPr>
            <w:r>
              <w:rPr>
                <w:kern w:val="2"/>
                <w:szCs w:val="21"/>
                <w:lang w:val="en-US" w:eastAsia="zh-CN"/>
              </w:rPr>
              <w:t>t/a</w:t>
            </w:r>
          </w:p>
        </w:tc>
        <w:tc>
          <w:tcPr>
            <w:tcW w:w="1785" w:type="dxa"/>
            <w:vAlign w:val="center"/>
          </w:tcPr>
          <w:p>
            <w:pPr>
              <w:pStyle w:val="26"/>
              <w:rPr>
                <w:kern w:val="2"/>
                <w:szCs w:val="21"/>
                <w:lang w:val="en-US" w:eastAsia="zh-CN"/>
              </w:rPr>
            </w:pPr>
            <w:r>
              <w:rPr>
                <w:kern w:val="2"/>
                <w:szCs w:val="21"/>
                <w:lang w:val="en-US" w:eastAsia="zh-CN"/>
              </w:rPr>
              <w:t>800</w:t>
            </w:r>
          </w:p>
        </w:tc>
        <w:tc>
          <w:tcPr>
            <w:tcW w:w="3606" w:type="dxa"/>
            <w:vAlign w:val="center"/>
          </w:tcPr>
          <w:p>
            <w:pPr>
              <w:pStyle w:val="26"/>
              <w:rPr>
                <w:kern w:val="2"/>
                <w:szCs w:val="21"/>
                <w:lang w:val="en-US" w:eastAsia="zh-CN"/>
              </w:rPr>
            </w:pPr>
            <w:r>
              <w:rPr>
                <w:rFonts w:hint="eastAsia"/>
                <w:kern w:val="2"/>
                <w:szCs w:val="21"/>
                <w:lang w:val="en-US" w:eastAsia="zh-CN"/>
              </w:rPr>
              <w:t>印染生产过程使用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rFonts w:hint="eastAsia"/>
                <w:kern w:val="2"/>
                <w:szCs w:val="21"/>
                <w:lang w:val="en-US" w:eastAsia="zh-CN"/>
              </w:rPr>
              <w:t>4</w:t>
            </w:r>
          </w:p>
        </w:tc>
        <w:tc>
          <w:tcPr>
            <w:tcW w:w="1689" w:type="dxa"/>
            <w:vAlign w:val="center"/>
          </w:tcPr>
          <w:p>
            <w:pPr>
              <w:pStyle w:val="26"/>
              <w:rPr>
                <w:kern w:val="2"/>
                <w:szCs w:val="21"/>
                <w:lang w:val="en-US" w:eastAsia="zh-CN"/>
              </w:rPr>
            </w:pPr>
            <w:r>
              <w:rPr>
                <w:rFonts w:hint="eastAsia"/>
                <w:kern w:val="2"/>
                <w:szCs w:val="21"/>
                <w:lang w:val="en-US" w:eastAsia="zh-CN"/>
              </w:rPr>
              <w:t>导热油</w:t>
            </w:r>
          </w:p>
        </w:tc>
        <w:tc>
          <w:tcPr>
            <w:tcW w:w="1395" w:type="dxa"/>
            <w:vAlign w:val="center"/>
          </w:tcPr>
          <w:p>
            <w:pPr>
              <w:pStyle w:val="26"/>
              <w:rPr>
                <w:kern w:val="2"/>
                <w:szCs w:val="21"/>
                <w:lang w:val="en-US" w:eastAsia="zh-CN"/>
              </w:rPr>
            </w:pPr>
            <w:r>
              <w:rPr>
                <w:kern w:val="2"/>
                <w:szCs w:val="21"/>
                <w:lang w:val="en-US" w:eastAsia="zh-CN"/>
              </w:rPr>
              <w:t>t/a</w:t>
            </w:r>
          </w:p>
        </w:tc>
        <w:tc>
          <w:tcPr>
            <w:tcW w:w="1785" w:type="dxa"/>
            <w:vAlign w:val="center"/>
          </w:tcPr>
          <w:p>
            <w:pPr>
              <w:pStyle w:val="26"/>
              <w:rPr>
                <w:kern w:val="2"/>
                <w:szCs w:val="21"/>
                <w:lang w:val="en-US" w:eastAsia="zh-CN"/>
              </w:rPr>
            </w:pPr>
            <w:r>
              <w:rPr>
                <w:kern w:val="2"/>
                <w:szCs w:val="21"/>
                <w:lang w:val="en-US" w:eastAsia="zh-CN"/>
              </w:rPr>
              <w:t>4</w:t>
            </w:r>
          </w:p>
        </w:tc>
        <w:tc>
          <w:tcPr>
            <w:tcW w:w="3606" w:type="dxa"/>
            <w:vAlign w:val="center"/>
          </w:tcPr>
          <w:p>
            <w:pPr>
              <w:pStyle w:val="26"/>
              <w:rPr>
                <w:kern w:val="2"/>
                <w:szCs w:val="21"/>
                <w:lang w:val="en-US" w:eastAsia="zh-CN"/>
              </w:rPr>
            </w:pPr>
            <w:r>
              <w:rPr>
                <w:rFonts w:hint="eastAsia"/>
                <w:kern w:val="2"/>
                <w:szCs w:val="21"/>
                <w:lang w:val="en-US" w:eastAsia="zh-CN"/>
              </w:rPr>
              <w:t>印染生产过程使用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kern w:val="2"/>
                <w:szCs w:val="21"/>
                <w:lang w:val="en-US" w:eastAsia="zh-CN"/>
              </w:rPr>
            </w:pPr>
            <w:r>
              <w:rPr>
                <w:rFonts w:hint="eastAsia"/>
                <w:kern w:val="2"/>
                <w:szCs w:val="21"/>
                <w:lang w:val="en-US" w:eastAsia="zh-CN"/>
              </w:rPr>
              <w:t>5</w:t>
            </w:r>
          </w:p>
        </w:tc>
        <w:tc>
          <w:tcPr>
            <w:tcW w:w="1689" w:type="dxa"/>
            <w:vAlign w:val="center"/>
          </w:tcPr>
          <w:p>
            <w:pPr>
              <w:pStyle w:val="26"/>
              <w:rPr>
                <w:kern w:val="2"/>
                <w:szCs w:val="21"/>
                <w:lang w:val="en-US" w:eastAsia="zh-CN"/>
              </w:rPr>
            </w:pPr>
            <w:r>
              <w:rPr>
                <w:rFonts w:hint="eastAsia"/>
                <w:kern w:val="2"/>
                <w:szCs w:val="21"/>
                <w:lang w:val="en-US" w:eastAsia="zh-CN"/>
              </w:rPr>
              <w:t>石油液化气</w:t>
            </w:r>
          </w:p>
        </w:tc>
        <w:tc>
          <w:tcPr>
            <w:tcW w:w="1395" w:type="dxa"/>
            <w:vAlign w:val="center"/>
          </w:tcPr>
          <w:p>
            <w:pPr>
              <w:pStyle w:val="26"/>
              <w:rPr>
                <w:kern w:val="2"/>
                <w:szCs w:val="21"/>
                <w:lang w:val="en-US" w:eastAsia="zh-CN"/>
              </w:rPr>
            </w:pPr>
            <w:r>
              <w:rPr>
                <w:rFonts w:hint="eastAsia"/>
                <w:kern w:val="2"/>
                <w:szCs w:val="21"/>
                <w:lang w:val="en-US" w:eastAsia="zh-CN"/>
              </w:rPr>
              <w:t>万m</w:t>
            </w:r>
            <w:r>
              <w:rPr>
                <w:rFonts w:hint="eastAsia"/>
                <w:kern w:val="2"/>
                <w:szCs w:val="21"/>
                <w:vertAlign w:val="superscript"/>
                <w:lang w:val="en-US" w:eastAsia="zh-CN"/>
              </w:rPr>
              <w:t>3</w:t>
            </w:r>
            <w:r>
              <w:rPr>
                <w:rFonts w:hint="eastAsia"/>
                <w:kern w:val="2"/>
                <w:szCs w:val="21"/>
                <w:lang w:val="en-US" w:eastAsia="zh-CN"/>
              </w:rPr>
              <w:t>/a</w:t>
            </w:r>
          </w:p>
        </w:tc>
        <w:tc>
          <w:tcPr>
            <w:tcW w:w="1785" w:type="dxa"/>
            <w:vAlign w:val="center"/>
          </w:tcPr>
          <w:p>
            <w:pPr>
              <w:pStyle w:val="26"/>
              <w:rPr>
                <w:kern w:val="2"/>
                <w:szCs w:val="21"/>
                <w:lang w:val="en-US" w:eastAsia="zh-CN"/>
              </w:rPr>
            </w:pPr>
            <w:r>
              <w:rPr>
                <w:rFonts w:hint="eastAsia"/>
                <w:kern w:val="2"/>
                <w:szCs w:val="21"/>
                <w:lang w:val="en-US" w:eastAsia="zh-CN"/>
              </w:rPr>
              <w:t>4000</w:t>
            </w:r>
          </w:p>
        </w:tc>
        <w:tc>
          <w:tcPr>
            <w:tcW w:w="3606" w:type="dxa"/>
            <w:vAlign w:val="center"/>
          </w:tcPr>
          <w:p>
            <w:pPr>
              <w:pStyle w:val="26"/>
              <w:rPr>
                <w:kern w:val="2"/>
                <w:szCs w:val="21"/>
                <w:lang w:val="en-US" w:eastAsia="zh-CN"/>
              </w:rPr>
            </w:pPr>
            <w:r>
              <w:rPr>
                <w:rFonts w:hint="eastAsia"/>
                <w:kern w:val="2"/>
                <w:szCs w:val="21"/>
                <w:lang w:val="en-US" w:eastAsia="zh-CN"/>
              </w:rPr>
              <w:t>用于烧毛工序</w:t>
            </w:r>
          </w:p>
        </w:tc>
      </w:tr>
    </w:tbl>
    <w:p>
      <w:pPr>
        <w:ind w:firstLine="480"/>
      </w:pPr>
      <w:r>
        <w:t>2</w:t>
      </w:r>
      <w:r>
        <w:rPr>
          <w:rFonts w:hint="eastAsia"/>
        </w:rPr>
        <w:t>、主要原辅材料理化性质、毒性毒理</w:t>
      </w:r>
    </w:p>
    <w:p>
      <w:pPr>
        <w:ind w:firstLine="480"/>
      </w:pPr>
      <w:r>
        <w:rPr>
          <w:rFonts w:hint="eastAsia"/>
        </w:rPr>
        <w:t>（</w:t>
      </w:r>
      <w:r>
        <w:t>1</w:t>
      </w:r>
      <w:r>
        <w:rPr>
          <w:rFonts w:hint="eastAsia"/>
        </w:rPr>
        <w:t>）尿素</w:t>
      </w:r>
    </w:p>
    <w:p>
      <w:pPr>
        <w:ind w:firstLine="480"/>
      </w:pPr>
      <w:r>
        <w:rPr>
          <w:rFonts w:hint="eastAsia"/>
        </w:rPr>
        <w:t>分子式为</w:t>
      </w:r>
      <w:r>
        <w:t>CH</w:t>
      </w:r>
      <w:r>
        <w:rPr>
          <w:vertAlign w:val="subscript"/>
        </w:rPr>
        <w:t>4</w:t>
      </w:r>
      <w:r>
        <w:t>N</w:t>
      </w:r>
      <w:r>
        <w:rPr>
          <w:vertAlign w:val="subscript"/>
        </w:rPr>
        <w:t>2</w:t>
      </w:r>
      <w:r>
        <w:t>O</w:t>
      </w:r>
      <w:r>
        <w:rPr>
          <w:rFonts w:hint="eastAsia"/>
        </w:rPr>
        <w:t>，为白色、无嗅的针状或棱状晶体，其熔点为</w:t>
      </w:r>
      <w:r>
        <w:t>132.7</w:t>
      </w:r>
      <w:r>
        <w:rPr>
          <w:rFonts w:hint="eastAsia"/>
        </w:rPr>
        <w:t>℃，相对密度为</w:t>
      </w:r>
      <w:r>
        <w:t>1.335</w:t>
      </w:r>
      <w:r>
        <w:rPr>
          <w:rFonts w:hint="eastAsia"/>
        </w:rPr>
        <w:t>，溶于水、甲醇、乙醇，微溶于乙醚、氯仿、苯。主要用作肥料，也可作为动物的补充饲料。做工也原料，在有机合成工业中生产三聚氰胺、脲醛树脂、水合肼等；在医药工业中用于生产苯巴比妥、咖啡因等；染料工业中用于生产原棕</w:t>
      </w:r>
      <w:r>
        <w:t>BR</w:t>
      </w:r>
      <w:r>
        <w:rPr>
          <w:rFonts w:hint="eastAsia"/>
        </w:rPr>
        <w:t>、酞青蓝</w:t>
      </w:r>
      <w:r>
        <w:t>B</w:t>
      </w:r>
      <w:r>
        <w:rPr>
          <w:rFonts w:hint="eastAsia"/>
        </w:rPr>
        <w:t>、酞青蓝</w:t>
      </w:r>
      <w:r>
        <w:t>BXBS</w:t>
      </w:r>
      <w:r>
        <w:rPr>
          <w:rFonts w:hint="eastAsia"/>
        </w:rPr>
        <w:t>等；在纺织工业中用于制造含脲的聚合物，纤维产品的软化剂等；在炸药制造中用作稳定剂和在石油工业提炼过程的脱蜡剂；还用于印染布、油墨颜料等。</w:t>
      </w:r>
    </w:p>
    <w:p>
      <w:pPr>
        <w:ind w:firstLine="480"/>
      </w:pPr>
      <w:r>
        <w:rPr>
          <w:rFonts w:hint="eastAsia"/>
        </w:rPr>
        <w:t>（</w:t>
      </w:r>
      <w:r>
        <w:t>2</w:t>
      </w:r>
      <w:r>
        <w:rPr>
          <w:rFonts w:hint="eastAsia"/>
        </w:rPr>
        <w:t>）液碱</w:t>
      </w:r>
    </w:p>
    <w:p>
      <w:pPr>
        <w:ind w:firstLine="480"/>
      </w:pPr>
      <w:r>
        <w:rPr>
          <w:rFonts w:hint="eastAsia"/>
        </w:rPr>
        <w:t>分子式为</w:t>
      </w:r>
      <w:r>
        <w:t>NaOH</w:t>
      </w:r>
      <w:r>
        <w:rPr>
          <w:rFonts w:hint="eastAsia"/>
        </w:rPr>
        <w:t>，分子量为</w:t>
      </w:r>
      <w:r>
        <w:t>40.01</w:t>
      </w:r>
      <w:r>
        <w:rPr>
          <w:rFonts w:hint="eastAsia"/>
        </w:rPr>
        <w:t>，熔点为</w:t>
      </w:r>
      <w:r>
        <w:t>318.4</w:t>
      </w:r>
      <w:r>
        <w:rPr>
          <w:rFonts w:hint="eastAsia"/>
        </w:rPr>
        <w:t>℃、沸点为</w:t>
      </w:r>
      <w:r>
        <w:t>1390</w:t>
      </w:r>
      <w:r>
        <w:rPr>
          <w:rFonts w:hint="eastAsia"/>
        </w:rPr>
        <w:t>℃，相对密度为</w:t>
      </w:r>
      <w:r>
        <w:t>2.12</w:t>
      </w:r>
      <w:r>
        <w:rPr>
          <w:rFonts w:hint="eastAsia"/>
        </w:rPr>
        <w:t>，饱和蒸汽压为</w:t>
      </w:r>
      <w:r>
        <w:t>0.13/739</w:t>
      </w:r>
      <w:r>
        <w:rPr>
          <w:rFonts w:hint="eastAsia"/>
        </w:rPr>
        <w:t>℃。易溶于水、乙醇、甘油，不溶于丙酮。主要用于肥皂工业、石油精炼、造纸、人造丝、染色、制革、医药、有机合成等。属于不然物质、燃烧可能产生有毒有害的毒性烟雾。遇水和水蒸气会大量放热，形成腐蚀性溶液。与酸发生中和反应并放热。具有强腐蚀性。</w:t>
      </w:r>
    </w:p>
    <w:p>
      <w:pPr>
        <w:ind w:firstLine="480"/>
      </w:pPr>
      <w:r>
        <w:rPr>
          <w:rFonts w:hint="eastAsia"/>
        </w:rPr>
        <w:t>（</w:t>
      </w:r>
      <w:r>
        <w:t>3</w:t>
      </w:r>
      <w:r>
        <w:rPr>
          <w:rFonts w:hint="eastAsia"/>
        </w:rPr>
        <w:t>）渗透剂</w:t>
      </w:r>
    </w:p>
    <w:p>
      <w:pPr>
        <w:ind w:firstLine="480"/>
      </w:pPr>
      <w:r>
        <w:rPr>
          <w:rFonts w:hint="eastAsia"/>
        </w:rPr>
        <w:t>促进纤维快速被水湿润，并向纤维内部渗透的试剂，主要有非离子型渗透剂、阴离子型渗透剂，阴离子型渗透剂一般为磺酸盐类，非离子型一般为烷基醇类或烷基酚聚氧乙烯醚类。</w:t>
      </w:r>
    </w:p>
    <w:p>
      <w:pPr>
        <w:ind w:firstLine="480"/>
      </w:pPr>
      <w:r>
        <w:rPr>
          <w:rFonts w:hint="eastAsia"/>
        </w:rPr>
        <w:t>（</w:t>
      </w:r>
      <w:r>
        <w:t>4</w:t>
      </w:r>
      <w:r>
        <w:rPr>
          <w:rFonts w:hint="eastAsia"/>
        </w:rPr>
        <w:t>）保险粉</w:t>
      </w:r>
    </w:p>
    <w:p>
      <w:pPr>
        <w:ind w:firstLine="480"/>
      </w:pPr>
      <w:r>
        <w:rPr>
          <w:rFonts w:hint="eastAsia"/>
        </w:rPr>
        <w:t>保险粉为连二亚硫酸钠，属于一级遇湿易燃物品，又名</w:t>
      </w:r>
      <w:r>
        <w:fldChar w:fldCharType="begin"/>
      </w:r>
      <w:r>
        <w:instrText xml:space="preserve"> HYPERLINK "https://baike.baidu.com/item/%E4%BD%8E%E4%BA%9A%E7%A1%AB%E9%85%B8%E9%92%A0" \t "https://baike.baidu.com/item/%E8%BF%9E%E4%BA%8C%E4%BA%9A%E7%A1%AB%E9%85%B8%E9%92%A0/_blank" </w:instrText>
      </w:r>
      <w:r>
        <w:fldChar w:fldCharType="separate"/>
      </w:r>
      <w:r>
        <w:rPr>
          <w:rFonts w:hint="eastAsia"/>
        </w:rPr>
        <w:t>低亚硫酸钠</w:t>
      </w:r>
      <w:r>
        <w:rPr>
          <w:rFonts w:hint="eastAsia"/>
        </w:rPr>
        <w:fldChar w:fldCharType="end"/>
      </w:r>
      <w:r>
        <w:rPr>
          <w:rFonts w:hint="eastAsia"/>
        </w:rPr>
        <w:t>，是一种白色砂状结晶或淡黄色粉末化学用品，熔点</w:t>
      </w:r>
      <w:r>
        <w:t>300</w:t>
      </w:r>
      <w:r>
        <w:rPr>
          <w:rFonts w:hint="eastAsia"/>
        </w:rPr>
        <w:t>℃（分解），引燃温度</w:t>
      </w:r>
      <w:r>
        <w:t xml:space="preserve"> 250 </w:t>
      </w:r>
      <w:r>
        <w:rPr>
          <w:rFonts w:hint="eastAsia"/>
        </w:rPr>
        <w:t>℃，不溶于乙醇，溶于氢氧化钠溶液，遇水发生强烈反应并燃烧。其水溶液性质不稳定，有极强的还原性，属于强还原剂。暴露于空气中易吸收氧气而氧化，同时也易吸收潮气发热而变质，并能夺取空气中的氧结块并发出刺激性酸味。加热连二亚硫酸钠或接触明火会引起燃烧，</w:t>
      </w:r>
      <w:r>
        <w:fldChar w:fldCharType="begin"/>
      </w:r>
      <w:r>
        <w:instrText xml:space="preserve"> HYPERLINK "https://baike.baidu.com/item/%E8%87%AA%E7%87%83%E7%82%B9" \t "https://baike.baidu.com/item/%E8%BF%9E%E4%BA%8C%E4%BA%9A%E7%A1%AB%E9%85%B8%E9%92%A0/_blank" </w:instrText>
      </w:r>
      <w:r>
        <w:fldChar w:fldCharType="separate"/>
      </w:r>
      <w:r>
        <w:rPr>
          <w:rFonts w:hint="eastAsia"/>
        </w:rPr>
        <w:t>自燃点</w:t>
      </w:r>
      <w:r>
        <w:rPr>
          <w:rFonts w:hint="eastAsia"/>
        </w:rPr>
        <w:fldChar w:fldCharType="end"/>
      </w:r>
      <w:r>
        <w:t>250</w:t>
      </w:r>
      <w:r>
        <w:rPr>
          <w:rFonts w:hint="eastAsia"/>
        </w:rPr>
        <w:t>℃。与水接触能放出大量的热的二氧化硫气体和易燃的硫磺蒸气而引起剧烈燃烧，遇氧化剂，少量水或吸收潮湿空气能发热，引起冒黄烟燃烧，甚至爆炸。连二亚硫酸钠有毒，对眼睛、呼吸道黏膜有刺激性，它广泛用于纺织工业的还原性染色、还原清洗、印花和脱色及用作丝、毛、尼龙等织物的漂白，由于它不含重金属，经漂白后的织物色泽十分鲜艳，不易退色。在各种物质方面，它还可用于食品漂白，诸如明胶、蔗糖、蜜饯，及肥皂、动（植）物油、竹器、瓷土的漂白等。它还可应用于有机合成，如染料、药品的生产里作还原剂或漂白剂，连二亚硫酸钠是最适合木浆造纸的漂白剂。</w:t>
      </w:r>
    </w:p>
    <w:p>
      <w:pPr>
        <w:ind w:firstLine="480"/>
      </w:pPr>
      <w:r>
        <w:rPr>
          <w:rFonts w:hint="eastAsia"/>
        </w:rPr>
        <w:t>（</w:t>
      </w:r>
      <w:r>
        <w:t>5</w:t>
      </w:r>
      <w:r>
        <w:rPr>
          <w:rFonts w:hint="eastAsia"/>
        </w:rPr>
        <w:t>）还原染料</w:t>
      </w:r>
    </w:p>
    <w:p>
      <w:pPr>
        <w:ind w:firstLine="480"/>
      </w:pPr>
      <w:r>
        <w:t> </w:t>
      </w:r>
      <w:r>
        <w:fldChar w:fldCharType="begin"/>
      </w:r>
      <w:r>
        <w:instrText xml:space="preserve"> HYPERLINK "https://baike.baidu.com/item/%E8%BF%98%E5%8E%9F%E6%9F%93%E6%96%99" \t "https://baike.baidu.com/item/%E8%BF%98%E5%8E%9F%E6%9F%93%E6%96%99/_blank" </w:instrText>
      </w:r>
      <w:r>
        <w:fldChar w:fldCharType="separate"/>
      </w:r>
      <w:r>
        <w:rPr>
          <w:rFonts w:hint="eastAsia"/>
        </w:rPr>
        <w:t>还原染料</w:t>
      </w:r>
      <w:r>
        <w:rPr>
          <w:rFonts w:hint="eastAsia"/>
        </w:rPr>
        <w:fldChar w:fldCharType="end"/>
      </w:r>
      <w:r>
        <w:rPr>
          <w:rFonts w:hint="eastAsia"/>
        </w:rPr>
        <w:t>是染料中各项性能都比较优良的染料。还原染料旧称瓮染料，不溶于水，在碱性溶液中借连二亚硫酸钠（保险粉）进行还原处理，而使纤维染色的染料。按其主要化学结构可分为靛类和</w:t>
      </w:r>
      <w:r>
        <w:fldChar w:fldCharType="begin"/>
      </w:r>
      <w:r>
        <w:instrText xml:space="preserve"> HYPERLINK "https://baike.baidu.com/item/%E8%92%BD%E9%86%8C" \t "https://baike.baidu.com/item/%E8%BF%98%E5%8E%9F%E6%9F%93%E6%96%99/_blank" </w:instrText>
      </w:r>
      <w:r>
        <w:fldChar w:fldCharType="separate"/>
      </w:r>
      <w:r>
        <w:rPr>
          <w:rFonts w:hint="eastAsia"/>
        </w:rPr>
        <w:t>蒽醌</w:t>
      </w:r>
      <w:r>
        <w:rPr>
          <w:rFonts w:hint="eastAsia"/>
        </w:rPr>
        <w:fldChar w:fldCharType="end"/>
      </w:r>
      <w:r>
        <w:rPr>
          <w:rFonts w:hint="eastAsia"/>
        </w:rPr>
        <w:t>两大类。还原染料不溶于水，染色时要在碱性的强还原液中还原溶解成为隐色体钠盐才能上染纤维，经氧化后，恢复成不溶性的染料色淀而固着在纤维上，一般耐洗、耐晒坚牢度较高。例如士林蓝等。主要用棉、涤棉混纺织物染色；维纶亦可上色；在丝绸行业中，用于人丝、人丝·人棉交织，真丝绸拔染印花。</w:t>
      </w:r>
    </w:p>
    <w:p>
      <w:pPr>
        <w:ind w:firstLine="480"/>
      </w:pPr>
      <w:r>
        <w:rPr>
          <w:rFonts w:hint="eastAsia"/>
        </w:rPr>
        <w:t>染料的还原过程，也就是还原染料隐色体的生成过程，一般都是在碱性介质中进行的。在还原染料的分子结构中都至少含有两个羰基（</w:t>
      </w:r>
      <w:r>
        <w:t>=C=O</w:t>
      </w:r>
      <w:r>
        <w:rPr>
          <w:rFonts w:hint="eastAsia"/>
        </w:rPr>
        <w:t>），它们在强的还原剂连二亚硫酸纳（俗称保险粉）的作用下，羰基被还原成羟基（－</w:t>
      </w:r>
      <w:r>
        <w:t>OH</w:t>
      </w:r>
      <w:r>
        <w:rPr>
          <w:rFonts w:hint="eastAsia"/>
        </w:rPr>
        <w:t>）。保险粉化学性质非常活泼，在碱性条件下即使温度很低，也可产生较强的</w:t>
      </w:r>
      <w:r>
        <w:fldChar w:fldCharType="begin"/>
      </w:r>
      <w:r>
        <w:instrText xml:space="preserve"> HYPERLINK "https://baike.baidu.com/item/%E8%BF%98%E5%8E%9F%E4%BD%9C%E7%94%A8" \t "https://baike.baidu.com/item/%E8%BF%98%E5%8E%9F%E6%9F%93%E6%96%99/_blank" </w:instrText>
      </w:r>
      <w:r>
        <w:fldChar w:fldCharType="separate"/>
      </w:r>
      <w:r>
        <w:rPr>
          <w:rFonts w:hint="eastAsia"/>
        </w:rPr>
        <w:t>还原作用</w:t>
      </w:r>
      <w:r>
        <w:rPr>
          <w:rFonts w:hint="eastAsia"/>
        </w:rPr>
        <w:fldChar w:fldCharType="end"/>
      </w:r>
      <w:r>
        <w:rPr>
          <w:rFonts w:hint="eastAsia"/>
        </w:rPr>
        <w:t>，从而使还原染料被还原为隐色酸。</w:t>
      </w:r>
    </w:p>
    <w:p>
      <w:pPr>
        <w:ind w:firstLine="480"/>
      </w:pPr>
      <w:r>
        <w:rPr>
          <w:rFonts w:hint="eastAsia"/>
        </w:rPr>
        <w:t>（</w:t>
      </w:r>
      <w:r>
        <w:t>6</w:t>
      </w:r>
      <w:r>
        <w:rPr>
          <w:rFonts w:hint="eastAsia"/>
        </w:rPr>
        <w:t>）消泡剂</w:t>
      </w:r>
    </w:p>
    <w:p>
      <w:pPr>
        <w:ind w:firstLine="480"/>
      </w:pPr>
      <w:r>
        <w:rPr>
          <w:rFonts w:hint="eastAsia"/>
        </w:rPr>
        <w:t>消泡剂多为液体复配产品，主要分为三类：</w:t>
      </w:r>
      <w:r>
        <w:fldChar w:fldCharType="begin"/>
      </w:r>
      <w:r>
        <w:instrText xml:space="preserve"> HYPERLINK "http://www.baike.com/wiki/javascript:linkredwin('%E7%9F%BF%E7%89%A9%E6%B2%B9%E7%B1%BB');" \t "http://www.baike.com/wiki/" \o "矿物油类" </w:instrText>
      </w:r>
      <w:r>
        <w:fldChar w:fldCharType="separate"/>
      </w:r>
      <w:r>
        <w:rPr>
          <w:rFonts w:hint="eastAsia"/>
        </w:rPr>
        <w:t>矿物油类</w:t>
      </w:r>
      <w:r>
        <w:rPr>
          <w:rFonts w:hint="eastAsia"/>
        </w:rPr>
        <w:fldChar w:fldCharType="end"/>
      </w:r>
      <w:r>
        <w:rPr>
          <w:rFonts w:hint="eastAsia"/>
        </w:rPr>
        <w:t>、</w:t>
      </w:r>
      <w:r>
        <w:fldChar w:fldCharType="begin"/>
      </w:r>
      <w:r>
        <w:instrText xml:space="preserve"> HYPERLINK "http://www.baike.com/wiki/javascript:linkredwin('%E6%9C%89%E6%9C%BA%E7%A1%85%E7%B1%BB');" \t "http://www.baike.com/wiki/" \o "有机硅类" </w:instrText>
      </w:r>
      <w:r>
        <w:fldChar w:fldCharType="separate"/>
      </w:r>
      <w:r>
        <w:rPr>
          <w:rFonts w:hint="eastAsia"/>
        </w:rPr>
        <w:t>有机硅类</w:t>
      </w:r>
      <w:r>
        <w:rPr>
          <w:rFonts w:hint="eastAsia"/>
        </w:rPr>
        <w:fldChar w:fldCharType="end"/>
      </w:r>
      <w:r>
        <w:rPr>
          <w:rFonts w:hint="eastAsia"/>
        </w:rPr>
        <w:t>、</w:t>
      </w:r>
      <w:r>
        <w:fldChar w:fldCharType="begin"/>
      </w:r>
      <w:r>
        <w:instrText xml:space="preserve"> HYPERLINK "http://www.baike.com/wiki/javascript:linkredwin('%E8%81%9A%E9%86%9A%E7%B1%BB');" \t "http://www.baike.com/wiki/" \o "聚醚类" </w:instrText>
      </w:r>
      <w:r>
        <w:fldChar w:fldCharType="separate"/>
      </w:r>
      <w:r>
        <w:rPr>
          <w:rFonts w:hint="eastAsia"/>
        </w:rPr>
        <w:t>聚醚类</w:t>
      </w:r>
      <w:r>
        <w:rPr>
          <w:rFonts w:hint="eastAsia"/>
        </w:rPr>
        <w:fldChar w:fldCharType="end"/>
      </w:r>
      <w:r>
        <w:rPr>
          <w:rFonts w:hint="eastAsia"/>
        </w:rPr>
        <w:t>。矿物油类消泡剂通常由载体、活性剂等组成。载体是低表面张力的物质，其作用是承载和稀释，常用载体为水、脂肪醇等；活性剂的作用是抑制和消除泡沫，常用的有蜡、脂肪族酰胺、脂肪等。有机硅类消泡剂一般包括聚二甲基硅氧烷等。有机硅类消泡剂溶解性较差，在常温下具有消泡速度很快、抑泡较好，但在高温下发生分层、消泡速度较慢、抑泡较差等特点。聚醚类消泡剂包括聚氧丙烯氧化乙烯甘油醚等。聚醚类消泡剂具有抑泡时间长、效果好、消泡速度快、热稳定性好等特点。</w:t>
      </w:r>
    </w:p>
    <w:p>
      <w:pPr>
        <w:pStyle w:val="4"/>
      </w:pPr>
      <w:r>
        <w:rPr>
          <w:rFonts w:hint="eastAsia"/>
        </w:rPr>
        <w:t>主要生产设备</w:t>
      </w:r>
    </w:p>
    <w:p>
      <w:pPr>
        <w:ind w:firstLine="480"/>
      </w:pPr>
      <w:r>
        <w:rPr>
          <w:rFonts w:hint="eastAsia"/>
        </w:rPr>
        <w:t>根据现场调查，织布车间设备均已拆除。本次环评织布车间原有生产设备根据停产前的使用的生产设备进行分析；纺纱和印染工程现有生产设备根据实际情况进行分析。根据建设单位提供资料，现有工程主要生产设备间表</w:t>
      </w:r>
      <w:r>
        <w:t>3.2-5</w:t>
      </w:r>
      <w:r>
        <w:rPr>
          <w:rFonts w:hint="eastAsia"/>
        </w:rPr>
        <w:t>。</w:t>
      </w:r>
    </w:p>
    <w:p>
      <w:pPr>
        <w:pStyle w:val="26"/>
        <w:rPr>
          <w:b/>
          <w:bCs/>
        </w:rPr>
      </w:pPr>
      <w:r>
        <w:rPr>
          <w:rFonts w:hint="eastAsia"/>
          <w:b/>
          <w:bCs/>
        </w:rPr>
        <w:t>表</w:t>
      </w:r>
      <w:r>
        <w:rPr>
          <w:b/>
          <w:bCs/>
        </w:rPr>
        <w:t xml:space="preserve">3.2-5  </w:t>
      </w:r>
      <w:r>
        <w:rPr>
          <w:rFonts w:hint="eastAsia"/>
          <w:b/>
          <w:bCs/>
        </w:rPr>
        <w:t>现有工程主要生产设备一览表</w:t>
      </w:r>
    </w:p>
    <w:tbl>
      <w:tblPr>
        <w:tblStyle w:val="23"/>
        <w:tblW w:w="96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65"/>
        <w:gridCol w:w="2532"/>
        <w:gridCol w:w="1406"/>
        <w:gridCol w:w="1275"/>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12" w:hRule="atLeast"/>
          <w:tblHeader/>
          <w:jc w:val="center"/>
        </w:trPr>
        <w:tc>
          <w:tcPr>
            <w:tcW w:w="2065" w:type="dxa"/>
            <w:vAlign w:val="center"/>
          </w:tcPr>
          <w:p>
            <w:pPr>
              <w:pStyle w:val="26"/>
              <w:rPr>
                <w:kern w:val="2"/>
                <w:szCs w:val="21"/>
                <w:lang w:val="en-US" w:eastAsia="zh-CN"/>
              </w:rPr>
            </w:pPr>
            <w:r>
              <w:rPr>
                <w:rFonts w:hint="eastAsia"/>
                <w:kern w:val="2"/>
                <w:szCs w:val="21"/>
                <w:lang w:val="en-US" w:eastAsia="zh-CN"/>
              </w:rPr>
              <w:t>设备名称</w:t>
            </w:r>
          </w:p>
        </w:tc>
        <w:tc>
          <w:tcPr>
            <w:tcW w:w="2532" w:type="dxa"/>
            <w:vAlign w:val="center"/>
          </w:tcPr>
          <w:p>
            <w:pPr>
              <w:pStyle w:val="26"/>
              <w:rPr>
                <w:kern w:val="2"/>
                <w:szCs w:val="21"/>
                <w:lang w:val="en-US" w:eastAsia="zh-CN"/>
              </w:rPr>
            </w:pPr>
            <w:r>
              <w:rPr>
                <w:rFonts w:hint="eastAsia"/>
                <w:kern w:val="2"/>
                <w:szCs w:val="21"/>
                <w:lang w:val="en-US" w:eastAsia="zh-CN"/>
              </w:rPr>
              <w:t>产地</w:t>
            </w:r>
            <w:r>
              <w:rPr>
                <w:kern w:val="2"/>
                <w:szCs w:val="21"/>
                <w:lang w:val="en-US" w:eastAsia="zh-CN"/>
              </w:rPr>
              <w:t>/</w:t>
            </w:r>
            <w:r>
              <w:rPr>
                <w:rFonts w:hint="eastAsia"/>
                <w:kern w:val="2"/>
                <w:szCs w:val="21"/>
                <w:lang w:val="en-US" w:eastAsia="zh-CN"/>
              </w:rPr>
              <w:t>型号</w:t>
            </w:r>
          </w:p>
        </w:tc>
        <w:tc>
          <w:tcPr>
            <w:tcW w:w="1406" w:type="dxa"/>
            <w:vAlign w:val="center"/>
          </w:tcPr>
          <w:p>
            <w:pPr>
              <w:pStyle w:val="26"/>
              <w:rPr>
                <w:kern w:val="2"/>
                <w:szCs w:val="21"/>
                <w:lang w:val="en-US" w:eastAsia="zh-CN"/>
              </w:rPr>
            </w:pPr>
            <w:r>
              <w:rPr>
                <w:rFonts w:hint="eastAsia"/>
                <w:kern w:val="2"/>
                <w:szCs w:val="21"/>
                <w:lang w:val="en-US" w:eastAsia="zh-CN"/>
              </w:rPr>
              <w:t>单位</w:t>
            </w:r>
          </w:p>
        </w:tc>
        <w:tc>
          <w:tcPr>
            <w:tcW w:w="1275" w:type="dxa"/>
            <w:vAlign w:val="center"/>
          </w:tcPr>
          <w:p>
            <w:pPr>
              <w:pStyle w:val="26"/>
              <w:rPr>
                <w:kern w:val="2"/>
                <w:szCs w:val="21"/>
                <w:lang w:val="en-US" w:eastAsia="zh-CN"/>
              </w:rPr>
            </w:pPr>
            <w:r>
              <w:rPr>
                <w:rFonts w:hint="eastAsia"/>
                <w:kern w:val="2"/>
                <w:szCs w:val="21"/>
                <w:lang w:val="en-US" w:eastAsia="zh-CN"/>
              </w:rPr>
              <w:t>数量</w:t>
            </w:r>
          </w:p>
        </w:tc>
        <w:tc>
          <w:tcPr>
            <w:tcW w:w="2416" w:type="dxa"/>
            <w:vAlign w:val="center"/>
          </w:tcPr>
          <w:p>
            <w:pPr>
              <w:pStyle w:val="26"/>
              <w:rPr>
                <w:kern w:val="2"/>
                <w:szCs w:val="21"/>
                <w:lang w:val="en-US" w:eastAsia="zh-CN"/>
              </w:rPr>
            </w:pPr>
            <w:r>
              <w:rPr>
                <w:rFonts w:hint="eastAsia"/>
                <w:kern w:val="2"/>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9694" w:type="dxa"/>
            <w:gridSpan w:val="5"/>
            <w:vAlign w:val="center"/>
          </w:tcPr>
          <w:p>
            <w:pPr>
              <w:pStyle w:val="26"/>
              <w:rPr>
                <w:kern w:val="2"/>
                <w:szCs w:val="21"/>
                <w:lang w:val="en-US" w:eastAsia="zh-CN"/>
              </w:rPr>
            </w:pPr>
            <w:r>
              <w:rPr>
                <w:rFonts w:hint="eastAsia"/>
                <w:kern w:val="2"/>
                <w:szCs w:val="21"/>
                <w:lang w:val="en-US" w:eastAsia="zh-CN"/>
              </w:rPr>
              <w:t>一、印染生产设备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kern w:val="2"/>
                <w:szCs w:val="21"/>
                <w:lang w:val="en-US" w:eastAsia="zh-CN"/>
              </w:rPr>
            </w:pPr>
            <w:r>
              <w:rPr>
                <w:rFonts w:hint="eastAsia"/>
                <w:kern w:val="2"/>
                <w:szCs w:val="21"/>
                <w:lang w:val="en-US" w:eastAsia="zh-CN"/>
              </w:rPr>
              <w:t>烧毛机</w:t>
            </w:r>
          </w:p>
        </w:tc>
        <w:tc>
          <w:tcPr>
            <w:tcW w:w="2532" w:type="dxa"/>
            <w:vAlign w:val="center"/>
          </w:tcPr>
          <w:p>
            <w:pPr>
              <w:pStyle w:val="26"/>
              <w:rPr>
                <w:kern w:val="2"/>
                <w:szCs w:val="21"/>
                <w:lang w:val="en-US" w:eastAsia="zh-CN"/>
              </w:rPr>
            </w:pPr>
          </w:p>
        </w:tc>
        <w:tc>
          <w:tcPr>
            <w:tcW w:w="1406" w:type="dxa"/>
            <w:vAlign w:val="center"/>
          </w:tcPr>
          <w:p>
            <w:pPr>
              <w:pStyle w:val="26"/>
              <w:rPr>
                <w:kern w:val="2"/>
                <w:szCs w:val="21"/>
                <w:lang w:val="en-US" w:eastAsia="zh-CN"/>
              </w:rPr>
            </w:pPr>
            <w:r>
              <w:rPr>
                <w:rFonts w:hint="eastAsia"/>
                <w:kern w:val="2"/>
                <w:szCs w:val="21"/>
                <w:lang w:val="en-US" w:eastAsia="zh-CN"/>
              </w:rPr>
              <w:t>台</w:t>
            </w:r>
          </w:p>
        </w:tc>
        <w:tc>
          <w:tcPr>
            <w:tcW w:w="1275" w:type="dxa"/>
            <w:vAlign w:val="center"/>
          </w:tcPr>
          <w:p>
            <w:pPr>
              <w:pStyle w:val="26"/>
              <w:rPr>
                <w:kern w:val="2"/>
                <w:szCs w:val="21"/>
                <w:lang w:val="en-US" w:eastAsia="zh-CN"/>
              </w:rPr>
            </w:pPr>
            <w:r>
              <w:rPr>
                <w:kern w:val="2"/>
                <w:szCs w:val="21"/>
                <w:lang w:val="en-US" w:eastAsia="zh-CN"/>
              </w:rPr>
              <w:t>1</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kern w:val="2"/>
                <w:szCs w:val="21"/>
                <w:lang w:val="en-US" w:eastAsia="zh-CN"/>
              </w:rPr>
            </w:pPr>
            <w:r>
              <w:rPr>
                <w:rFonts w:hint="eastAsia"/>
                <w:kern w:val="2"/>
                <w:szCs w:val="21"/>
                <w:lang w:val="en-US" w:eastAsia="zh-CN"/>
              </w:rPr>
              <w:t>平幅炼煮漂机</w:t>
            </w:r>
          </w:p>
        </w:tc>
        <w:tc>
          <w:tcPr>
            <w:tcW w:w="2532" w:type="dxa"/>
            <w:vAlign w:val="center"/>
          </w:tcPr>
          <w:p>
            <w:pPr>
              <w:pStyle w:val="26"/>
              <w:rPr>
                <w:kern w:val="2"/>
                <w:szCs w:val="21"/>
                <w:lang w:val="en-US" w:eastAsia="zh-CN"/>
              </w:rPr>
            </w:pPr>
            <w:r>
              <w:rPr>
                <w:rFonts w:hint="eastAsia"/>
                <w:kern w:val="2"/>
                <w:szCs w:val="21"/>
                <w:lang w:val="en-US" w:eastAsia="zh-CN"/>
              </w:rPr>
              <w:t>沈阳纺织机械厂</w:t>
            </w:r>
          </w:p>
        </w:tc>
        <w:tc>
          <w:tcPr>
            <w:tcW w:w="1406" w:type="dxa"/>
            <w:vAlign w:val="center"/>
          </w:tcPr>
          <w:p>
            <w:pPr>
              <w:pStyle w:val="26"/>
              <w:rPr>
                <w:kern w:val="2"/>
                <w:szCs w:val="21"/>
                <w:lang w:val="en-US" w:eastAsia="zh-CN"/>
              </w:rPr>
            </w:pPr>
            <w:r>
              <w:rPr>
                <w:rFonts w:hint="eastAsia"/>
                <w:kern w:val="2"/>
                <w:szCs w:val="21"/>
                <w:lang w:val="en-US" w:eastAsia="zh-CN"/>
              </w:rPr>
              <w:t>台</w:t>
            </w:r>
          </w:p>
        </w:tc>
        <w:tc>
          <w:tcPr>
            <w:tcW w:w="1275" w:type="dxa"/>
            <w:vAlign w:val="center"/>
          </w:tcPr>
          <w:p>
            <w:pPr>
              <w:pStyle w:val="26"/>
              <w:rPr>
                <w:kern w:val="2"/>
                <w:szCs w:val="21"/>
                <w:lang w:val="en-US" w:eastAsia="zh-CN"/>
              </w:rPr>
            </w:pPr>
            <w:r>
              <w:rPr>
                <w:kern w:val="2"/>
                <w:szCs w:val="21"/>
                <w:lang w:val="en-US" w:eastAsia="zh-CN"/>
              </w:rPr>
              <w:t>1</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kern w:val="2"/>
                <w:szCs w:val="21"/>
                <w:lang w:val="en-US" w:eastAsia="zh-CN"/>
              </w:rPr>
            </w:pPr>
            <w:r>
              <w:rPr>
                <w:rFonts w:hint="eastAsia"/>
                <w:kern w:val="2"/>
                <w:szCs w:val="21"/>
                <w:lang w:val="en-US" w:eastAsia="zh-CN"/>
              </w:rPr>
              <w:t>丝光机</w:t>
            </w:r>
          </w:p>
        </w:tc>
        <w:tc>
          <w:tcPr>
            <w:tcW w:w="2532" w:type="dxa"/>
            <w:vAlign w:val="center"/>
          </w:tcPr>
          <w:p>
            <w:pPr>
              <w:pStyle w:val="26"/>
              <w:rPr>
                <w:kern w:val="2"/>
                <w:szCs w:val="21"/>
                <w:lang w:val="en-US" w:eastAsia="zh-CN"/>
              </w:rPr>
            </w:pPr>
            <w:r>
              <w:rPr>
                <w:rFonts w:hint="eastAsia"/>
                <w:kern w:val="2"/>
                <w:szCs w:val="21"/>
                <w:lang w:val="en-US" w:eastAsia="zh-CN"/>
              </w:rPr>
              <w:t>黃石纺织机械厂</w:t>
            </w:r>
          </w:p>
        </w:tc>
        <w:tc>
          <w:tcPr>
            <w:tcW w:w="1406" w:type="dxa"/>
            <w:vAlign w:val="center"/>
          </w:tcPr>
          <w:p>
            <w:pPr>
              <w:pStyle w:val="26"/>
              <w:rPr>
                <w:kern w:val="2"/>
                <w:szCs w:val="21"/>
                <w:lang w:val="en-US" w:eastAsia="zh-CN"/>
              </w:rPr>
            </w:pPr>
            <w:r>
              <w:rPr>
                <w:rFonts w:hint="eastAsia"/>
                <w:kern w:val="2"/>
                <w:szCs w:val="21"/>
                <w:lang w:val="en-US" w:eastAsia="zh-CN"/>
              </w:rPr>
              <w:t>台</w:t>
            </w:r>
          </w:p>
        </w:tc>
        <w:tc>
          <w:tcPr>
            <w:tcW w:w="1275" w:type="dxa"/>
            <w:vAlign w:val="center"/>
          </w:tcPr>
          <w:p>
            <w:pPr>
              <w:pStyle w:val="26"/>
              <w:rPr>
                <w:kern w:val="2"/>
                <w:szCs w:val="21"/>
                <w:lang w:val="en-US" w:eastAsia="zh-CN"/>
              </w:rPr>
            </w:pPr>
            <w:r>
              <w:rPr>
                <w:kern w:val="2"/>
                <w:szCs w:val="21"/>
                <w:lang w:val="en-US" w:eastAsia="zh-CN"/>
              </w:rPr>
              <w:t>1</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kern w:val="2"/>
                <w:szCs w:val="21"/>
                <w:lang w:val="en-US" w:eastAsia="zh-CN"/>
              </w:rPr>
            </w:pPr>
            <w:r>
              <w:rPr>
                <w:kern w:val="2"/>
                <w:szCs w:val="21"/>
                <w:lang w:val="en-US" w:eastAsia="zh-CN"/>
              </w:rPr>
              <w:t>641</w:t>
            </w:r>
            <w:r>
              <w:rPr>
                <w:rFonts w:hint="eastAsia"/>
                <w:kern w:val="2"/>
                <w:szCs w:val="21"/>
                <w:lang w:val="en-US" w:eastAsia="zh-CN"/>
              </w:rPr>
              <w:t>显色机</w:t>
            </w:r>
          </w:p>
        </w:tc>
        <w:tc>
          <w:tcPr>
            <w:tcW w:w="2532" w:type="dxa"/>
            <w:vAlign w:val="center"/>
          </w:tcPr>
          <w:p>
            <w:pPr>
              <w:pStyle w:val="26"/>
              <w:rPr>
                <w:kern w:val="2"/>
                <w:szCs w:val="21"/>
                <w:lang w:val="en-US" w:eastAsia="zh-CN"/>
              </w:rPr>
            </w:pPr>
            <w:r>
              <w:rPr>
                <w:rFonts w:hint="eastAsia"/>
                <w:kern w:val="2"/>
                <w:szCs w:val="21"/>
                <w:lang w:val="en-US" w:eastAsia="zh-CN"/>
              </w:rPr>
              <w:t>无</w:t>
            </w:r>
          </w:p>
        </w:tc>
        <w:tc>
          <w:tcPr>
            <w:tcW w:w="1406" w:type="dxa"/>
            <w:vAlign w:val="center"/>
          </w:tcPr>
          <w:p>
            <w:pPr>
              <w:pStyle w:val="26"/>
              <w:rPr>
                <w:kern w:val="2"/>
                <w:szCs w:val="21"/>
                <w:lang w:val="en-US" w:eastAsia="zh-CN"/>
              </w:rPr>
            </w:pPr>
            <w:r>
              <w:rPr>
                <w:rFonts w:hint="eastAsia"/>
                <w:kern w:val="2"/>
                <w:szCs w:val="21"/>
                <w:lang w:val="en-US" w:eastAsia="zh-CN"/>
              </w:rPr>
              <w:t>台</w:t>
            </w:r>
          </w:p>
        </w:tc>
        <w:tc>
          <w:tcPr>
            <w:tcW w:w="1275" w:type="dxa"/>
            <w:vAlign w:val="center"/>
          </w:tcPr>
          <w:p>
            <w:pPr>
              <w:pStyle w:val="26"/>
              <w:rPr>
                <w:kern w:val="2"/>
                <w:szCs w:val="21"/>
                <w:lang w:val="en-US" w:eastAsia="zh-CN"/>
              </w:rPr>
            </w:pPr>
            <w:r>
              <w:rPr>
                <w:kern w:val="2"/>
                <w:szCs w:val="21"/>
                <w:lang w:val="en-US" w:eastAsia="zh-CN"/>
              </w:rPr>
              <w:t>1</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kern w:val="2"/>
                <w:szCs w:val="21"/>
                <w:lang w:val="en-US" w:eastAsia="zh-CN"/>
              </w:rPr>
            </w:pPr>
            <w:r>
              <w:rPr>
                <w:rFonts w:hint="eastAsia"/>
                <w:kern w:val="2"/>
                <w:szCs w:val="21"/>
                <w:lang w:val="en-US" w:eastAsia="zh-CN"/>
              </w:rPr>
              <w:t>打底机</w:t>
            </w:r>
          </w:p>
        </w:tc>
        <w:tc>
          <w:tcPr>
            <w:tcW w:w="2532" w:type="dxa"/>
            <w:vAlign w:val="center"/>
          </w:tcPr>
          <w:p>
            <w:pPr>
              <w:pStyle w:val="26"/>
              <w:rPr>
                <w:kern w:val="2"/>
                <w:szCs w:val="21"/>
                <w:lang w:val="en-US" w:eastAsia="zh-CN"/>
              </w:rPr>
            </w:pPr>
          </w:p>
        </w:tc>
        <w:tc>
          <w:tcPr>
            <w:tcW w:w="1406" w:type="dxa"/>
            <w:vAlign w:val="center"/>
          </w:tcPr>
          <w:p>
            <w:pPr>
              <w:pStyle w:val="26"/>
              <w:rPr>
                <w:kern w:val="2"/>
                <w:szCs w:val="21"/>
                <w:lang w:val="en-US" w:eastAsia="zh-CN"/>
              </w:rPr>
            </w:pPr>
            <w:r>
              <w:rPr>
                <w:rFonts w:hint="eastAsia"/>
                <w:kern w:val="2"/>
                <w:szCs w:val="21"/>
                <w:lang w:val="en-US" w:eastAsia="zh-CN"/>
              </w:rPr>
              <w:t>台</w:t>
            </w:r>
          </w:p>
        </w:tc>
        <w:tc>
          <w:tcPr>
            <w:tcW w:w="1275" w:type="dxa"/>
            <w:vAlign w:val="center"/>
          </w:tcPr>
          <w:p>
            <w:pPr>
              <w:pStyle w:val="26"/>
              <w:rPr>
                <w:kern w:val="2"/>
                <w:szCs w:val="21"/>
                <w:lang w:val="en-US" w:eastAsia="zh-CN"/>
              </w:rPr>
            </w:pPr>
            <w:r>
              <w:rPr>
                <w:kern w:val="2"/>
                <w:szCs w:val="21"/>
                <w:lang w:val="en-US" w:eastAsia="zh-CN"/>
              </w:rPr>
              <w:t>2</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kern w:val="2"/>
                <w:szCs w:val="21"/>
                <w:lang w:val="en-US" w:eastAsia="zh-CN"/>
              </w:rPr>
            </w:pPr>
            <w:r>
              <w:rPr>
                <w:rFonts w:hint="eastAsia"/>
                <w:kern w:val="2"/>
                <w:szCs w:val="21"/>
                <w:lang w:val="en-US" w:eastAsia="zh-CN"/>
              </w:rPr>
              <w:t>热风拉幅定型机机</w:t>
            </w:r>
          </w:p>
        </w:tc>
        <w:tc>
          <w:tcPr>
            <w:tcW w:w="2532" w:type="dxa"/>
            <w:vAlign w:val="center"/>
          </w:tcPr>
          <w:p>
            <w:pPr>
              <w:pStyle w:val="26"/>
              <w:rPr>
                <w:kern w:val="2"/>
                <w:szCs w:val="21"/>
                <w:lang w:val="en-US" w:eastAsia="zh-CN"/>
              </w:rPr>
            </w:pPr>
          </w:p>
        </w:tc>
        <w:tc>
          <w:tcPr>
            <w:tcW w:w="1406" w:type="dxa"/>
            <w:vAlign w:val="center"/>
          </w:tcPr>
          <w:p>
            <w:pPr>
              <w:pStyle w:val="26"/>
              <w:rPr>
                <w:kern w:val="2"/>
                <w:szCs w:val="21"/>
                <w:lang w:val="en-US" w:eastAsia="zh-CN"/>
              </w:rPr>
            </w:pPr>
            <w:r>
              <w:rPr>
                <w:rFonts w:hint="eastAsia"/>
                <w:kern w:val="2"/>
                <w:szCs w:val="21"/>
                <w:lang w:val="en-US" w:eastAsia="zh-CN"/>
              </w:rPr>
              <w:t>台</w:t>
            </w:r>
          </w:p>
        </w:tc>
        <w:tc>
          <w:tcPr>
            <w:tcW w:w="1275" w:type="dxa"/>
            <w:vAlign w:val="center"/>
          </w:tcPr>
          <w:p>
            <w:pPr>
              <w:pStyle w:val="26"/>
              <w:rPr>
                <w:kern w:val="2"/>
                <w:szCs w:val="21"/>
                <w:lang w:val="en-US" w:eastAsia="zh-CN"/>
              </w:rPr>
            </w:pPr>
            <w:r>
              <w:rPr>
                <w:kern w:val="2"/>
                <w:szCs w:val="21"/>
                <w:lang w:val="en-US" w:eastAsia="zh-CN"/>
              </w:rPr>
              <w:t>2</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kern w:val="2"/>
                <w:szCs w:val="21"/>
                <w:lang w:val="en-US" w:eastAsia="zh-CN"/>
              </w:rPr>
            </w:pPr>
            <w:r>
              <w:rPr>
                <w:rFonts w:hint="eastAsia"/>
                <w:kern w:val="2"/>
                <w:szCs w:val="21"/>
                <w:lang w:val="en-US" w:eastAsia="zh-CN"/>
              </w:rPr>
              <w:t>缩水机</w:t>
            </w:r>
          </w:p>
        </w:tc>
        <w:tc>
          <w:tcPr>
            <w:tcW w:w="2532" w:type="dxa"/>
            <w:vAlign w:val="center"/>
          </w:tcPr>
          <w:p>
            <w:pPr>
              <w:pStyle w:val="26"/>
              <w:rPr>
                <w:kern w:val="2"/>
                <w:szCs w:val="21"/>
                <w:lang w:val="en-US" w:eastAsia="zh-CN"/>
              </w:rPr>
            </w:pPr>
            <w:r>
              <w:rPr>
                <w:rFonts w:hint="eastAsia"/>
                <w:kern w:val="2"/>
                <w:szCs w:val="21"/>
                <w:lang w:val="en-US" w:eastAsia="zh-CN"/>
              </w:rPr>
              <w:t>上印机械厂</w:t>
            </w:r>
          </w:p>
        </w:tc>
        <w:tc>
          <w:tcPr>
            <w:tcW w:w="1406" w:type="dxa"/>
            <w:vAlign w:val="center"/>
          </w:tcPr>
          <w:p>
            <w:pPr>
              <w:pStyle w:val="26"/>
              <w:rPr>
                <w:kern w:val="2"/>
                <w:szCs w:val="21"/>
                <w:lang w:val="en-US" w:eastAsia="zh-CN"/>
              </w:rPr>
            </w:pPr>
            <w:r>
              <w:rPr>
                <w:rFonts w:hint="eastAsia"/>
                <w:kern w:val="2"/>
                <w:szCs w:val="21"/>
                <w:lang w:val="en-US" w:eastAsia="zh-CN"/>
              </w:rPr>
              <w:t>台</w:t>
            </w:r>
          </w:p>
        </w:tc>
        <w:tc>
          <w:tcPr>
            <w:tcW w:w="1275" w:type="dxa"/>
            <w:vAlign w:val="center"/>
          </w:tcPr>
          <w:p>
            <w:pPr>
              <w:pStyle w:val="26"/>
              <w:rPr>
                <w:kern w:val="2"/>
                <w:szCs w:val="21"/>
                <w:lang w:val="en-US" w:eastAsia="zh-CN"/>
              </w:rPr>
            </w:pPr>
            <w:r>
              <w:rPr>
                <w:kern w:val="2"/>
                <w:szCs w:val="21"/>
                <w:lang w:val="en-US" w:eastAsia="zh-CN"/>
              </w:rPr>
              <w:t>1</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kern w:val="2"/>
                <w:szCs w:val="21"/>
                <w:lang w:val="en-US" w:eastAsia="zh-CN"/>
              </w:rPr>
            </w:pPr>
            <w:r>
              <w:rPr>
                <w:rFonts w:hint="eastAsia"/>
                <w:kern w:val="2"/>
                <w:szCs w:val="21"/>
                <w:lang w:val="en-US" w:eastAsia="zh-CN"/>
              </w:rPr>
              <w:t>卷布机</w:t>
            </w:r>
          </w:p>
        </w:tc>
        <w:tc>
          <w:tcPr>
            <w:tcW w:w="2532" w:type="dxa"/>
            <w:vAlign w:val="center"/>
          </w:tcPr>
          <w:p>
            <w:pPr>
              <w:pStyle w:val="26"/>
              <w:rPr>
                <w:kern w:val="2"/>
                <w:szCs w:val="21"/>
                <w:lang w:val="en-US" w:eastAsia="zh-CN"/>
              </w:rPr>
            </w:pPr>
          </w:p>
        </w:tc>
        <w:tc>
          <w:tcPr>
            <w:tcW w:w="1406" w:type="dxa"/>
            <w:vAlign w:val="center"/>
          </w:tcPr>
          <w:p>
            <w:pPr>
              <w:pStyle w:val="26"/>
              <w:rPr>
                <w:kern w:val="2"/>
                <w:szCs w:val="21"/>
                <w:lang w:val="en-US" w:eastAsia="zh-CN"/>
              </w:rPr>
            </w:pPr>
            <w:r>
              <w:rPr>
                <w:rFonts w:hint="eastAsia"/>
                <w:kern w:val="2"/>
                <w:szCs w:val="21"/>
                <w:lang w:val="en-US" w:eastAsia="zh-CN"/>
              </w:rPr>
              <w:t>台</w:t>
            </w:r>
          </w:p>
        </w:tc>
        <w:tc>
          <w:tcPr>
            <w:tcW w:w="1275" w:type="dxa"/>
            <w:vAlign w:val="center"/>
          </w:tcPr>
          <w:p>
            <w:pPr>
              <w:pStyle w:val="26"/>
              <w:rPr>
                <w:kern w:val="2"/>
                <w:szCs w:val="21"/>
                <w:lang w:val="en-US" w:eastAsia="zh-CN"/>
              </w:rPr>
            </w:pPr>
            <w:r>
              <w:rPr>
                <w:kern w:val="2"/>
                <w:szCs w:val="21"/>
                <w:lang w:val="en-US" w:eastAsia="zh-CN"/>
              </w:rPr>
              <w:t>1</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9694" w:type="dxa"/>
            <w:gridSpan w:val="5"/>
            <w:vAlign w:val="center"/>
          </w:tcPr>
          <w:p>
            <w:pPr>
              <w:pStyle w:val="26"/>
              <w:rPr>
                <w:kern w:val="2"/>
                <w:szCs w:val="21"/>
                <w:lang w:val="en-US" w:eastAsia="zh-CN"/>
              </w:rPr>
            </w:pPr>
            <w:r>
              <w:rPr>
                <w:rFonts w:hint="eastAsia"/>
                <w:kern w:val="2"/>
                <w:szCs w:val="21"/>
                <w:lang w:val="en-US" w:eastAsia="zh-CN"/>
              </w:rPr>
              <w:t>二、纺纱生产设备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color w:val="auto"/>
                <w:kern w:val="2"/>
                <w:szCs w:val="21"/>
                <w:lang w:val="en-US" w:eastAsia="zh-CN"/>
              </w:rPr>
            </w:pPr>
            <w:r>
              <w:rPr>
                <w:rFonts w:hint="eastAsia"/>
                <w:color w:val="auto"/>
                <w:kern w:val="2"/>
                <w:szCs w:val="21"/>
                <w:lang w:val="en-US" w:eastAsia="zh-CN"/>
              </w:rPr>
              <w:t>清棉机</w:t>
            </w:r>
          </w:p>
        </w:tc>
        <w:tc>
          <w:tcPr>
            <w:tcW w:w="2532" w:type="dxa"/>
            <w:vAlign w:val="center"/>
          </w:tcPr>
          <w:p>
            <w:pPr>
              <w:pStyle w:val="26"/>
              <w:rPr>
                <w:color w:val="auto"/>
                <w:kern w:val="2"/>
                <w:szCs w:val="21"/>
                <w:lang w:val="en-US" w:eastAsia="zh-CN"/>
              </w:rPr>
            </w:pPr>
            <w:r>
              <w:rPr>
                <w:color w:val="auto"/>
                <w:kern w:val="2"/>
                <w:szCs w:val="21"/>
                <w:lang w:val="en-US" w:eastAsia="zh-CN"/>
              </w:rPr>
              <w:t>A002C/A006B/A092/A076C</w:t>
            </w:r>
          </w:p>
        </w:tc>
        <w:tc>
          <w:tcPr>
            <w:tcW w:w="1406" w:type="dxa"/>
            <w:vAlign w:val="center"/>
          </w:tcPr>
          <w:p>
            <w:pPr>
              <w:pStyle w:val="26"/>
              <w:rPr>
                <w:color w:val="auto"/>
                <w:kern w:val="2"/>
                <w:szCs w:val="21"/>
                <w:lang w:val="en-US" w:eastAsia="zh-CN"/>
              </w:rPr>
            </w:pPr>
            <w:r>
              <w:rPr>
                <w:rFonts w:hint="eastAsia"/>
                <w:color w:val="auto"/>
                <w:kern w:val="2"/>
                <w:szCs w:val="21"/>
                <w:lang w:val="en-US" w:eastAsia="zh-CN"/>
              </w:rPr>
              <w:t>台</w:t>
            </w:r>
          </w:p>
        </w:tc>
        <w:tc>
          <w:tcPr>
            <w:tcW w:w="1275" w:type="dxa"/>
            <w:vAlign w:val="center"/>
          </w:tcPr>
          <w:p>
            <w:pPr>
              <w:pStyle w:val="26"/>
              <w:rPr>
                <w:color w:val="auto"/>
                <w:kern w:val="2"/>
                <w:szCs w:val="21"/>
                <w:lang w:val="en-US" w:eastAsia="zh-CN"/>
              </w:rPr>
            </w:pPr>
            <w:r>
              <w:rPr>
                <w:rFonts w:hint="eastAsia"/>
                <w:color w:val="auto"/>
                <w:kern w:val="2"/>
                <w:szCs w:val="21"/>
                <w:lang w:val="en-US" w:eastAsia="zh-CN"/>
              </w:rPr>
              <w:t>4</w:t>
            </w:r>
          </w:p>
        </w:tc>
        <w:tc>
          <w:tcPr>
            <w:tcW w:w="2416" w:type="dxa"/>
            <w:vAlign w:val="center"/>
          </w:tcPr>
          <w:p>
            <w:pPr>
              <w:pStyle w:val="26"/>
              <w:rPr>
                <w:kern w:val="2"/>
                <w:szCs w:val="21"/>
                <w:lang w:val="en-US" w:eastAsia="zh-CN"/>
              </w:rPr>
            </w:pPr>
            <w:r>
              <w:rPr>
                <w:rFonts w:hint="eastAsia"/>
                <w:kern w:val="2"/>
                <w:szCs w:val="21"/>
                <w:lang w:val="en-US" w:eastAsia="zh-CN"/>
              </w:rPr>
              <w:t>各型号一台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color w:val="auto"/>
                <w:kern w:val="2"/>
                <w:szCs w:val="21"/>
                <w:lang w:val="en-US" w:eastAsia="zh-CN"/>
              </w:rPr>
            </w:pPr>
            <w:r>
              <w:rPr>
                <w:rFonts w:hint="eastAsia"/>
                <w:color w:val="auto"/>
                <w:kern w:val="2"/>
                <w:szCs w:val="21"/>
                <w:lang w:val="en-US" w:eastAsia="zh-CN"/>
              </w:rPr>
              <w:t>梳棉机</w:t>
            </w:r>
          </w:p>
        </w:tc>
        <w:tc>
          <w:tcPr>
            <w:tcW w:w="2532" w:type="dxa"/>
            <w:vAlign w:val="center"/>
          </w:tcPr>
          <w:p>
            <w:pPr>
              <w:pStyle w:val="26"/>
              <w:rPr>
                <w:color w:val="auto"/>
                <w:kern w:val="2"/>
                <w:szCs w:val="21"/>
                <w:lang w:val="en-US" w:eastAsia="zh-CN"/>
              </w:rPr>
            </w:pPr>
            <w:r>
              <w:rPr>
                <w:color w:val="auto"/>
                <w:kern w:val="2"/>
                <w:szCs w:val="21"/>
                <w:lang w:val="en-US" w:eastAsia="zh-CN"/>
              </w:rPr>
              <w:t>A186D</w:t>
            </w:r>
          </w:p>
        </w:tc>
        <w:tc>
          <w:tcPr>
            <w:tcW w:w="1406" w:type="dxa"/>
            <w:vAlign w:val="center"/>
          </w:tcPr>
          <w:p>
            <w:pPr>
              <w:pStyle w:val="26"/>
              <w:rPr>
                <w:color w:val="auto"/>
                <w:kern w:val="2"/>
                <w:szCs w:val="21"/>
                <w:lang w:val="en-US" w:eastAsia="zh-CN"/>
              </w:rPr>
            </w:pPr>
            <w:r>
              <w:rPr>
                <w:rFonts w:hint="eastAsia"/>
                <w:color w:val="auto"/>
                <w:kern w:val="2"/>
                <w:szCs w:val="21"/>
                <w:lang w:val="en-US" w:eastAsia="zh-CN"/>
              </w:rPr>
              <w:t>台</w:t>
            </w:r>
          </w:p>
        </w:tc>
        <w:tc>
          <w:tcPr>
            <w:tcW w:w="1275" w:type="dxa"/>
            <w:vAlign w:val="center"/>
          </w:tcPr>
          <w:p>
            <w:pPr>
              <w:pStyle w:val="26"/>
              <w:rPr>
                <w:color w:val="auto"/>
                <w:kern w:val="2"/>
                <w:szCs w:val="21"/>
                <w:lang w:val="en-US" w:eastAsia="zh-CN"/>
              </w:rPr>
            </w:pPr>
            <w:r>
              <w:rPr>
                <w:rFonts w:hint="eastAsia"/>
                <w:color w:val="auto"/>
                <w:kern w:val="2"/>
                <w:szCs w:val="21"/>
                <w:lang w:val="en-US" w:eastAsia="zh-CN"/>
              </w:rPr>
              <w:t>40</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color w:val="auto"/>
                <w:kern w:val="2"/>
                <w:szCs w:val="21"/>
                <w:lang w:val="en-US" w:eastAsia="zh-CN"/>
              </w:rPr>
            </w:pPr>
            <w:r>
              <w:rPr>
                <w:rFonts w:hint="eastAsia"/>
                <w:color w:val="auto"/>
                <w:kern w:val="2"/>
                <w:szCs w:val="21"/>
                <w:lang w:val="en-US" w:eastAsia="zh-CN"/>
              </w:rPr>
              <w:t>并条机</w:t>
            </w:r>
          </w:p>
        </w:tc>
        <w:tc>
          <w:tcPr>
            <w:tcW w:w="2532" w:type="dxa"/>
            <w:vAlign w:val="center"/>
          </w:tcPr>
          <w:p>
            <w:pPr>
              <w:pStyle w:val="26"/>
              <w:rPr>
                <w:color w:val="auto"/>
                <w:kern w:val="2"/>
                <w:szCs w:val="21"/>
                <w:lang w:val="en-US" w:eastAsia="zh-CN"/>
              </w:rPr>
            </w:pPr>
            <w:r>
              <w:rPr>
                <w:color w:val="auto"/>
                <w:kern w:val="2"/>
                <w:szCs w:val="21"/>
                <w:lang w:val="en-US" w:eastAsia="zh-CN"/>
              </w:rPr>
              <w:t>FA304</w:t>
            </w:r>
          </w:p>
        </w:tc>
        <w:tc>
          <w:tcPr>
            <w:tcW w:w="1406" w:type="dxa"/>
            <w:vAlign w:val="center"/>
          </w:tcPr>
          <w:p>
            <w:pPr>
              <w:pStyle w:val="26"/>
              <w:rPr>
                <w:color w:val="auto"/>
                <w:kern w:val="2"/>
                <w:szCs w:val="21"/>
                <w:lang w:val="en-US" w:eastAsia="zh-CN"/>
              </w:rPr>
            </w:pPr>
            <w:r>
              <w:rPr>
                <w:rFonts w:hint="eastAsia"/>
                <w:color w:val="auto"/>
                <w:kern w:val="2"/>
                <w:szCs w:val="21"/>
                <w:lang w:val="en-US" w:eastAsia="zh-CN"/>
              </w:rPr>
              <w:t>台</w:t>
            </w:r>
          </w:p>
        </w:tc>
        <w:tc>
          <w:tcPr>
            <w:tcW w:w="1275" w:type="dxa"/>
            <w:vAlign w:val="center"/>
          </w:tcPr>
          <w:p>
            <w:pPr>
              <w:pStyle w:val="26"/>
              <w:rPr>
                <w:color w:val="auto"/>
                <w:kern w:val="2"/>
                <w:szCs w:val="21"/>
                <w:lang w:val="en-US" w:eastAsia="zh-CN"/>
              </w:rPr>
            </w:pPr>
            <w:r>
              <w:rPr>
                <w:rFonts w:hint="eastAsia"/>
                <w:color w:val="auto"/>
                <w:kern w:val="2"/>
                <w:szCs w:val="21"/>
                <w:lang w:val="en-US" w:eastAsia="zh-CN"/>
              </w:rPr>
              <w:t>25</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color w:val="auto"/>
                <w:kern w:val="2"/>
                <w:szCs w:val="21"/>
                <w:lang w:val="en-US" w:eastAsia="zh-CN"/>
              </w:rPr>
            </w:pPr>
            <w:r>
              <w:rPr>
                <w:rFonts w:hint="eastAsia"/>
                <w:color w:val="auto"/>
                <w:kern w:val="2"/>
                <w:szCs w:val="21"/>
                <w:lang w:val="en-US" w:eastAsia="zh-CN"/>
              </w:rPr>
              <w:t>粗纱机</w:t>
            </w:r>
          </w:p>
        </w:tc>
        <w:tc>
          <w:tcPr>
            <w:tcW w:w="2532" w:type="dxa"/>
            <w:vAlign w:val="center"/>
          </w:tcPr>
          <w:p>
            <w:pPr>
              <w:pStyle w:val="26"/>
              <w:rPr>
                <w:color w:val="auto"/>
                <w:kern w:val="2"/>
                <w:szCs w:val="21"/>
                <w:lang w:val="en-US" w:eastAsia="zh-CN"/>
              </w:rPr>
            </w:pPr>
            <w:r>
              <w:rPr>
                <w:color w:val="auto"/>
                <w:kern w:val="2"/>
                <w:szCs w:val="21"/>
                <w:lang w:val="en-US" w:eastAsia="zh-CN"/>
              </w:rPr>
              <w:t>A456C</w:t>
            </w:r>
          </w:p>
        </w:tc>
        <w:tc>
          <w:tcPr>
            <w:tcW w:w="1406" w:type="dxa"/>
            <w:vAlign w:val="center"/>
          </w:tcPr>
          <w:p>
            <w:pPr>
              <w:pStyle w:val="26"/>
              <w:rPr>
                <w:color w:val="auto"/>
                <w:kern w:val="2"/>
                <w:szCs w:val="21"/>
                <w:lang w:val="en-US" w:eastAsia="zh-CN"/>
              </w:rPr>
            </w:pPr>
            <w:r>
              <w:rPr>
                <w:rFonts w:hint="eastAsia"/>
                <w:color w:val="auto"/>
                <w:kern w:val="2"/>
                <w:szCs w:val="21"/>
                <w:lang w:val="en-US" w:eastAsia="zh-CN"/>
              </w:rPr>
              <w:t>台</w:t>
            </w:r>
          </w:p>
        </w:tc>
        <w:tc>
          <w:tcPr>
            <w:tcW w:w="1275" w:type="dxa"/>
            <w:vAlign w:val="center"/>
          </w:tcPr>
          <w:p>
            <w:pPr>
              <w:pStyle w:val="26"/>
              <w:rPr>
                <w:color w:val="auto"/>
                <w:kern w:val="2"/>
                <w:szCs w:val="21"/>
                <w:lang w:val="en-US" w:eastAsia="zh-CN"/>
              </w:rPr>
            </w:pPr>
            <w:r>
              <w:rPr>
                <w:rFonts w:hint="eastAsia"/>
                <w:color w:val="auto"/>
                <w:kern w:val="2"/>
                <w:szCs w:val="21"/>
                <w:lang w:val="en-US" w:eastAsia="zh-CN"/>
              </w:rPr>
              <w:t>20</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color w:val="auto"/>
                <w:kern w:val="2"/>
                <w:szCs w:val="21"/>
                <w:lang w:val="en-US" w:eastAsia="zh-CN"/>
              </w:rPr>
            </w:pPr>
            <w:r>
              <w:rPr>
                <w:rFonts w:hint="eastAsia"/>
                <w:color w:val="auto"/>
                <w:kern w:val="2"/>
                <w:szCs w:val="21"/>
                <w:lang w:val="en-US" w:eastAsia="zh-CN"/>
              </w:rPr>
              <w:t>细纱机</w:t>
            </w:r>
          </w:p>
        </w:tc>
        <w:tc>
          <w:tcPr>
            <w:tcW w:w="2532" w:type="dxa"/>
            <w:vAlign w:val="center"/>
          </w:tcPr>
          <w:p>
            <w:pPr>
              <w:pStyle w:val="26"/>
              <w:rPr>
                <w:color w:val="auto"/>
                <w:kern w:val="2"/>
                <w:szCs w:val="21"/>
                <w:lang w:val="en-US" w:eastAsia="zh-CN"/>
              </w:rPr>
            </w:pPr>
            <w:r>
              <w:rPr>
                <w:color w:val="auto"/>
                <w:kern w:val="2"/>
                <w:szCs w:val="21"/>
                <w:lang w:val="en-US" w:eastAsia="zh-CN"/>
              </w:rPr>
              <w:t>FA506</w:t>
            </w:r>
          </w:p>
        </w:tc>
        <w:tc>
          <w:tcPr>
            <w:tcW w:w="1406" w:type="dxa"/>
            <w:vAlign w:val="center"/>
          </w:tcPr>
          <w:p>
            <w:pPr>
              <w:pStyle w:val="26"/>
              <w:rPr>
                <w:color w:val="auto"/>
                <w:kern w:val="2"/>
                <w:szCs w:val="21"/>
                <w:lang w:val="en-US" w:eastAsia="zh-CN"/>
              </w:rPr>
            </w:pPr>
            <w:r>
              <w:rPr>
                <w:rFonts w:hint="eastAsia"/>
                <w:color w:val="auto"/>
                <w:kern w:val="2"/>
                <w:szCs w:val="21"/>
                <w:lang w:val="en-US" w:eastAsia="zh-CN"/>
              </w:rPr>
              <w:t>台</w:t>
            </w:r>
          </w:p>
        </w:tc>
        <w:tc>
          <w:tcPr>
            <w:tcW w:w="1275" w:type="dxa"/>
            <w:vAlign w:val="center"/>
          </w:tcPr>
          <w:p>
            <w:pPr>
              <w:pStyle w:val="26"/>
              <w:rPr>
                <w:color w:val="auto"/>
                <w:kern w:val="2"/>
                <w:szCs w:val="21"/>
                <w:lang w:val="en-US" w:eastAsia="zh-CN"/>
              </w:rPr>
            </w:pPr>
            <w:r>
              <w:rPr>
                <w:rFonts w:hint="eastAsia"/>
                <w:color w:val="auto"/>
                <w:kern w:val="2"/>
                <w:szCs w:val="21"/>
                <w:lang w:val="en-US" w:eastAsia="zh-CN"/>
              </w:rPr>
              <w:t>100</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color w:val="auto"/>
                <w:kern w:val="2"/>
                <w:szCs w:val="21"/>
                <w:lang w:val="en-US" w:eastAsia="zh-CN"/>
              </w:rPr>
            </w:pPr>
            <w:r>
              <w:rPr>
                <w:rFonts w:hint="eastAsia"/>
                <w:color w:val="auto"/>
                <w:kern w:val="2"/>
                <w:szCs w:val="21"/>
                <w:lang w:val="en-US" w:eastAsia="zh-CN"/>
              </w:rPr>
              <w:t>络筒机</w:t>
            </w:r>
          </w:p>
        </w:tc>
        <w:tc>
          <w:tcPr>
            <w:tcW w:w="2532" w:type="dxa"/>
            <w:vAlign w:val="center"/>
          </w:tcPr>
          <w:p>
            <w:pPr>
              <w:pStyle w:val="26"/>
              <w:rPr>
                <w:color w:val="auto"/>
                <w:kern w:val="2"/>
                <w:szCs w:val="21"/>
                <w:lang w:val="en-US" w:eastAsia="zh-CN"/>
              </w:rPr>
            </w:pPr>
            <w:r>
              <w:rPr>
                <w:color w:val="auto"/>
                <w:kern w:val="2"/>
                <w:szCs w:val="21"/>
                <w:lang w:val="en-US" w:eastAsia="zh-CN"/>
              </w:rPr>
              <w:t>1332M</w:t>
            </w:r>
          </w:p>
        </w:tc>
        <w:tc>
          <w:tcPr>
            <w:tcW w:w="1406" w:type="dxa"/>
            <w:vAlign w:val="center"/>
          </w:tcPr>
          <w:p>
            <w:pPr>
              <w:pStyle w:val="26"/>
              <w:rPr>
                <w:color w:val="auto"/>
                <w:kern w:val="2"/>
                <w:szCs w:val="21"/>
                <w:lang w:val="en-US" w:eastAsia="zh-CN"/>
              </w:rPr>
            </w:pPr>
            <w:r>
              <w:rPr>
                <w:rFonts w:hint="eastAsia"/>
                <w:color w:val="auto"/>
                <w:kern w:val="2"/>
                <w:szCs w:val="21"/>
                <w:lang w:val="en-US" w:eastAsia="zh-CN"/>
              </w:rPr>
              <w:t>台</w:t>
            </w:r>
          </w:p>
        </w:tc>
        <w:tc>
          <w:tcPr>
            <w:tcW w:w="1275" w:type="dxa"/>
            <w:vAlign w:val="center"/>
          </w:tcPr>
          <w:p>
            <w:pPr>
              <w:pStyle w:val="26"/>
              <w:rPr>
                <w:color w:val="auto"/>
                <w:kern w:val="2"/>
                <w:szCs w:val="21"/>
                <w:lang w:val="en-US" w:eastAsia="zh-CN"/>
              </w:rPr>
            </w:pPr>
            <w:r>
              <w:rPr>
                <w:rFonts w:hint="eastAsia"/>
                <w:color w:val="auto"/>
                <w:kern w:val="2"/>
                <w:szCs w:val="21"/>
                <w:lang w:val="en-US" w:eastAsia="zh-CN"/>
              </w:rPr>
              <w:t>60</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color w:val="auto"/>
                <w:kern w:val="2"/>
                <w:szCs w:val="21"/>
                <w:lang w:val="en-US" w:eastAsia="zh-CN"/>
              </w:rPr>
            </w:pPr>
            <w:r>
              <w:rPr>
                <w:rFonts w:hint="eastAsia"/>
                <w:color w:val="auto"/>
                <w:kern w:val="2"/>
                <w:szCs w:val="21"/>
                <w:lang w:val="en-US" w:eastAsia="zh-CN"/>
              </w:rPr>
              <w:t>捻线机</w:t>
            </w:r>
          </w:p>
        </w:tc>
        <w:tc>
          <w:tcPr>
            <w:tcW w:w="2532" w:type="dxa"/>
            <w:vAlign w:val="center"/>
          </w:tcPr>
          <w:p>
            <w:pPr>
              <w:pStyle w:val="26"/>
              <w:rPr>
                <w:color w:val="auto"/>
                <w:kern w:val="2"/>
                <w:szCs w:val="21"/>
                <w:lang w:val="en-US" w:eastAsia="zh-CN"/>
              </w:rPr>
            </w:pPr>
            <w:r>
              <w:rPr>
                <w:color w:val="auto"/>
                <w:kern w:val="2"/>
                <w:szCs w:val="21"/>
                <w:lang w:val="en-US" w:eastAsia="zh-CN"/>
              </w:rPr>
              <w:t>A631E-</w:t>
            </w:r>
            <w:r>
              <w:rPr>
                <w:rFonts w:hint="eastAsia"/>
                <w:color w:val="auto"/>
                <w:kern w:val="2"/>
                <w:szCs w:val="21"/>
                <w:lang w:val="en-US" w:eastAsia="zh-CN"/>
              </w:rPr>
              <w:t>Ⅱ</w:t>
            </w:r>
          </w:p>
        </w:tc>
        <w:tc>
          <w:tcPr>
            <w:tcW w:w="1406" w:type="dxa"/>
            <w:vAlign w:val="center"/>
          </w:tcPr>
          <w:p>
            <w:pPr>
              <w:pStyle w:val="26"/>
              <w:rPr>
                <w:color w:val="auto"/>
                <w:kern w:val="2"/>
                <w:szCs w:val="21"/>
                <w:lang w:val="en-US" w:eastAsia="zh-CN"/>
              </w:rPr>
            </w:pPr>
            <w:r>
              <w:rPr>
                <w:rFonts w:hint="eastAsia"/>
                <w:color w:val="auto"/>
                <w:kern w:val="2"/>
                <w:szCs w:val="21"/>
                <w:lang w:val="en-US" w:eastAsia="zh-CN"/>
              </w:rPr>
              <w:t>台</w:t>
            </w:r>
          </w:p>
        </w:tc>
        <w:tc>
          <w:tcPr>
            <w:tcW w:w="1275" w:type="dxa"/>
            <w:vAlign w:val="center"/>
          </w:tcPr>
          <w:p>
            <w:pPr>
              <w:pStyle w:val="26"/>
              <w:rPr>
                <w:color w:val="auto"/>
                <w:kern w:val="2"/>
                <w:szCs w:val="21"/>
                <w:lang w:val="en-US" w:eastAsia="zh-CN"/>
              </w:rPr>
            </w:pPr>
            <w:r>
              <w:rPr>
                <w:rFonts w:hint="eastAsia"/>
                <w:color w:val="auto"/>
                <w:kern w:val="2"/>
                <w:szCs w:val="21"/>
                <w:lang w:val="en-US" w:eastAsia="zh-CN"/>
              </w:rPr>
              <w:t>50</w:t>
            </w:r>
          </w:p>
        </w:tc>
        <w:tc>
          <w:tcPr>
            <w:tcW w:w="2416"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9694" w:type="dxa"/>
            <w:gridSpan w:val="5"/>
            <w:vAlign w:val="center"/>
          </w:tcPr>
          <w:p>
            <w:pPr>
              <w:pStyle w:val="26"/>
              <w:rPr>
                <w:kern w:val="2"/>
                <w:szCs w:val="21"/>
                <w:lang w:val="en-US" w:eastAsia="zh-CN"/>
              </w:rPr>
            </w:pPr>
            <w:r>
              <w:rPr>
                <w:rFonts w:hint="eastAsia"/>
                <w:kern w:val="2"/>
                <w:szCs w:val="21"/>
                <w:lang w:val="en-US" w:eastAsia="zh-CN"/>
              </w:rPr>
              <w:t>三织布生产设备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kern w:val="2"/>
                <w:szCs w:val="21"/>
                <w:lang w:val="en-US" w:eastAsia="zh-CN"/>
              </w:rPr>
            </w:pPr>
            <w:r>
              <w:rPr>
                <w:rFonts w:hint="eastAsia"/>
                <w:kern w:val="2"/>
                <w:szCs w:val="21"/>
                <w:lang w:val="en-US" w:eastAsia="zh-CN"/>
              </w:rPr>
              <w:t>织布机</w:t>
            </w:r>
          </w:p>
        </w:tc>
        <w:tc>
          <w:tcPr>
            <w:tcW w:w="2532" w:type="dxa"/>
            <w:vAlign w:val="center"/>
          </w:tcPr>
          <w:p>
            <w:pPr>
              <w:pStyle w:val="26"/>
              <w:rPr>
                <w:kern w:val="2"/>
                <w:szCs w:val="21"/>
                <w:lang w:val="en-US" w:eastAsia="zh-CN"/>
              </w:rPr>
            </w:pPr>
            <w:r>
              <w:rPr>
                <w:rFonts w:hint="eastAsia"/>
                <w:kern w:val="2"/>
                <w:szCs w:val="21"/>
                <w:lang w:val="en-US" w:eastAsia="zh-CN"/>
              </w:rPr>
              <w:t>/</w:t>
            </w:r>
          </w:p>
        </w:tc>
        <w:tc>
          <w:tcPr>
            <w:tcW w:w="1406" w:type="dxa"/>
            <w:vAlign w:val="center"/>
          </w:tcPr>
          <w:p>
            <w:pPr>
              <w:pStyle w:val="26"/>
              <w:rPr>
                <w:kern w:val="2"/>
                <w:szCs w:val="21"/>
                <w:lang w:val="en-US" w:eastAsia="zh-CN"/>
              </w:rPr>
            </w:pPr>
            <w:r>
              <w:rPr>
                <w:rFonts w:hint="eastAsia"/>
                <w:kern w:val="2"/>
                <w:szCs w:val="21"/>
                <w:lang w:val="en-US" w:eastAsia="zh-CN"/>
              </w:rPr>
              <w:t>台</w:t>
            </w:r>
          </w:p>
        </w:tc>
        <w:tc>
          <w:tcPr>
            <w:tcW w:w="1275" w:type="dxa"/>
            <w:vAlign w:val="center"/>
          </w:tcPr>
          <w:p>
            <w:pPr>
              <w:pStyle w:val="26"/>
              <w:rPr>
                <w:kern w:val="2"/>
                <w:szCs w:val="21"/>
                <w:lang w:val="en-US" w:eastAsia="zh-CN"/>
              </w:rPr>
            </w:pPr>
            <w:r>
              <w:rPr>
                <w:rFonts w:hint="eastAsia"/>
                <w:kern w:val="2"/>
                <w:szCs w:val="21"/>
                <w:lang w:val="en-US" w:eastAsia="zh-CN"/>
              </w:rPr>
              <w:t>1500</w:t>
            </w:r>
          </w:p>
        </w:tc>
        <w:tc>
          <w:tcPr>
            <w:tcW w:w="2416" w:type="dxa"/>
            <w:vAlign w:val="center"/>
          </w:tcPr>
          <w:p>
            <w:pPr>
              <w:pStyle w:val="26"/>
              <w:rPr>
                <w:kern w:val="2"/>
                <w:szCs w:val="21"/>
                <w:lang w:val="en-US" w:eastAsia="zh-CN"/>
              </w:rPr>
            </w:pPr>
            <w:r>
              <w:rPr>
                <w:rFonts w:hint="eastAsia"/>
                <w:kern w:val="2"/>
                <w:szCs w:val="21"/>
                <w:lang w:val="en-US" w:eastAsia="zh-CN"/>
              </w:rPr>
              <w:t>已拆除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065" w:type="dxa"/>
            <w:vAlign w:val="center"/>
          </w:tcPr>
          <w:p>
            <w:pPr>
              <w:pStyle w:val="26"/>
              <w:rPr>
                <w:kern w:val="2"/>
                <w:szCs w:val="21"/>
                <w:lang w:val="en-US" w:eastAsia="zh-CN"/>
              </w:rPr>
            </w:pPr>
            <w:r>
              <w:rPr>
                <w:rFonts w:hint="eastAsia"/>
                <w:kern w:val="2"/>
                <w:szCs w:val="21"/>
                <w:lang w:val="en-US" w:eastAsia="zh-CN"/>
              </w:rPr>
              <w:t>捻线机</w:t>
            </w:r>
          </w:p>
        </w:tc>
        <w:tc>
          <w:tcPr>
            <w:tcW w:w="2532" w:type="dxa"/>
            <w:vAlign w:val="center"/>
          </w:tcPr>
          <w:p>
            <w:pPr>
              <w:pStyle w:val="26"/>
              <w:rPr>
                <w:kern w:val="2"/>
                <w:szCs w:val="21"/>
                <w:lang w:val="en-US" w:eastAsia="zh-CN"/>
              </w:rPr>
            </w:pPr>
            <w:r>
              <w:rPr>
                <w:rFonts w:hint="eastAsia"/>
                <w:kern w:val="2"/>
                <w:szCs w:val="21"/>
                <w:lang w:val="en-US" w:eastAsia="zh-CN"/>
              </w:rPr>
              <w:t>/</w:t>
            </w:r>
          </w:p>
        </w:tc>
        <w:tc>
          <w:tcPr>
            <w:tcW w:w="1406" w:type="dxa"/>
            <w:vAlign w:val="center"/>
          </w:tcPr>
          <w:p>
            <w:pPr>
              <w:pStyle w:val="26"/>
              <w:rPr>
                <w:kern w:val="2"/>
                <w:szCs w:val="21"/>
                <w:lang w:val="en-US" w:eastAsia="zh-CN"/>
              </w:rPr>
            </w:pPr>
            <w:r>
              <w:rPr>
                <w:rFonts w:hint="eastAsia"/>
                <w:kern w:val="2"/>
                <w:szCs w:val="21"/>
                <w:lang w:val="en-US" w:eastAsia="zh-CN"/>
              </w:rPr>
              <w:t>台</w:t>
            </w:r>
          </w:p>
        </w:tc>
        <w:tc>
          <w:tcPr>
            <w:tcW w:w="1275" w:type="dxa"/>
            <w:vAlign w:val="center"/>
          </w:tcPr>
          <w:p>
            <w:pPr>
              <w:pStyle w:val="26"/>
              <w:rPr>
                <w:kern w:val="2"/>
                <w:szCs w:val="21"/>
                <w:lang w:val="en-US" w:eastAsia="zh-CN"/>
              </w:rPr>
            </w:pPr>
            <w:r>
              <w:rPr>
                <w:rFonts w:hint="eastAsia"/>
                <w:kern w:val="2"/>
                <w:szCs w:val="21"/>
                <w:lang w:val="en-US" w:eastAsia="zh-CN"/>
              </w:rPr>
              <w:t>600</w:t>
            </w:r>
          </w:p>
        </w:tc>
        <w:tc>
          <w:tcPr>
            <w:tcW w:w="2416" w:type="dxa"/>
            <w:vAlign w:val="center"/>
          </w:tcPr>
          <w:p>
            <w:pPr>
              <w:pStyle w:val="26"/>
              <w:rPr>
                <w:kern w:val="2"/>
                <w:szCs w:val="21"/>
                <w:lang w:val="en-US" w:eastAsia="zh-CN"/>
              </w:rPr>
            </w:pPr>
            <w:r>
              <w:rPr>
                <w:rFonts w:hint="eastAsia"/>
                <w:kern w:val="2"/>
                <w:szCs w:val="21"/>
                <w:lang w:val="en-US" w:eastAsia="zh-CN"/>
              </w:rPr>
              <w:t>已拆除</w:t>
            </w:r>
          </w:p>
        </w:tc>
      </w:tr>
    </w:tbl>
    <w:p>
      <w:pPr>
        <w:pStyle w:val="4"/>
      </w:pPr>
      <w:r>
        <w:rPr>
          <w:rFonts w:hint="eastAsia"/>
        </w:rPr>
        <w:t>公用工程</w:t>
      </w:r>
    </w:p>
    <w:p>
      <w:pPr>
        <w:ind w:firstLine="480"/>
      </w:pPr>
      <w:r>
        <w:t>1</w:t>
      </w:r>
      <w:r>
        <w:rPr>
          <w:rFonts w:hint="eastAsia"/>
        </w:rPr>
        <w:t>、给排水</w:t>
      </w:r>
    </w:p>
    <w:p>
      <w:pPr>
        <w:ind w:firstLine="480"/>
      </w:pPr>
      <w:r>
        <w:rPr>
          <w:rFonts w:hint="eastAsia"/>
        </w:rPr>
        <w:t>①给水</w:t>
      </w:r>
    </w:p>
    <w:p>
      <w:pPr>
        <w:ind w:firstLine="480"/>
      </w:pPr>
      <w:r>
        <w:rPr>
          <w:rFonts w:hint="eastAsia"/>
        </w:rPr>
        <w:t>由地下水井供水。</w:t>
      </w:r>
    </w:p>
    <w:p>
      <w:pPr>
        <w:ind w:firstLine="480"/>
      </w:pPr>
      <w:r>
        <w:rPr>
          <w:rFonts w:hint="eastAsia"/>
        </w:rPr>
        <w:t>②排水</w:t>
      </w:r>
    </w:p>
    <w:p>
      <w:pPr>
        <w:ind w:firstLine="480"/>
      </w:pPr>
      <w:r>
        <w:rPr>
          <w:rFonts w:hint="eastAsia"/>
        </w:rPr>
        <w:t>厂区内生活污水经化粪池处理后排入厂区污水管道汇入市政污水管网，最终进入营田镇污水处理厂进一步处理后排入湘江；印染车间生产废水经印染生产区污水处理站处理后排入厂区污水管网进入市政污水管网，最终进入营田镇污水处理厂进一步处理后排入湘江。</w:t>
      </w:r>
    </w:p>
    <w:p>
      <w:pPr>
        <w:ind w:firstLine="480"/>
      </w:pPr>
      <w:r>
        <w:t>2</w:t>
      </w:r>
      <w:r>
        <w:rPr>
          <w:rFonts w:hint="eastAsia"/>
        </w:rPr>
        <w:t>、供电</w:t>
      </w:r>
    </w:p>
    <w:p>
      <w:pPr>
        <w:ind w:firstLine="480"/>
      </w:pPr>
      <w:r>
        <w:rPr>
          <w:rFonts w:hint="eastAsia"/>
        </w:rPr>
        <w:t>由德科现有供电系统供电，由城镇电网供电。</w:t>
      </w:r>
    </w:p>
    <w:p>
      <w:pPr>
        <w:ind w:firstLine="480"/>
      </w:pPr>
      <w:r>
        <w:t>3</w:t>
      </w:r>
      <w:r>
        <w:rPr>
          <w:rFonts w:hint="eastAsia"/>
        </w:rPr>
        <w:t>、供热</w:t>
      </w:r>
    </w:p>
    <w:p>
      <w:pPr>
        <w:ind w:firstLine="480"/>
      </w:pPr>
      <w:r>
        <w:rPr>
          <w:rFonts w:hint="eastAsia"/>
        </w:rPr>
        <w:t>厂区内有</w:t>
      </w:r>
      <w:r>
        <w:t>1</w:t>
      </w:r>
      <w:r>
        <w:rPr>
          <w:rFonts w:hint="eastAsia"/>
        </w:rPr>
        <w:t>台</w:t>
      </w:r>
      <w:r>
        <w:t>6.5</w:t>
      </w:r>
      <w:r>
        <w:rPr>
          <w:rFonts w:hint="eastAsia"/>
        </w:rPr>
        <w:t>吨燃煤蒸汽锅炉和、</w:t>
      </w:r>
      <w:r>
        <w:t>1</w:t>
      </w:r>
      <w:r>
        <w:rPr>
          <w:rFonts w:hint="eastAsia"/>
        </w:rPr>
        <w:t>台</w:t>
      </w:r>
      <w:r>
        <w:t>4</w:t>
      </w:r>
      <w:r>
        <w:rPr>
          <w:rFonts w:hint="eastAsia"/>
        </w:rPr>
        <w:t>吨导热油锅炉，为印染生产过程供热，均位于印染生产区。其中蒸汽为直接接触供热，导热油为间接加热。</w:t>
      </w:r>
    </w:p>
    <w:p>
      <w:pPr>
        <w:pStyle w:val="4"/>
      </w:pPr>
      <w:r>
        <w:rPr>
          <w:rFonts w:hint="eastAsia"/>
        </w:rPr>
        <w:t>其他</w:t>
      </w:r>
    </w:p>
    <w:p>
      <w:pPr>
        <w:ind w:firstLine="480"/>
      </w:pPr>
      <w:r>
        <w:rPr>
          <w:rFonts w:hint="eastAsia"/>
        </w:rPr>
        <w:t>1、劳动定员</w:t>
      </w:r>
    </w:p>
    <w:p>
      <w:pPr>
        <w:ind w:firstLine="480"/>
      </w:pPr>
      <w:r>
        <w:rPr>
          <w:rFonts w:hint="eastAsia"/>
        </w:rPr>
        <w:t>在织布车间生产、纺纱生产达到5万锭期间，德科职工人数为45</w:t>
      </w:r>
      <w:r>
        <w:t>00</w:t>
      </w:r>
      <w:r>
        <w:rPr>
          <w:rFonts w:hint="eastAsia"/>
        </w:rPr>
        <w:t>人，其中印染车间</w:t>
      </w:r>
      <w:r>
        <w:t>500</w:t>
      </w:r>
      <w:r>
        <w:rPr>
          <w:rFonts w:hint="eastAsia"/>
        </w:rPr>
        <w:t>人、纺纱车间20</w:t>
      </w:r>
      <w:r>
        <w:t>00</w:t>
      </w:r>
      <w:r>
        <w:rPr>
          <w:rFonts w:hint="eastAsia"/>
        </w:rPr>
        <w:t>人（达产）、织布车间2000人（达产）。</w:t>
      </w:r>
    </w:p>
    <w:p>
      <w:pPr>
        <w:ind w:firstLine="480"/>
      </w:pPr>
      <w:r>
        <w:rPr>
          <w:rFonts w:hint="eastAsia"/>
        </w:rPr>
        <w:t>2、工作制度</w:t>
      </w:r>
    </w:p>
    <w:p>
      <w:pPr>
        <w:ind w:firstLine="480"/>
      </w:pPr>
      <w:r>
        <w:rPr>
          <w:rFonts w:hint="eastAsia"/>
        </w:rPr>
        <w:t>实行二班制生产，</w:t>
      </w:r>
      <w:r>
        <w:t>8h/</w:t>
      </w:r>
      <w:r>
        <w:rPr>
          <w:rFonts w:hint="eastAsia"/>
        </w:rPr>
        <w:t>班，年工作日</w:t>
      </w:r>
      <w:r>
        <w:t>300</w:t>
      </w:r>
      <w:r>
        <w:rPr>
          <w:rFonts w:hint="eastAsia"/>
        </w:rPr>
        <w:t>天。</w:t>
      </w:r>
    </w:p>
    <w:p>
      <w:pPr>
        <w:ind w:firstLine="480"/>
      </w:pPr>
      <w:r>
        <w:rPr>
          <w:rFonts w:hint="eastAsia"/>
        </w:rPr>
        <w:t>3、食宿</w:t>
      </w:r>
    </w:p>
    <w:p>
      <w:pPr>
        <w:ind w:firstLine="480"/>
      </w:pPr>
      <w:r>
        <w:rPr>
          <w:rFonts w:hint="eastAsia"/>
        </w:rPr>
        <w:t>员工在厂区内就餐，不在厂区住宿。</w:t>
      </w:r>
    </w:p>
    <w:p>
      <w:pPr>
        <w:pStyle w:val="4"/>
      </w:pPr>
      <w:r>
        <w:rPr>
          <w:rFonts w:hint="eastAsia"/>
        </w:rPr>
        <w:t>现有工程生产工艺</w:t>
      </w:r>
    </w:p>
    <w:p>
      <w:pPr>
        <w:ind w:firstLine="480"/>
      </w:pPr>
      <w:r>
        <w:t>1</w:t>
      </w:r>
      <w:r>
        <w:rPr>
          <w:rFonts w:hint="eastAsia"/>
        </w:rPr>
        <w:t>、纺纱生产工艺流程</w:t>
      </w:r>
    </w:p>
    <w:p>
      <w:pPr>
        <w:ind w:firstLine="0" w:firstLineChars="0"/>
        <w:jc w:val="center"/>
        <w:rPr>
          <w:b/>
          <w:bCs/>
        </w:rPr>
      </w:pPr>
      <w:r>
        <w:object>
          <v:shape id="_x0000_i1027" o:spt="75" type="#_x0000_t75" style="height:82.75pt;width:481.45pt;" o:ole="t" filled="f" o:preferrelative="t" stroked="f" coordsize="21600,21600">
            <v:path/>
            <v:fill on="f" focussize="0,0"/>
            <v:stroke on="f" joinstyle="miter"/>
            <v:imagedata r:id="rId17" o:title=""/>
            <o:lock v:ext="edit" aspectratio="f"/>
            <w10:wrap type="none"/>
            <w10:anchorlock/>
          </v:shape>
          <o:OLEObject Type="Embed" ProgID="Visio.Drawing.11" ShapeID="_x0000_i1027" DrawAspect="Content" ObjectID="_1468075726" r:id="rId16">
            <o:LockedField>false</o:LockedField>
          </o:OLEObject>
        </w:object>
      </w:r>
      <w:r>
        <w:rPr>
          <w:rFonts w:hint="eastAsia"/>
          <w:b/>
          <w:bCs/>
        </w:rPr>
        <w:t>图</w:t>
      </w:r>
      <w:r>
        <w:rPr>
          <w:b/>
          <w:bCs/>
        </w:rPr>
        <w:t xml:space="preserve">3.2-1  </w:t>
      </w:r>
      <w:r>
        <w:rPr>
          <w:rFonts w:hint="eastAsia"/>
          <w:b/>
          <w:bCs/>
        </w:rPr>
        <w:t>现有工程纺纱工艺流程及产污节点图</w:t>
      </w:r>
    </w:p>
    <w:p>
      <w:pPr>
        <w:ind w:firstLine="482"/>
        <w:rPr>
          <w:b/>
          <w:bCs/>
        </w:rPr>
      </w:pPr>
      <w:r>
        <w:rPr>
          <w:rFonts w:hint="eastAsia"/>
          <w:b/>
          <w:bCs/>
        </w:rPr>
        <w:t>工艺流程简述：</w:t>
      </w:r>
    </w:p>
    <w:p>
      <w:pPr>
        <w:ind w:firstLine="480"/>
      </w:pPr>
      <w:r>
        <w:rPr>
          <w:rFonts w:hint="eastAsia"/>
        </w:rPr>
        <w:t>清棉工序：清除原棉中的大部分杂质、疵点及不宜纺纱的短纤维。</w:t>
      </w:r>
    </w:p>
    <w:p>
      <w:pPr>
        <w:ind w:firstLine="480"/>
      </w:pPr>
      <w:r>
        <w:rPr>
          <w:rFonts w:hint="eastAsia"/>
        </w:rPr>
        <w:t>梳棉工序：对清棉工序下机的棉卷经过刺辊、锡林盖板、道夫等工序进行分梳、除杂、混合成棉条入筒。　　　　　　　　</w:t>
      </w:r>
    </w:p>
    <w:p>
      <w:pPr>
        <w:ind w:firstLine="480"/>
      </w:pPr>
      <w:r>
        <w:rPr>
          <w:rFonts w:hint="eastAsia"/>
        </w:rPr>
        <w:t>并条工序：</w:t>
      </w:r>
      <w:r>
        <w:t>1</w:t>
      </w:r>
      <w:r>
        <w:rPr>
          <w:rFonts w:hint="eastAsia"/>
        </w:rPr>
        <w:t>）并合：用</w:t>
      </w:r>
      <w:r>
        <w:t>6~8</w:t>
      </w:r>
      <w:r>
        <w:rPr>
          <w:rFonts w:hint="eastAsia"/>
        </w:rPr>
        <w:t>根棉条进行并合，改善棉条长片段不匀。</w:t>
      </w:r>
      <w:r>
        <w:t>2</w:t>
      </w:r>
      <w:r>
        <w:rPr>
          <w:rFonts w:hint="eastAsia"/>
        </w:rPr>
        <w:t>）牵伸：把棉条拉长抽细到规定重量，并进一步提高纤维伸直平行程度。</w:t>
      </w:r>
      <w:r>
        <w:t>3</w:t>
      </w:r>
      <w:r>
        <w:rPr>
          <w:rFonts w:hint="eastAsia"/>
        </w:rPr>
        <w:t>）混合：利用并合与牵伸，根据工艺在并条机上进行棉条混合。</w:t>
      </w:r>
      <w:r>
        <w:t>4</w:t>
      </w:r>
      <w:r>
        <w:rPr>
          <w:rFonts w:hint="eastAsia"/>
        </w:rPr>
        <w:t>）成条：将圈条做成成型良好的熟条，有规则地盘放在棉条筒里。</w:t>
      </w:r>
      <w:r>
        <w:br w:type="textWrapping"/>
      </w:r>
      <w:r>
        <w:rPr>
          <w:rFonts w:hint="eastAsia"/>
        </w:rPr>
        <w:t>　　粗纱工序：对并条合成的熟条经过牵伸、加捻，使纱条具有一定的强力，以利于粗纱卷绕，并有助于纱条在细纱机上的退绕。</w:t>
      </w:r>
      <w:r>
        <w:br w:type="textWrapping"/>
      </w:r>
      <w:r>
        <w:rPr>
          <w:rFonts w:hint="eastAsia"/>
        </w:rPr>
        <w:t>　　细纱工序：将粗纱牵伸拉细到所需细度，并加捻，形成具有一定捻度和强力的细纱并卷绕在筒管上。</w:t>
      </w:r>
    </w:p>
    <w:p>
      <w:pPr>
        <w:ind w:firstLine="480"/>
      </w:pPr>
      <w:r>
        <w:rPr>
          <w:rFonts w:hint="eastAsia"/>
        </w:rPr>
        <w:t>络筒工序：是将细纱机上下来的管纱卷绕成一定形状、容量大的筒子，同时消除纱线上的杂质和疵点，从而提高后序工序的生产率。</w:t>
      </w:r>
      <w:r>
        <w:br w:type="textWrapping"/>
      </w:r>
      <w:r>
        <w:rPr>
          <w:rFonts w:hint="eastAsia"/>
        </w:rPr>
        <w:t>　　制线工序：将络筒纱加捻成股线，即成成品入库。</w:t>
      </w:r>
    </w:p>
    <w:p>
      <w:pPr>
        <w:ind w:firstLine="480"/>
      </w:pPr>
      <w:r>
        <w:t>2</w:t>
      </w:r>
      <w:r>
        <w:rPr>
          <w:rFonts w:hint="eastAsia"/>
        </w:rPr>
        <w:t>、织布工艺流程</w:t>
      </w:r>
    </w:p>
    <w:p>
      <w:pPr>
        <w:ind w:firstLine="480"/>
        <w:rPr>
          <w:b/>
          <w:bCs/>
        </w:rPr>
      </w:pPr>
      <w:r>
        <w:rPr>
          <w:rFonts w:hint="eastAsia"/>
        </w:rPr>
        <w:object>
          <v:shape id="_x0000_i1028" o:spt="75" type="#_x0000_t75" style="height:155.3pt;width:431.45pt;" o:ole="t" filled="f" o:preferrelative="t" stroked="f" coordsize="21600,21600">
            <v:path/>
            <v:fill on="f" focussize="0,0"/>
            <v:stroke on="f" joinstyle="miter"/>
            <v:imagedata r:id="rId19" o:title=""/>
            <o:lock v:ext="edit" aspectratio="f"/>
            <w10:wrap type="none"/>
            <w10:anchorlock/>
          </v:shape>
          <o:OLEObject Type="Embed" ProgID="Visio.Drawing.11" ShapeID="_x0000_i1028" DrawAspect="Content" ObjectID="_1468075727" r:id="rId18">
            <o:LockedField>false</o:LockedField>
          </o:OLEObject>
        </w:object>
      </w:r>
      <w:r>
        <w:rPr>
          <w:rFonts w:hint="eastAsia"/>
          <w:b/>
          <w:bCs/>
        </w:rPr>
        <w:t>工艺流程简述：</w:t>
      </w:r>
    </w:p>
    <w:p>
      <w:pPr>
        <w:ind w:firstLine="480"/>
      </w:pPr>
      <w:r>
        <w:rPr>
          <w:rFonts w:hint="eastAsia"/>
        </w:rPr>
        <w:t>捻线：根据工艺对棉线粗细的要求，确定是否需要捻线；按照工艺要求将几根棉线放置捻线机上进行捻线。</w:t>
      </w:r>
    </w:p>
    <w:p>
      <w:pPr>
        <w:ind w:firstLine="480"/>
      </w:pPr>
      <w:r>
        <w:rPr>
          <w:rFonts w:hint="eastAsia"/>
        </w:rPr>
        <w:t>整经：按工艺设计要求，把一定根数的经纱，按规定的长度、幅宽，在一定张力的作用下平行卷绕在经轴上。</w:t>
      </w:r>
    </w:p>
    <w:p>
      <w:pPr>
        <w:ind w:firstLine="480"/>
      </w:pPr>
      <w:r>
        <w:rPr>
          <w:rFonts w:hint="eastAsia"/>
        </w:rPr>
        <w:t>穿经：将经轴上的每一根经纱根据工艺设计要求，按照一定的次序穿入综丝和钢筘，并在经纱上插放停经片，已确定织造环节一切顺利。</w:t>
      </w:r>
    </w:p>
    <w:p>
      <w:pPr>
        <w:ind w:firstLine="480"/>
      </w:pPr>
      <w:r>
        <w:rPr>
          <w:rFonts w:hint="eastAsia"/>
        </w:rPr>
        <w:t>织布：将经轴在梭织机上通过梭子导纬纱，按工艺要求交织成坯布，并卷绕成布卷。</w:t>
      </w:r>
    </w:p>
    <w:p>
      <w:pPr>
        <w:ind w:firstLine="480"/>
      </w:pPr>
      <w:r>
        <w:rPr>
          <w:rFonts w:hint="eastAsia"/>
        </w:rPr>
        <w:t>3、印染生产工艺流程</w:t>
      </w:r>
    </w:p>
    <w:p>
      <w:pPr>
        <w:ind w:firstLine="480"/>
      </w:pPr>
    </w:p>
    <w:p>
      <w:pPr>
        <w:pStyle w:val="26"/>
      </w:pPr>
      <w:r>
        <w:object>
          <v:shape id="_x0000_i1029" o:spt="75" type="#_x0000_t75" style="height:146.7pt;width:479.8pt;" o:ole="t" filled="f" o:preferrelative="t" stroked="f" coordsize="21600,21600">
            <v:path/>
            <v:fill on="f" focussize="0,0"/>
            <v:stroke on="f" joinstyle="miter"/>
            <v:imagedata r:id="rId21" o:title=""/>
            <o:lock v:ext="edit" aspectratio="f"/>
            <w10:wrap type="none"/>
            <w10:anchorlock/>
          </v:shape>
          <o:OLEObject Type="Embed" ProgID="Visio.Drawing.11" ShapeID="_x0000_i1029" DrawAspect="Content" ObjectID="_1468075728" r:id="rId20">
            <o:LockedField>false</o:LockedField>
          </o:OLEObject>
        </w:object>
      </w:r>
    </w:p>
    <w:p>
      <w:pPr>
        <w:pStyle w:val="26"/>
        <w:rPr>
          <w:b/>
          <w:bCs/>
        </w:rPr>
      </w:pPr>
      <w:r>
        <w:rPr>
          <w:rFonts w:hint="eastAsia"/>
          <w:b/>
          <w:bCs/>
        </w:rPr>
        <w:t>图</w:t>
      </w:r>
      <w:r>
        <w:rPr>
          <w:b/>
          <w:bCs/>
        </w:rPr>
        <w:t>3.2-</w:t>
      </w:r>
      <w:r>
        <w:rPr>
          <w:rFonts w:hint="eastAsia"/>
          <w:b/>
          <w:bCs/>
        </w:rPr>
        <w:t>3 现有工程印染工艺流程及产污节点图</w:t>
      </w:r>
    </w:p>
    <w:p>
      <w:pPr>
        <w:ind w:firstLine="482"/>
        <w:rPr>
          <w:b/>
          <w:bCs/>
        </w:rPr>
      </w:pPr>
      <w:r>
        <w:rPr>
          <w:rFonts w:hint="eastAsia"/>
          <w:b/>
          <w:bCs/>
        </w:rPr>
        <w:t>工艺流程简述：</w:t>
      </w:r>
    </w:p>
    <w:p>
      <w:pPr>
        <w:numPr>
          <w:ilvl w:val="0"/>
          <w:numId w:val="5"/>
        </w:numPr>
        <w:ind w:firstLine="480"/>
      </w:pPr>
      <w:r>
        <w:rPr>
          <w:rFonts w:hint="eastAsia"/>
        </w:rPr>
        <w:t>翻布：检查坯布质量，发现问题能及时加以解决。检验内容包括原布的长度、幅度、重量、经纬纱线密度和密度、强力、纺疵、织疵、各种班渍及破损等。</w:t>
      </w:r>
    </w:p>
    <w:p>
      <w:pPr>
        <w:numPr>
          <w:ilvl w:val="0"/>
          <w:numId w:val="5"/>
        </w:numPr>
        <w:ind w:firstLine="480"/>
      </w:pPr>
      <w:r>
        <w:rPr>
          <w:rFonts w:hint="eastAsia"/>
        </w:rPr>
        <w:t>烧毛：采用油为原料进行烧毛。将织物平幅快速通过高温火焰，这时布面上存在的绒毛很快升温，并发生燃烧，而布身比较紧密，升温较慢，在未升到着火点时，即已离开了火焰或赤热的金属表面，从而达到烧去绒毛。</w:t>
      </w:r>
    </w:p>
    <w:p>
      <w:pPr>
        <w:numPr>
          <w:ilvl w:val="0"/>
          <w:numId w:val="5"/>
        </w:numPr>
        <w:ind w:firstLine="480"/>
      </w:pPr>
      <w:r>
        <w:rPr>
          <w:rFonts w:hint="eastAsia"/>
        </w:rPr>
        <w:t>煮练：织物上会含有如果胶质、蜡状物质等天然杂质，是织物布面较黄，煮练主要是利用烧碱和其他煮练助剂与果胶质、蜡状物质等杂质发生化学降解反应或乳化作用等，经水洗后使杂质从织物上退除。</w:t>
      </w:r>
    </w:p>
    <w:p>
      <w:pPr>
        <w:numPr>
          <w:ilvl w:val="0"/>
          <w:numId w:val="5"/>
        </w:numPr>
        <w:ind w:firstLine="480"/>
      </w:pPr>
      <w:r>
        <w:rPr>
          <w:rFonts w:hint="eastAsia"/>
        </w:rPr>
        <w:t>丝光：棉织物的特殊处理工序，改善表面光泽及染色性能。在室温或低温下，在经纬方向上都受到张力的情况下，用浓的烧碱溶液处理，以改善织物性能的加工过程。现有工程丝光工序如下：①浸碱：布料进入碱液轧槽，碱液浸轧槽内有许多上下交替相互轧压的直辊。上排直辊是包有耐碱橡胶的被动辊，穿布时可提起，运转时紧压在下排直辊上，并浸没在浓碱液中。织物在排列紧密且上下相互紧压的直辊中通过，每浸渍一次，即在软硬辊的轧点间轧液两次，上直辊是以本身重量将织物压向下直辊的，可防止织物产生大的收缩；②松堆：浸碱后的布料进入松堆处进行松堆；③去碱：织物经过松堆后，便通过一重型轧液辊，轧去多余的碱液，然后进入去碱槽，轧液经过滤后回浸碱槽。</w:t>
      </w:r>
    </w:p>
    <w:p>
      <w:pPr>
        <w:numPr>
          <w:ilvl w:val="0"/>
          <w:numId w:val="5"/>
        </w:numPr>
        <w:ind w:firstLine="480"/>
      </w:pPr>
      <w:r>
        <w:rPr>
          <w:rFonts w:hint="eastAsia"/>
        </w:rPr>
        <w:t>染色：将还原染料按照一定的比例配成染液，将织物浸渍于染液中，然后是织物通过轧辊，把染液均匀轧入织物内部再经过汽蒸处理染色。</w:t>
      </w:r>
    </w:p>
    <w:p>
      <w:pPr>
        <w:numPr>
          <w:ilvl w:val="0"/>
          <w:numId w:val="5"/>
        </w:numPr>
        <w:ind w:firstLine="480"/>
      </w:pPr>
      <w:r>
        <w:rPr>
          <w:rFonts w:hint="eastAsia"/>
        </w:rPr>
        <w:t>拉幅、缩水：将染色好的织物经拉幅定型机进行拉幅展开并将其定型，再通过缩水机将布料在一定温度、湿度、压力条件下，将织物本身的弹性收缩变形。</w:t>
      </w:r>
    </w:p>
    <w:p>
      <w:pPr>
        <w:pStyle w:val="4"/>
      </w:pPr>
      <w:r>
        <w:rPr>
          <w:rFonts w:hint="eastAsia"/>
        </w:rPr>
        <w:t>全厂平衡图</w:t>
      </w:r>
    </w:p>
    <w:p>
      <w:pPr>
        <w:ind w:firstLine="480"/>
      </w:pPr>
      <w:r>
        <w:rPr>
          <w:rFonts w:hint="eastAsia"/>
        </w:rPr>
        <w:t>1、水平衡</w:t>
      </w:r>
    </w:p>
    <w:p>
      <w:pPr>
        <w:ind w:firstLine="480"/>
      </w:pPr>
      <w:r>
        <w:rPr>
          <w:rFonts w:hint="eastAsia"/>
        </w:rPr>
        <w:t>根据企业提供资料，现有工程纺纱、织布无生产用水，因此，现有工程用水主要来源于印染车间工艺用水和全厂职工日常生活用水，其现有工程全厂水平衡见图3.2-4。</w:t>
      </w:r>
    </w:p>
    <w:p>
      <w:pPr>
        <w:ind w:firstLine="0" w:firstLineChars="0"/>
        <w:jc w:val="center"/>
      </w:pPr>
      <w:r>
        <w:object>
          <v:shape id="_x0000_i1030" o:spt="75" type="#_x0000_t75" style="height:145.05pt;width:481.95pt;" o:ole="t" filled="f" o:preferrelative="t" stroked="f" coordsize="21600,21600">
            <v:path/>
            <v:fill on="f" focussize="0,0"/>
            <v:stroke on="f"/>
            <v:imagedata r:id="rId23" o:title=""/>
            <o:lock v:ext="edit" aspectratio="f"/>
            <w10:wrap type="none"/>
            <w10:anchorlock/>
          </v:shape>
          <o:OLEObject Type="Embed" ProgID="Visio.Drawing.11" ShapeID="_x0000_i1030" DrawAspect="Content" ObjectID="_1468075729" r:id="rId22">
            <o:LockedField>false</o:LockedField>
          </o:OLEObject>
        </w:object>
      </w:r>
    </w:p>
    <w:p>
      <w:pPr>
        <w:ind w:firstLine="480"/>
      </w:pPr>
      <w:r>
        <w:rPr>
          <w:rFonts w:hint="eastAsia"/>
        </w:rPr>
        <w:t>2、蒸汽平衡</w:t>
      </w:r>
    </w:p>
    <w:p>
      <w:pPr>
        <w:ind w:firstLine="480"/>
      </w:pPr>
      <w:r>
        <w:rPr>
          <w:rFonts w:hint="eastAsia"/>
        </w:rPr>
        <w:t>根据企业提供资料，现有工程纺纱和织布过程均不使用蒸汽，仅印染过程中使用蒸汽，主要用于煮练和染色过程。根据厂区技术人员提供信息，厂区蒸汽平衡见图3.2-5。</w:t>
      </w:r>
    </w:p>
    <w:p>
      <w:pPr>
        <w:pStyle w:val="26"/>
      </w:pPr>
      <w:r>
        <w:object>
          <v:shape id="_x0000_i1031" o:spt="75" type="#_x0000_t75" style="height:156.9pt;width:481.45pt;" o:ole="t" filled="f" o:preferrelative="t" stroked="f" coordsize="21600,21600">
            <v:path/>
            <v:fill on="f" focussize="0,0"/>
            <v:stroke on="f"/>
            <v:imagedata r:id="rId25" o:title=""/>
            <o:lock v:ext="edit" aspectratio="f"/>
            <w10:wrap type="none"/>
            <w10:anchorlock/>
          </v:shape>
          <o:OLEObject Type="Embed" ProgID="Visio.Drawing.11" ShapeID="_x0000_i1031" DrawAspect="Content" ObjectID="_1468075730" r:id="rId24">
            <o:LockedField>false</o:LockedField>
          </o:OLEObject>
        </w:object>
      </w:r>
    </w:p>
    <w:p>
      <w:pPr>
        <w:ind w:firstLine="480"/>
      </w:pPr>
      <w:r>
        <w:rPr>
          <w:rFonts w:hint="eastAsia"/>
        </w:rPr>
        <w:t>3、物料平衡</w:t>
      </w:r>
    </w:p>
    <w:p>
      <w:pPr>
        <w:ind w:firstLine="480"/>
      </w:pPr>
      <w:r>
        <w:rPr>
          <w:rFonts w:hint="eastAsia"/>
        </w:rPr>
        <w:t>根据企业提供信息，各产品物料平衡见表3.2-6。</w:t>
      </w:r>
    </w:p>
    <w:p>
      <w:pPr>
        <w:ind w:firstLine="480"/>
      </w:pPr>
    </w:p>
    <w:p>
      <w:pPr>
        <w:ind w:firstLine="480"/>
      </w:pPr>
    </w:p>
    <w:p>
      <w:pPr>
        <w:pStyle w:val="26"/>
        <w:rPr>
          <w:b/>
          <w:bCs/>
        </w:rPr>
      </w:pPr>
      <w:r>
        <w:rPr>
          <w:rFonts w:hint="eastAsia"/>
          <w:b/>
          <w:bCs/>
        </w:rPr>
        <w:t>表3.2-6  原有工程物料平衡</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2463"/>
        <w:gridCol w:w="2464"/>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6" w:type="dxa"/>
            <w:gridSpan w:val="2"/>
          </w:tcPr>
          <w:p>
            <w:pPr>
              <w:pStyle w:val="26"/>
              <w:rPr>
                <w:szCs w:val="21"/>
                <w:lang w:val="en-US" w:eastAsia="zh-CN"/>
              </w:rPr>
            </w:pPr>
            <w:r>
              <w:rPr>
                <w:rFonts w:hint="eastAsia"/>
                <w:szCs w:val="21"/>
                <w:lang w:val="en-US" w:eastAsia="zh-CN"/>
              </w:rPr>
              <w:t>投入</w:t>
            </w:r>
          </w:p>
        </w:tc>
        <w:tc>
          <w:tcPr>
            <w:tcW w:w="4928" w:type="dxa"/>
            <w:gridSpan w:val="2"/>
          </w:tcPr>
          <w:p>
            <w:pPr>
              <w:pStyle w:val="26"/>
              <w:rPr>
                <w:szCs w:val="21"/>
                <w:lang w:val="en-US" w:eastAsia="zh-CN"/>
              </w:rPr>
            </w:pPr>
            <w:r>
              <w:rPr>
                <w:rFonts w:hint="eastAsia"/>
                <w:szCs w:val="21"/>
                <w:lang w:val="en-US" w:eastAsia="zh-CN"/>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3" w:type="dxa"/>
          </w:tcPr>
          <w:p>
            <w:pPr>
              <w:pStyle w:val="26"/>
              <w:rPr>
                <w:szCs w:val="21"/>
                <w:lang w:val="en-US" w:eastAsia="zh-CN"/>
              </w:rPr>
            </w:pPr>
            <w:r>
              <w:rPr>
                <w:rFonts w:hint="eastAsia"/>
                <w:szCs w:val="21"/>
                <w:lang w:val="en-US" w:eastAsia="zh-CN"/>
              </w:rPr>
              <w:t>物料名称</w:t>
            </w:r>
          </w:p>
        </w:tc>
        <w:tc>
          <w:tcPr>
            <w:tcW w:w="2463" w:type="dxa"/>
          </w:tcPr>
          <w:p>
            <w:pPr>
              <w:pStyle w:val="26"/>
              <w:rPr>
                <w:szCs w:val="21"/>
                <w:lang w:val="en-US" w:eastAsia="zh-CN"/>
              </w:rPr>
            </w:pPr>
            <w:r>
              <w:rPr>
                <w:rFonts w:hint="eastAsia"/>
                <w:szCs w:val="21"/>
                <w:lang w:val="en-US" w:eastAsia="zh-CN"/>
              </w:rPr>
              <w:t>投入量</w:t>
            </w:r>
          </w:p>
        </w:tc>
        <w:tc>
          <w:tcPr>
            <w:tcW w:w="2464" w:type="dxa"/>
          </w:tcPr>
          <w:p>
            <w:pPr>
              <w:pStyle w:val="26"/>
              <w:rPr>
                <w:szCs w:val="21"/>
                <w:lang w:val="en-US" w:eastAsia="zh-CN"/>
              </w:rPr>
            </w:pPr>
            <w:r>
              <w:rPr>
                <w:rFonts w:hint="eastAsia"/>
                <w:szCs w:val="21"/>
                <w:lang w:val="en-US" w:eastAsia="zh-CN"/>
              </w:rPr>
              <w:t>产品名称</w:t>
            </w:r>
          </w:p>
        </w:tc>
        <w:tc>
          <w:tcPr>
            <w:tcW w:w="2464" w:type="dxa"/>
          </w:tcPr>
          <w:p>
            <w:pPr>
              <w:pStyle w:val="26"/>
              <w:rPr>
                <w:szCs w:val="21"/>
                <w:lang w:val="en-US" w:eastAsia="zh-CN"/>
              </w:rPr>
            </w:pPr>
            <w:r>
              <w:rPr>
                <w:rFonts w:hint="eastAsia"/>
                <w:szCs w:val="21"/>
                <w:lang w:val="en-US" w:eastAsia="zh-CN"/>
              </w:rPr>
              <w:t>产出量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54" w:type="dxa"/>
            <w:gridSpan w:val="4"/>
          </w:tcPr>
          <w:p>
            <w:pPr>
              <w:pStyle w:val="26"/>
              <w:rPr>
                <w:szCs w:val="21"/>
                <w:lang w:val="en-US" w:eastAsia="zh-CN"/>
              </w:rPr>
            </w:pPr>
            <w:r>
              <w:rPr>
                <w:rFonts w:hint="eastAsia"/>
                <w:szCs w:val="21"/>
                <w:lang w:val="en-US" w:eastAsia="zh-CN"/>
              </w:rPr>
              <w:t>一、纺纱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3" w:type="dxa"/>
          </w:tcPr>
          <w:p>
            <w:pPr>
              <w:pStyle w:val="26"/>
              <w:rPr>
                <w:szCs w:val="21"/>
                <w:lang w:val="en-US" w:eastAsia="zh-CN"/>
              </w:rPr>
            </w:pPr>
            <w:r>
              <w:rPr>
                <w:rFonts w:hint="eastAsia"/>
                <w:kern w:val="2"/>
                <w:szCs w:val="21"/>
                <w:lang w:val="en-US" w:eastAsia="zh-CN"/>
              </w:rPr>
              <w:t>涤纶短纤</w:t>
            </w:r>
          </w:p>
        </w:tc>
        <w:tc>
          <w:tcPr>
            <w:tcW w:w="2463" w:type="dxa"/>
          </w:tcPr>
          <w:p>
            <w:pPr>
              <w:pStyle w:val="26"/>
              <w:rPr>
                <w:szCs w:val="21"/>
                <w:lang w:val="en-US" w:eastAsia="zh-CN"/>
              </w:rPr>
            </w:pPr>
            <w:r>
              <w:rPr>
                <w:rFonts w:hint="eastAsia"/>
                <w:kern w:val="2"/>
                <w:szCs w:val="21"/>
                <w:lang w:val="en-US" w:eastAsia="zh-CN"/>
              </w:rPr>
              <w:t>303吨/a</w:t>
            </w:r>
          </w:p>
        </w:tc>
        <w:tc>
          <w:tcPr>
            <w:tcW w:w="2464" w:type="dxa"/>
          </w:tcPr>
          <w:p>
            <w:pPr>
              <w:pStyle w:val="26"/>
              <w:rPr>
                <w:szCs w:val="21"/>
                <w:lang w:val="en-US" w:eastAsia="zh-CN"/>
              </w:rPr>
            </w:pPr>
            <w:r>
              <w:rPr>
                <w:rFonts w:hint="eastAsia"/>
                <w:szCs w:val="21"/>
                <w:lang w:val="en-US" w:eastAsia="zh-CN"/>
              </w:rPr>
              <w:t>纱线</w:t>
            </w:r>
          </w:p>
        </w:tc>
        <w:tc>
          <w:tcPr>
            <w:tcW w:w="2464" w:type="dxa"/>
          </w:tcPr>
          <w:p>
            <w:pPr>
              <w:pStyle w:val="26"/>
              <w:rPr>
                <w:szCs w:val="21"/>
                <w:lang w:val="en-US" w:eastAsia="zh-CN"/>
              </w:rPr>
            </w:pPr>
            <w:r>
              <w:rPr>
                <w:rFonts w:hint="eastAsia"/>
                <w:szCs w:val="21"/>
                <w:lang w:val="en-US" w:eastAsia="zh-CN"/>
              </w:rPr>
              <w:t>300</w:t>
            </w:r>
            <w:r>
              <w:rPr>
                <w:rFonts w:hint="eastAsia"/>
                <w:kern w:val="2"/>
                <w:szCs w:val="21"/>
                <w:lang w:val="en-US" w:eastAsia="zh-CN"/>
              </w:rPr>
              <w:t>吨/a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3" w:type="dxa"/>
          </w:tcPr>
          <w:p>
            <w:pPr>
              <w:pStyle w:val="26"/>
              <w:rPr>
                <w:szCs w:val="21"/>
                <w:lang w:val="en-US" w:eastAsia="zh-CN"/>
              </w:rPr>
            </w:pPr>
            <w:r>
              <w:rPr>
                <w:rFonts w:hint="eastAsia"/>
                <w:szCs w:val="21"/>
                <w:lang w:val="en-US" w:eastAsia="zh-CN"/>
              </w:rPr>
              <w:t>/</w:t>
            </w:r>
          </w:p>
        </w:tc>
        <w:tc>
          <w:tcPr>
            <w:tcW w:w="2463" w:type="dxa"/>
          </w:tcPr>
          <w:p>
            <w:pPr>
              <w:pStyle w:val="26"/>
              <w:rPr>
                <w:szCs w:val="21"/>
                <w:lang w:val="en-US" w:eastAsia="zh-CN"/>
              </w:rPr>
            </w:pPr>
            <w:r>
              <w:rPr>
                <w:rFonts w:hint="eastAsia"/>
                <w:szCs w:val="21"/>
                <w:lang w:val="en-US" w:eastAsia="zh-CN"/>
              </w:rPr>
              <w:t>/</w:t>
            </w:r>
          </w:p>
        </w:tc>
        <w:tc>
          <w:tcPr>
            <w:tcW w:w="2464" w:type="dxa"/>
          </w:tcPr>
          <w:p>
            <w:pPr>
              <w:pStyle w:val="26"/>
              <w:rPr>
                <w:szCs w:val="21"/>
                <w:lang w:val="en-US" w:eastAsia="zh-CN"/>
              </w:rPr>
            </w:pPr>
            <w:r>
              <w:rPr>
                <w:rFonts w:hint="eastAsia"/>
                <w:szCs w:val="21"/>
                <w:lang w:val="en-US" w:eastAsia="zh-CN"/>
              </w:rPr>
              <w:t>杂质</w:t>
            </w:r>
          </w:p>
        </w:tc>
        <w:tc>
          <w:tcPr>
            <w:tcW w:w="2464" w:type="dxa"/>
          </w:tcPr>
          <w:p>
            <w:pPr>
              <w:pStyle w:val="26"/>
              <w:rPr>
                <w:szCs w:val="21"/>
                <w:lang w:val="en-US" w:eastAsia="zh-CN"/>
              </w:rPr>
            </w:pPr>
            <w:r>
              <w:rPr>
                <w:rFonts w:hint="eastAsia"/>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3" w:type="dxa"/>
          </w:tcPr>
          <w:p>
            <w:pPr>
              <w:pStyle w:val="26"/>
              <w:rPr>
                <w:szCs w:val="21"/>
                <w:lang w:val="en-US" w:eastAsia="zh-CN"/>
              </w:rPr>
            </w:pPr>
            <w:r>
              <w:rPr>
                <w:rFonts w:hint="eastAsia"/>
                <w:szCs w:val="21"/>
                <w:lang w:val="en-US" w:eastAsia="zh-CN"/>
              </w:rPr>
              <w:t>/</w:t>
            </w:r>
          </w:p>
        </w:tc>
        <w:tc>
          <w:tcPr>
            <w:tcW w:w="2463" w:type="dxa"/>
          </w:tcPr>
          <w:p>
            <w:pPr>
              <w:pStyle w:val="26"/>
              <w:rPr>
                <w:szCs w:val="21"/>
                <w:lang w:val="en-US" w:eastAsia="zh-CN"/>
              </w:rPr>
            </w:pPr>
            <w:r>
              <w:rPr>
                <w:rFonts w:hint="eastAsia"/>
                <w:szCs w:val="21"/>
                <w:lang w:val="en-US" w:eastAsia="zh-CN"/>
              </w:rPr>
              <w:t>/</w:t>
            </w:r>
          </w:p>
        </w:tc>
        <w:tc>
          <w:tcPr>
            <w:tcW w:w="2464" w:type="dxa"/>
          </w:tcPr>
          <w:p>
            <w:pPr>
              <w:pStyle w:val="26"/>
              <w:rPr>
                <w:szCs w:val="21"/>
                <w:lang w:val="en-US" w:eastAsia="zh-CN"/>
              </w:rPr>
            </w:pPr>
            <w:r>
              <w:rPr>
                <w:rFonts w:hint="eastAsia"/>
                <w:szCs w:val="21"/>
                <w:lang w:val="en-US" w:eastAsia="zh-CN"/>
              </w:rPr>
              <w:t>废弃原料、粉尘</w:t>
            </w:r>
          </w:p>
        </w:tc>
        <w:tc>
          <w:tcPr>
            <w:tcW w:w="2464" w:type="dxa"/>
          </w:tcPr>
          <w:p>
            <w:pPr>
              <w:pStyle w:val="26"/>
              <w:rPr>
                <w:szCs w:val="21"/>
                <w:lang w:val="en-US" w:eastAsia="zh-CN"/>
              </w:rPr>
            </w:pPr>
            <w:r>
              <w:rPr>
                <w:rFonts w:hint="eastAsia"/>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3" w:type="dxa"/>
          </w:tcPr>
          <w:p>
            <w:pPr>
              <w:pStyle w:val="26"/>
              <w:rPr>
                <w:szCs w:val="21"/>
                <w:lang w:val="en-US" w:eastAsia="zh-CN"/>
              </w:rPr>
            </w:pPr>
            <w:r>
              <w:rPr>
                <w:rFonts w:hint="eastAsia"/>
                <w:szCs w:val="21"/>
                <w:lang w:val="en-US" w:eastAsia="zh-CN"/>
              </w:rPr>
              <w:t>小计</w:t>
            </w:r>
          </w:p>
        </w:tc>
        <w:tc>
          <w:tcPr>
            <w:tcW w:w="2463" w:type="dxa"/>
          </w:tcPr>
          <w:p>
            <w:pPr>
              <w:pStyle w:val="26"/>
              <w:rPr>
                <w:szCs w:val="21"/>
                <w:lang w:val="en-US" w:eastAsia="zh-CN"/>
              </w:rPr>
            </w:pPr>
            <w:r>
              <w:rPr>
                <w:rFonts w:hint="eastAsia"/>
                <w:kern w:val="2"/>
                <w:szCs w:val="21"/>
                <w:lang w:val="en-US" w:eastAsia="zh-CN"/>
              </w:rPr>
              <w:t>303吨/a</w:t>
            </w:r>
          </w:p>
        </w:tc>
        <w:tc>
          <w:tcPr>
            <w:tcW w:w="2464" w:type="dxa"/>
          </w:tcPr>
          <w:p>
            <w:pPr>
              <w:pStyle w:val="26"/>
              <w:rPr>
                <w:szCs w:val="21"/>
                <w:lang w:val="en-US" w:eastAsia="zh-CN"/>
              </w:rPr>
            </w:pPr>
            <w:r>
              <w:rPr>
                <w:rFonts w:hint="eastAsia"/>
                <w:szCs w:val="21"/>
                <w:lang w:val="en-US" w:eastAsia="zh-CN"/>
              </w:rPr>
              <w:t>小计</w:t>
            </w:r>
          </w:p>
        </w:tc>
        <w:tc>
          <w:tcPr>
            <w:tcW w:w="2464" w:type="dxa"/>
          </w:tcPr>
          <w:p>
            <w:pPr>
              <w:pStyle w:val="26"/>
              <w:rPr>
                <w:szCs w:val="21"/>
                <w:lang w:val="en-US" w:eastAsia="zh-CN"/>
              </w:rPr>
            </w:pPr>
            <w:r>
              <w:rPr>
                <w:rFonts w:hint="eastAsia"/>
                <w:kern w:val="2"/>
                <w:szCs w:val="21"/>
                <w:lang w:val="en-US" w:eastAsia="zh-CN"/>
              </w:rPr>
              <w:t>303吨/a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54" w:type="dxa"/>
            <w:gridSpan w:val="4"/>
          </w:tcPr>
          <w:p>
            <w:pPr>
              <w:pStyle w:val="26"/>
              <w:rPr>
                <w:szCs w:val="21"/>
                <w:lang w:val="en-US" w:eastAsia="zh-CN"/>
              </w:rPr>
            </w:pPr>
            <w:r>
              <w:rPr>
                <w:rFonts w:hint="eastAsia"/>
                <w:szCs w:val="21"/>
                <w:lang w:val="en-US" w:eastAsia="zh-CN"/>
              </w:rPr>
              <w:t>二、织布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3" w:type="dxa"/>
          </w:tcPr>
          <w:p>
            <w:pPr>
              <w:pStyle w:val="26"/>
              <w:rPr>
                <w:szCs w:val="21"/>
                <w:lang w:val="en-US" w:eastAsia="zh-CN"/>
              </w:rPr>
            </w:pPr>
            <w:r>
              <w:rPr>
                <w:rFonts w:hint="eastAsia"/>
                <w:szCs w:val="21"/>
                <w:lang w:val="en-US" w:eastAsia="zh-CN"/>
              </w:rPr>
              <w:t>棉线</w:t>
            </w:r>
          </w:p>
        </w:tc>
        <w:tc>
          <w:tcPr>
            <w:tcW w:w="2463" w:type="dxa"/>
          </w:tcPr>
          <w:p>
            <w:pPr>
              <w:pStyle w:val="26"/>
              <w:rPr>
                <w:szCs w:val="21"/>
                <w:lang w:val="en-US" w:eastAsia="zh-CN"/>
              </w:rPr>
            </w:pPr>
            <w:r>
              <w:rPr>
                <w:rFonts w:hint="eastAsia"/>
                <w:szCs w:val="21"/>
                <w:lang w:val="en-US" w:eastAsia="zh-CN"/>
              </w:rPr>
              <w:t>1818t/a</w:t>
            </w:r>
          </w:p>
        </w:tc>
        <w:tc>
          <w:tcPr>
            <w:tcW w:w="2464" w:type="dxa"/>
          </w:tcPr>
          <w:p>
            <w:pPr>
              <w:pStyle w:val="26"/>
              <w:rPr>
                <w:szCs w:val="21"/>
                <w:lang w:val="en-US" w:eastAsia="zh-CN"/>
              </w:rPr>
            </w:pPr>
            <w:r>
              <w:rPr>
                <w:rFonts w:hint="eastAsia"/>
                <w:szCs w:val="21"/>
                <w:lang w:val="en-US" w:eastAsia="zh-CN"/>
              </w:rPr>
              <w:t>坯布</w:t>
            </w:r>
          </w:p>
        </w:tc>
        <w:tc>
          <w:tcPr>
            <w:tcW w:w="2464" w:type="dxa"/>
          </w:tcPr>
          <w:p>
            <w:pPr>
              <w:pStyle w:val="26"/>
              <w:rPr>
                <w:szCs w:val="21"/>
                <w:lang w:val="en-US" w:eastAsia="zh-CN"/>
              </w:rPr>
            </w:pPr>
            <w:r>
              <w:rPr>
                <w:rFonts w:hint="eastAsia"/>
                <w:szCs w:val="21"/>
                <w:lang w:val="en-US" w:eastAsia="zh-CN"/>
              </w:rPr>
              <w:t>1800t/a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3" w:type="dxa"/>
          </w:tcPr>
          <w:p>
            <w:pPr>
              <w:pStyle w:val="26"/>
              <w:rPr>
                <w:szCs w:val="21"/>
                <w:lang w:val="en-US" w:eastAsia="zh-CN"/>
              </w:rPr>
            </w:pPr>
            <w:r>
              <w:rPr>
                <w:rFonts w:hint="eastAsia"/>
                <w:szCs w:val="21"/>
                <w:lang w:val="en-US" w:eastAsia="zh-CN"/>
              </w:rPr>
              <w:t>/</w:t>
            </w:r>
          </w:p>
        </w:tc>
        <w:tc>
          <w:tcPr>
            <w:tcW w:w="2463" w:type="dxa"/>
          </w:tcPr>
          <w:p>
            <w:pPr>
              <w:pStyle w:val="26"/>
              <w:rPr>
                <w:szCs w:val="21"/>
                <w:lang w:val="en-US" w:eastAsia="zh-CN"/>
              </w:rPr>
            </w:pPr>
            <w:r>
              <w:rPr>
                <w:rFonts w:hint="eastAsia"/>
                <w:szCs w:val="21"/>
                <w:lang w:val="en-US" w:eastAsia="zh-CN"/>
              </w:rPr>
              <w:t>/</w:t>
            </w:r>
          </w:p>
        </w:tc>
        <w:tc>
          <w:tcPr>
            <w:tcW w:w="2464" w:type="dxa"/>
          </w:tcPr>
          <w:p>
            <w:pPr>
              <w:pStyle w:val="26"/>
              <w:rPr>
                <w:szCs w:val="21"/>
                <w:lang w:val="en-US" w:eastAsia="zh-CN"/>
              </w:rPr>
            </w:pPr>
            <w:r>
              <w:rPr>
                <w:rFonts w:hint="eastAsia"/>
                <w:szCs w:val="21"/>
                <w:lang w:val="en-US" w:eastAsia="zh-CN"/>
              </w:rPr>
              <w:t>废弃棉线</w:t>
            </w:r>
          </w:p>
        </w:tc>
        <w:tc>
          <w:tcPr>
            <w:tcW w:w="2464" w:type="dxa"/>
          </w:tcPr>
          <w:p>
            <w:pPr>
              <w:pStyle w:val="26"/>
              <w:rPr>
                <w:szCs w:val="21"/>
                <w:lang w:val="en-US" w:eastAsia="zh-CN"/>
              </w:rPr>
            </w:pPr>
            <w:r>
              <w:rPr>
                <w:rFonts w:hint="eastAsia"/>
                <w:szCs w:val="21"/>
                <w:lang w:val="en-US" w:eastAsia="zh-CN"/>
              </w:rPr>
              <w:t>16t/a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3" w:type="dxa"/>
          </w:tcPr>
          <w:p>
            <w:pPr>
              <w:pStyle w:val="26"/>
              <w:rPr>
                <w:szCs w:val="21"/>
                <w:lang w:val="en-US" w:eastAsia="zh-CN"/>
              </w:rPr>
            </w:pPr>
            <w:r>
              <w:rPr>
                <w:rFonts w:hint="eastAsia"/>
                <w:szCs w:val="21"/>
                <w:lang w:val="en-US" w:eastAsia="zh-CN"/>
              </w:rPr>
              <w:t>/</w:t>
            </w:r>
          </w:p>
        </w:tc>
        <w:tc>
          <w:tcPr>
            <w:tcW w:w="2463" w:type="dxa"/>
          </w:tcPr>
          <w:p>
            <w:pPr>
              <w:pStyle w:val="26"/>
              <w:rPr>
                <w:szCs w:val="21"/>
                <w:lang w:val="en-US" w:eastAsia="zh-CN"/>
              </w:rPr>
            </w:pPr>
            <w:r>
              <w:rPr>
                <w:rFonts w:hint="eastAsia"/>
                <w:szCs w:val="21"/>
                <w:lang w:val="en-US" w:eastAsia="zh-CN"/>
              </w:rPr>
              <w:t>/</w:t>
            </w:r>
          </w:p>
        </w:tc>
        <w:tc>
          <w:tcPr>
            <w:tcW w:w="2464" w:type="dxa"/>
          </w:tcPr>
          <w:p>
            <w:pPr>
              <w:pStyle w:val="26"/>
              <w:rPr>
                <w:szCs w:val="21"/>
                <w:lang w:val="en-US" w:eastAsia="zh-CN"/>
              </w:rPr>
            </w:pPr>
            <w:r>
              <w:rPr>
                <w:rFonts w:hint="eastAsia"/>
                <w:szCs w:val="21"/>
                <w:lang w:val="en-US" w:eastAsia="zh-CN"/>
              </w:rPr>
              <w:t>粉尘</w:t>
            </w:r>
          </w:p>
        </w:tc>
        <w:tc>
          <w:tcPr>
            <w:tcW w:w="2464" w:type="dxa"/>
          </w:tcPr>
          <w:p>
            <w:pPr>
              <w:pStyle w:val="26"/>
              <w:rPr>
                <w:szCs w:val="21"/>
                <w:lang w:val="en-US" w:eastAsia="zh-CN"/>
              </w:rPr>
            </w:pPr>
            <w:r>
              <w:rPr>
                <w:rFonts w:hint="eastAsia"/>
                <w:szCs w:val="21"/>
                <w:lang w:val="en-US" w:eastAsia="zh-CN"/>
              </w:rPr>
              <w:t>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3" w:type="dxa"/>
          </w:tcPr>
          <w:p>
            <w:pPr>
              <w:pStyle w:val="26"/>
              <w:rPr>
                <w:szCs w:val="21"/>
                <w:lang w:val="en-US" w:eastAsia="zh-CN"/>
              </w:rPr>
            </w:pPr>
            <w:r>
              <w:rPr>
                <w:rFonts w:hint="eastAsia"/>
                <w:szCs w:val="21"/>
                <w:lang w:val="en-US" w:eastAsia="zh-CN"/>
              </w:rPr>
              <w:t>小计</w:t>
            </w:r>
          </w:p>
        </w:tc>
        <w:tc>
          <w:tcPr>
            <w:tcW w:w="2463" w:type="dxa"/>
          </w:tcPr>
          <w:p>
            <w:pPr>
              <w:pStyle w:val="26"/>
              <w:rPr>
                <w:szCs w:val="21"/>
                <w:lang w:val="en-US" w:eastAsia="zh-CN"/>
              </w:rPr>
            </w:pPr>
            <w:r>
              <w:rPr>
                <w:rFonts w:hint="eastAsia"/>
                <w:kern w:val="2"/>
                <w:szCs w:val="21"/>
                <w:lang w:val="en-US" w:eastAsia="zh-CN"/>
              </w:rPr>
              <w:t>1818吨/a</w:t>
            </w:r>
          </w:p>
        </w:tc>
        <w:tc>
          <w:tcPr>
            <w:tcW w:w="2464" w:type="dxa"/>
          </w:tcPr>
          <w:p>
            <w:pPr>
              <w:pStyle w:val="26"/>
              <w:rPr>
                <w:szCs w:val="21"/>
                <w:lang w:val="en-US" w:eastAsia="zh-CN"/>
              </w:rPr>
            </w:pPr>
            <w:r>
              <w:rPr>
                <w:rFonts w:hint="eastAsia"/>
                <w:szCs w:val="21"/>
                <w:lang w:val="en-US" w:eastAsia="zh-CN"/>
              </w:rPr>
              <w:t>小计</w:t>
            </w:r>
          </w:p>
        </w:tc>
        <w:tc>
          <w:tcPr>
            <w:tcW w:w="2464" w:type="dxa"/>
          </w:tcPr>
          <w:p>
            <w:pPr>
              <w:pStyle w:val="26"/>
              <w:rPr>
                <w:szCs w:val="21"/>
                <w:lang w:val="en-US" w:eastAsia="zh-CN"/>
              </w:rPr>
            </w:pPr>
            <w:r>
              <w:rPr>
                <w:rFonts w:hint="eastAsia"/>
                <w:kern w:val="2"/>
                <w:szCs w:val="21"/>
                <w:lang w:val="en-US" w:eastAsia="zh-CN"/>
              </w:rPr>
              <w:t>1818吨/a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54" w:type="dxa"/>
            <w:gridSpan w:val="4"/>
          </w:tcPr>
          <w:p>
            <w:pPr>
              <w:pStyle w:val="26"/>
              <w:rPr>
                <w:szCs w:val="21"/>
                <w:lang w:val="en-US" w:eastAsia="zh-CN"/>
              </w:rPr>
            </w:pPr>
            <w:r>
              <w:rPr>
                <w:rFonts w:hint="eastAsia"/>
                <w:szCs w:val="21"/>
                <w:lang w:val="en-US" w:eastAsia="zh-CN"/>
              </w:rPr>
              <w:t>三、印染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3" w:type="dxa"/>
            <w:vAlign w:val="center"/>
          </w:tcPr>
          <w:p>
            <w:pPr>
              <w:pStyle w:val="26"/>
              <w:rPr>
                <w:szCs w:val="21"/>
                <w:lang w:val="en-US" w:eastAsia="zh-CN"/>
              </w:rPr>
            </w:pPr>
            <w:r>
              <w:rPr>
                <w:rFonts w:hint="eastAsia"/>
                <w:kern w:val="2"/>
                <w:szCs w:val="21"/>
                <w:lang w:val="en-US" w:eastAsia="zh-CN"/>
              </w:rPr>
              <w:t>棉坯布</w:t>
            </w:r>
          </w:p>
        </w:tc>
        <w:tc>
          <w:tcPr>
            <w:tcW w:w="2463" w:type="dxa"/>
            <w:vAlign w:val="center"/>
          </w:tcPr>
          <w:p>
            <w:pPr>
              <w:pStyle w:val="26"/>
              <w:rPr>
                <w:szCs w:val="21"/>
                <w:lang w:val="en-US" w:eastAsia="zh-CN"/>
              </w:rPr>
            </w:pPr>
            <w:r>
              <w:rPr>
                <w:rFonts w:hint="eastAsia"/>
                <w:szCs w:val="21"/>
                <w:lang w:val="en-US" w:eastAsia="zh-CN"/>
              </w:rPr>
              <w:t>500万m/a</w:t>
            </w:r>
          </w:p>
        </w:tc>
        <w:tc>
          <w:tcPr>
            <w:tcW w:w="2464" w:type="dxa"/>
            <w:vAlign w:val="center"/>
          </w:tcPr>
          <w:p>
            <w:pPr>
              <w:pStyle w:val="26"/>
              <w:rPr>
                <w:szCs w:val="21"/>
                <w:lang w:val="en-US" w:eastAsia="zh-CN"/>
              </w:rPr>
            </w:pPr>
            <w:r>
              <w:rPr>
                <w:rFonts w:hint="eastAsia"/>
                <w:szCs w:val="21"/>
                <w:lang w:val="en-US" w:eastAsia="zh-CN"/>
              </w:rPr>
              <w:t>产品</w:t>
            </w:r>
          </w:p>
        </w:tc>
        <w:tc>
          <w:tcPr>
            <w:tcW w:w="2464" w:type="dxa"/>
          </w:tcPr>
          <w:p>
            <w:pPr>
              <w:pStyle w:val="26"/>
              <w:rPr>
                <w:szCs w:val="21"/>
                <w:lang w:val="en-US" w:eastAsia="zh-CN"/>
              </w:rPr>
            </w:pPr>
            <w:r>
              <w:rPr>
                <w:rFonts w:hint="eastAsia"/>
                <w:szCs w:val="21"/>
                <w:lang w:val="en-US" w:eastAsia="zh-CN"/>
              </w:rPr>
              <w:t>600万m/a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3" w:type="dxa"/>
            <w:vAlign w:val="center"/>
          </w:tcPr>
          <w:p>
            <w:pPr>
              <w:pStyle w:val="26"/>
              <w:rPr>
                <w:szCs w:val="21"/>
                <w:lang w:val="en-US" w:eastAsia="zh-CN"/>
              </w:rPr>
            </w:pPr>
            <w:r>
              <w:rPr>
                <w:rFonts w:hint="eastAsia"/>
                <w:kern w:val="2"/>
                <w:szCs w:val="21"/>
                <w:lang w:val="en-US" w:eastAsia="zh-CN"/>
              </w:rPr>
              <w:t>麻坯布</w:t>
            </w:r>
          </w:p>
        </w:tc>
        <w:tc>
          <w:tcPr>
            <w:tcW w:w="2463" w:type="dxa"/>
            <w:vAlign w:val="center"/>
          </w:tcPr>
          <w:p>
            <w:pPr>
              <w:pStyle w:val="26"/>
              <w:rPr>
                <w:szCs w:val="21"/>
                <w:lang w:val="en-US" w:eastAsia="zh-CN"/>
              </w:rPr>
            </w:pPr>
            <w:r>
              <w:rPr>
                <w:rFonts w:hint="eastAsia"/>
                <w:szCs w:val="21"/>
                <w:lang w:val="en-US" w:eastAsia="zh-CN"/>
              </w:rPr>
              <w:t>100万m/a</w:t>
            </w:r>
          </w:p>
        </w:tc>
        <w:tc>
          <w:tcPr>
            <w:tcW w:w="2464" w:type="dxa"/>
            <w:vAlign w:val="center"/>
          </w:tcPr>
          <w:p>
            <w:pPr>
              <w:pStyle w:val="26"/>
              <w:rPr>
                <w:szCs w:val="21"/>
                <w:lang w:val="en-US" w:eastAsia="zh-CN"/>
              </w:rPr>
            </w:pPr>
          </w:p>
        </w:tc>
        <w:tc>
          <w:tcPr>
            <w:tcW w:w="2464" w:type="dxa"/>
          </w:tcPr>
          <w:p>
            <w:pPr>
              <w:pStyle w:val="26"/>
              <w:rPr>
                <w:szCs w:val="21"/>
                <w:lang w:val="en-US" w:eastAsia="zh-CN"/>
              </w:rPr>
            </w:pPr>
          </w:p>
        </w:tc>
      </w:tr>
    </w:tbl>
    <w:p>
      <w:pPr>
        <w:pStyle w:val="4"/>
      </w:pPr>
      <w:r>
        <w:rPr>
          <w:rFonts w:hint="eastAsia"/>
        </w:rPr>
        <w:t>现有工程污染源情况分析</w:t>
      </w:r>
    </w:p>
    <w:p>
      <w:pPr>
        <w:ind w:firstLine="480"/>
      </w:pPr>
      <w:r>
        <w:t>1</w:t>
      </w:r>
      <w:r>
        <w:rPr>
          <w:rFonts w:hint="eastAsia"/>
        </w:rPr>
        <w:t>、废水</w:t>
      </w:r>
    </w:p>
    <w:p>
      <w:pPr>
        <w:ind w:firstLine="480"/>
      </w:pPr>
      <w:r>
        <w:rPr>
          <w:rFonts w:hint="eastAsia"/>
        </w:rPr>
        <w:t>根据企业提供资料和现场踏勘，现有工程废水主要为印染车间生产废水和全厂员工日常生活污水，纺纱和织布车间无生产性废水产生。</w:t>
      </w:r>
    </w:p>
    <w:p>
      <w:pPr>
        <w:ind w:firstLine="480"/>
      </w:pPr>
      <w:r>
        <w:rPr>
          <w:rFonts w:hint="eastAsia"/>
        </w:rPr>
        <w:t>1、印染车间生产废水</w:t>
      </w:r>
    </w:p>
    <w:p>
      <w:pPr>
        <w:ind w:firstLine="480"/>
      </w:pPr>
      <w:r>
        <w:rPr>
          <w:rFonts w:hint="eastAsia"/>
        </w:rPr>
        <w:t>印染生产过程产生的煮练废水、染色废水等生产废水。</w:t>
      </w:r>
    </w:p>
    <w:p>
      <w:pPr>
        <w:ind w:firstLine="480"/>
      </w:pPr>
      <w:r>
        <w:rPr>
          <w:rFonts w:hint="eastAsia"/>
        </w:rPr>
        <w:t>根据《工业污染源产排系数手册（</w:t>
      </w:r>
      <w:r>
        <w:t>2010</w:t>
      </w:r>
      <w:r>
        <w:rPr>
          <w:rFonts w:hint="eastAsia"/>
        </w:rPr>
        <w:t>年修订）》，生产规模小于</w:t>
      </w:r>
      <w:r>
        <w:t>1</w:t>
      </w:r>
      <w:r>
        <w:rPr>
          <w:rFonts w:hint="eastAsia"/>
        </w:rPr>
        <w:t>万</w:t>
      </w:r>
      <w:r>
        <w:t>t/a</w:t>
      </w:r>
      <w:r>
        <w:rPr>
          <w:rFonts w:hint="eastAsia"/>
        </w:rPr>
        <w:t>的棉化仟纺织品污染物产生系数为：工业废水量</w:t>
      </w:r>
      <w:r>
        <w:t>129.65t/t-</w:t>
      </w:r>
      <w:r>
        <w:rPr>
          <w:rFonts w:hint="eastAsia"/>
        </w:rPr>
        <w:t>产品、</w:t>
      </w:r>
      <w:r>
        <w:t>COD229610kg/t-</w:t>
      </w:r>
      <w:r>
        <w:rPr>
          <w:rFonts w:hint="eastAsia"/>
        </w:rPr>
        <w:t>产品、氨氮</w:t>
      </w:r>
      <w:r>
        <w:t>1555.8tg/t-</w:t>
      </w:r>
      <w:r>
        <w:rPr>
          <w:rFonts w:hint="eastAsia"/>
        </w:rPr>
        <w:t>产品。根据建设单位提供资料，现有工程产品规模为</w:t>
      </w:r>
      <w:r>
        <w:t>1800t/a</w:t>
      </w:r>
      <w:r>
        <w:rPr>
          <w:rFonts w:hint="eastAsia"/>
        </w:rPr>
        <w:t>，则现有工程生产废水产生量为</w:t>
      </w:r>
      <w:r>
        <w:t>233370m/a</w:t>
      </w:r>
      <w:r>
        <w:rPr>
          <w:rFonts w:hint="eastAsia"/>
        </w:rPr>
        <w:t>、</w:t>
      </w:r>
      <w:r>
        <w:t>COD</w:t>
      </w:r>
      <w:r>
        <w:rPr>
          <w:rFonts w:hint="eastAsia"/>
        </w:rPr>
        <w:t>产生量为</w:t>
      </w:r>
      <w:r>
        <w:t>413.298t/a</w:t>
      </w:r>
      <w:r>
        <w:rPr>
          <w:rFonts w:hint="eastAsia"/>
        </w:rPr>
        <w:t>、氨氮产生量为</w:t>
      </w:r>
      <w:r>
        <w:t>2.80044t/a</w:t>
      </w:r>
      <w:r>
        <w:rPr>
          <w:rFonts w:hint="eastAsia"/>
        </w:rPr>
        <w:t>。</w:t>
      </w:r>
    </w:p>
    <w:p>
      <w:pPr>
        <w:ind w:firstLine="480"/>
      </w:pPr>
      <w:r>
        <w:rPr>
          <w:rFonts w:hint="eastAsia"/>
        </w:rPr>
        <w:t>2、生活污水</w:t>
      </w:r>
    </w:p>
    <w:p>
      <w:pPr>
        <w:ind w:firstLine="480"/>
      </w:pPr>
      <w:r>
        <w:rPr>
          <w:rFonts w:hint="eastAsia"/>
        </w:rPr>
        <w:t>现有工程劳动定员为45</w:t>
      </w:r>
      <w:r>
        <w:t>00</w:t>
      </w:r>
      <w:r>
        <w:rPr>
          <w:rFonts w:hint="eastAsia"/>
        </w:rPr>
        <w:t>人，均在食堂就餐，不在厂区内住宿，年工作日为</w:t>
      </w:r>
      <w:r>
        <w:t>300</w:t>
      </w:r>
      <w:r>
        <w:rPr>
          <w:rFonts w:hint="eastAsia"/>
        </w:rPr>
        <w:t>天。根据《湖南省地方标准用水定额》（</w:t>
      </w:r>
      <w:r>
        <w:t>GB43/T388-2014</w:t>
      </w:r>
      <w:r>
        <w:rPr>
          <w:rFonts w:hint="eastAsia"/>
        </w:rPr>
        <w:t>），员工生活用水量按</w:t>
      </w:r>
      <w:r>
        <w:t>80L/</w:t>
      </w:r>
      <w:r>
        <w:rPr>
          <w:rFonts w:hint="eastAsia"/>
        </w:rPr>
        <w:t>人·</w:t>
      </w:r>
      <w:r>
        <w:t>d</w:t>
      </w:r>
      <w:r>
        <w:rPr>
          <w:rFonts w:hint="eastAsia"/>
        </w:rPr>
        <w:t>，则现有工程员工生活用水量为108</w:t>
      </w:r>
      <w:r>
        <w:t>000m</w:t>
      </w:r>
      <w:r>
        <w:rPr>
          <w:vertAlign w:val="superscript"/>
        </w:rPr>
        <w:t>3</w:t>
      </w:r>
      <w:r>
        <w:t>/a</w:t>
      </w:r>
      <w:r>
        <w:rPr>
          <w:rFonts w:hint="eastAsia"/>
        </w:rPr>
        <w:t>，生活污水量按生活用水量</w:t>
      </w:r>
      <w:r>
        <w:t>80%</w:t>
      </w:r>
      <w:r>
        <w:rPr>
          <w:rFonts w:hint="eastAsia"/>
        </w:rPr>
        <w:t>计，则现有工程生活污水量为864</w:t>
      </w:r>
      <w:r>
        <w:t>00m</w:t>
      </w:r>
      <w:r>
        <w:rPr>
          <w:vertAlign w:val="superscript"/>
        </w:rPr>
        <w:t>3</w:t>
      </w:r>
      <w:r>
        <w:t>/a</w:t>
      </w:r>
      <w:r>
        <w:rPr>
          <w:rFonts w:hint="eastAsia"/>
        </w:rPr>
        <w:t>。</w:t>
      </w:r>
    </w:p>
    <w:p>
      <w:pPr>
        <w:ind w:firstLine="480"/>
      </w:pPr>
      <w:r>
        <w:rPr>
          <w:rFonts w:hint="eastAsia"/>
        </w:rPr>
        <w:t>现有工程生活污水经化粪池处理后直接排入市政污水管网进入营田镇污水处理厂，印染车间生产废水排入印染车间内污水处理站进一步处理。污水处理站污水处理工艺采用“混凝沉淀</w:t>
      </w:r>
      <w:r>
        <w:t>+</w:t>
      </w:r>
      <w:r>
        <w:rPr>
          <w:rFonts w:hint="eastAsia"/>
        </w:rPr>
        <w:t>曝气</w:t>
      </w:r>
      <w:r>
        <w:t>+</w:t>
      </w:r>
      <w:r>
        <w:rPr>
          <w:rFonts w:hint="eastAsia"/>
        </w:rPr>
        <w:t>气浮</w:t>
      </w:r>
      <w:r>
        <w:t>+</w:t>
      </w:r>
      <w:r>
        <w:rPr>
          <w:rFonts w:hint="eastAsia"/>
        </w:rPr>
        <w:t>生化”工艺。</w:t>
      </w:r>
    </w:p>
    <w:p>
      <w:pPr>
        <w:ind w:firstLine="0" w:firstLineChars="0"/>
        <w:jc w:val="center"/>
      </w:pPr>
      <w:r>
        <w:object>
          <v:shape id="_x0000_i1032" o:spt="75" type="#_x0000_t75" style="height:66.1pt;width:478.75pt;" o:ole="t" filled="f" o:preferrelative="t" stroked="f" coordsize="21600,21600">
            <v:path/>
            <v:fill on="f" focussize="0,0"/>
            <v:stroke on="f" joinstyle="miter"/>
            <v:imagedata r:id="rId27" o:title=""/>
            <o:lock v:ext="edit" aspectratio="f"/>
            <w10:wrap type="none"/>
            <w10:anchorlock/>
          </v:shape>
          <o:OLEObject Type="Embed" ProgID="Visio.Drawing.11" ShapeID="_x0000_i1032" DrawAspect="Content" ObjectID="_1468075731" r:id="rId26">
            <o:LockedField>false</o:LockedField>
          </o:OLEObject>
        </w:object>
      </w:r>
    </w:p>
    <w:p>
      <w:pPr>
        <w:pStyle w:val="26"/>
        <w:rPr>
          <w:b/>
          <w:bCs/>
        </w:rPr>
      </w:pPr>
      <w:r>
        <w:rPr>
          <w:rFonts w:hint="eastAsia"/>
          <w:b/>
          <w:bCs/>
        </w:rPr>
        <w:t>图</w:t>
      </w:r>
      <w:r>
        <w:rPr>
          <w:b/>
          <w:bCs/>
        </w:rPr>
        <w:t xml:space="preserve">3.2-2  </w:t>
      </w:r>
      <w:r>
        <w:rPr>
          <w:rFonts w:hint="eastAsia"/>
          <w:b/>
          <w:bCs/>
        </w:rPr>
        <w:t>污水处理站现有工艺流程图</w:t>
      </w:r>
    </w:p>
    <w:p>
      <w:pPr>
        <w:ind w:firstLine="480"/>
      </w:pPr>
      <w:r>
        <w:rPr>
          <w:rFonts w:hint="eastAsia"/>
        </w:rPr>
        <w:t>为了解现有工程污水排入湘江情况，本次环评委托岳阳市衡润检测有限公司于</w:t>
      </w:r>
      <w:r>
        <w:t>2017</w:t>
      </w:r>
      <w:r>
        <w:rPr>
          <w:rFonts w:hint="eastAsia"/>
        </w:rPr>
        <w:t>年</w:t>
      </w:r>
      <w:r>
        <w:t>7</w:t>
      </w:r>
      <w:r>
        <w:rPr>
          <w:rFonts w:hint="eastAsia"/>
        </w:rPr>
        <w:t>月</w:t>
      </w:r>
      <w:r>
        <w:t>6</w:t>
      </w:r>
      <w:r>
        <w:rPr>
          <w:rFonts w:hint="eastAsia"/>
        </w:rPr>
        <w:t>日</w:t>
      </w:r>
      <w:r>
        <w:t>~7</w:t>
      </w:r>
      <w:r>
        <w:rPr>
          <w:rFonts w:hint="eastAsia"/>
        </w:rPr>
        <w:t>日对现有工程废水污水处理站进出口进行检测，其监测结果详见表</w:t>
      </w:r>
      <w:r>
        <w:t>3.2-</w:t>
      </w:r>
      <w:r>
        <w:rPr>
          <w:rFonts w:hint="eastAsia"/>
        </w:rPr>
        <w:t>7。</w:t>
      </w:r>
    </w:p>
    <w:p>
      <w:pPr>
        <w:pStyle w:val="26"/>
        <w:rPr>
          <w:b/>
          <w:bCs/>
        </w:rPr>
      </w:pPr>
      <w:r>
        <w:rPr>
          <w:rFonts w:hint="eastAsia"/>
          <w:b/>
          <w:bCs/>
        </w:rPr>
        <w:t>表</w:t>
      </w:r>
      <w:r>
        <w:rPr>
          <w:b/>
          <w:bCs/>
        </w:rPr>
        <w:t>3.2-</w:t>
      </w:r>
      <w:r>
        <w:rPr>
          <w:rFonts w:hint="eastAsia"/>
          <w:b/>
          <w:bCs/>
        </w:rPr>
        <w:t>7原有工程废水污染物监测结果一览表（单位</w:t>
      </w:r>
      <w:r>
        <w:rPr>
          <w:b/>
          <w:bCs/>
        </w:rPr>
        <w:t>mg/L,pH</w:t>
      </w:r>
      <w:r>
        <w:rPr>
          <w:rFonts w:hint="eastAsia"/>
          <w:b/>
          <w:bCs/>
        </w:rPr>
        <w:t>无量纲，色度为倍数）</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1110"/>
        <w:gridCol w:w="1501"/>
        <w:gridCol w:w="937"/>
        <w:gridCol w:w="1408"/>
        <w:gridCol w:w="1408"/>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2082" w:type="dxa"/>
          </w:tcPr>
          <w:p>
            <w:pPr>
              <w:pStyle w:val="26"/>
              <w:rPr>
                <w:kern w:val="2"/>
                <w:szCs w:val="21"/>
                <w:lang w:val="en-US" w:eastAsia="zh-CN"/>
              </w:rPr>
            </w:pPr>
            <w:r>
              <w:rPr>
                <w:rFonts w:hint="eastAsia"/>
                <w:kern w:val="2"/>
                <w:szCs w:val="21"/>
                <w:lang w:val="en-US" w:eastAsia="zh-CN"/>
              </w:rPr>
              <w:t>监测点位</w:t>
            </w:r>
          </w:p>
        </w:tc>
        <w:tc>
          <w:tcPr>
            <w:tcW w:w="1110" w:type="dxa"/>
          </w:tcPr>
          <w:p>
            <w:pPr>
              <w:pStyle w:val="26"/>
              <w:rPr>
                <w:kern w:val="2"/>
                <w:szCs w:val="21"/>
                <w:lang w:val="en-US" w:eastAsia="zh-CN"/>
              </w:rPr>
            </w:pPr>
            <w:r>
              <w:rPr>
                <w:kern w:val="2"/>
                <w:szCs w:val="21"/>
                <w:lang w:val="en-US" w:eastAsia="zh-CN"/>
              </w:rPr>
              <w:t>pH</w:t>
            </w:r>
          </w:p>
        </w:tc>
        <w:tc>
          <w:tcPr>
            <w:tcW w:w="1501" w:type="dxa"/>
          </w:tcPr>
          <w:p>
            <w:pPr>
              <w:pStyle w:val="26"/>
              <w:rPr>
                <w:kern w:val="2"/>
                <w:szCs w:val="21"/>
                <w:lang w:val="en-US" w:eastAsia="zh-CN"/>
              </w:rPr>
            </w:pPr>
            <w:r>
              <w:rPr>
                <w:rFonts w:hint="eastAsia"/>
                <w:kern w:val="2"/>
                <w:szCs w:val="21"/>
                <w:lang w:val="en-US" w:eastAsia="zh-CN"/>
              </w:rPr>
              <w:t>TP</w:t>
            </w:r>
          </w:p>
        </w:tc>
        <w:tc>
          <w:tcPr>
            <w:tcW w:w="937" w:type="dxa"/>
          </w:tcPr>
          <w:p>
            <w:pPr>
              <w:pStyle w:val="26"/>
              <w:rPr>
                <w:kern w:val="2"/>
                <w:szCs w:val="21"/>
                <w:lang w:val="en-US" w:eastAsia="zh-CN"/>
              </w:rPr>
            </w:pPr>
            <w:r>
              <w:rPr>
                <w:rFonts w:hint="eastAsia"/>
                <w:kern w:val="2"/>
                <w:szCs w:val="21"/>
                <w:lang w:val="en-US" w:eastAsia="zh-CN"/>
              </w:rPr>
              <w:t>色度</w:t>
            </w:r>
          </w:p>
        </w:tc>
        <w:tc>
          <w:tcPr>
            <w:tcW w:w="1408" w:type="dxa"/>
          </w:tcPr>
          <w:p>
            <w:pPr>
              <w:pStyle w:val="26"/>
              <w:rPr>
                <w:kern w:val="2"/>
                <w:szCs w:val="21"/>
                <w:lang w:val="en-US" w:eastAsia="zh-CN"/>
              </w:rPr>
            </w:pPr>
            <w:r>
              <w:rPr>
                <w:rFonts w:hint="eastAsia"/>
                <w:kern w:val="2"/>
                <w:szCs w:val="21"/>
                <w:lang w:val="en-US" w:eastAsia="zh-CN"/>
              </w:rPr>
              <w:t>化学需氧量</w:t>
            </w:r>
          </w:p>
        </w:tc>
        <w:tc>
          <w:tcPr>
            <w:tcW w:w="1408" w:type="dxa"/>
          </w:tcPr>
          <w:p>
            <w:pPr>
              <w:pStyle w:val="26"/>
              <w:rPr>
                <w:kern w:val="2"/>
                <w:szCs w:val="21"/>
                <w:lang w:val="en-US" w:eastAsia="zh-CN"/>
              </w:rPr>
            </w:pPr>
            <w:r>
              <w:rPr>
                <w:rFonts w:hint="eastAsia"/>
                <w:kern w:val="2"/>
                <w:szCs w:val="21"/>
                <w:lang w:val="en-US" w:eastAsia="zh-CN"/>
              </w:rPr>
              <w:t>氨氮</w:t>
            </w:r>
          </w:p>
        </w:tc>
        <w:tc>
          <w:tcPr>
            <w:tcW w:w="1408" w:type="dxa"/>
          </w:tcPr>
          <w:p>
            <w:pPr>
              <w:pStyle w:val="26"/>
              <w:rPr>
                <w:kern w:val="2"/>
                <w:szCs w:val="21"/>
                <w:lang w:val="en-US" w:eastAsia="zh-CN"/>
              </w:rPr>
            </w:pPr>
            <w:r>
              <w:rPr>
                <w:rFonts w:hint="eastAsia"/>
                <w:kern w:val="2"/>
                <w:szCs w:val="21"/>
                <w:lang w:val="en-US" w:eastAsia="zh-CN"/>
              </w:rPr>
              <w:t>硫化物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2" w:type="dxa"/>
          </w:tcPr>
          <w:p>
            <w:pPr>
              <w:pStyle w:val="26"/>
              <w:rPr>
                <w:kern w:val="2"/>
                <w:szCs w:val="21"/>
                <w:lang w:val="en-US" w:eastAsia="zh-CN"/>
              </w:rPr>
            </w:pPr>
            <w:r>
              <w:rPr>
                <w:rFonts w:hint="eastAsia"/>
                <w:kern w:val="2"/>
                <w:szCs w:val="21"/>
                <w:lang w:val="en-US" w:eastAsia="zh-CN"/>
              </w:rPr>
              <w:t>废水处理设施进口</w:t>
            </w:r>
          </w:p>
        </w:tc>
        <w:tc>
          <w:tcPr>
            <w:tcW w:w="1110" w:type="dxa"/>
          </w:tcPr>
          <w:p>
            <w:pPr>
              <w:pStyle w:val="26"/>
              <w:rPr>
                <w:kern w:val="2"/>
                <w:szCs w:val="21"/>
                <w:lang w:val="en-US" w:eastAsia="zh-CN"/>
              </w:rPr>
            </w:pPr>
            <w:r>
              <w:rPr>
                <w:kern w:val="2"/>
                <w:szCs w:val="21"/>
                <w:lang w:val="en-US" w:eastAsia="zh-CN"/>
              </w:rPr>
              <w:t>13.9</w:t>
            </w:r>
          </w:p>
        </w:tc>
        <w:tc>
          <w:tcPr>
            <w:tcW w:w="1501" w:type="dxa"/>
          </w:tcPr>
          <w:p>
            <w:pPr>
              <w:pStyle w:val="26"/>
              <w:rPr>
                <w:kern w:val="2"/>
                <w:szCs w:val="21"/>
                <w:lang w:val="en-US" w:eastAsia="zh-CN"/>
              </w:rPr>
            </w:pPr>
            <w:r>
              <w:rPr>
                <w:kern w:val="2"/>
                <w:szCs w:val="21"/>
                <w:lang w:val="en-US" w:eastAsia="zh-CN"/>
              </w:rPr>
              <w:t>95.46~105.09</w:t>
            </w:r>
          </w:p>
        </w:tc>
        <w:tc>
          <w:tcPr>
            <w:tcW w:w="937" w:type="dxa"/>
          </w:tcPr>
          <w:p>
            <w:pPr>
              <w:pStyle w:val="26"/>
              <w:rPr>
                <w:kern w:val="2"/>
                <w:szCs w:val="21"/>
                <w:lang w:val="en-US" w:eastAsia="zh-CN"/>
              </w:rPr>
            </w:pPr>
            <w:r>
              <w:rPr>
                <w:kern w:val="2"/>
                <w:szCs w:val="21"/>
                <w:lang w:val="en-US" w:eastAsia="zh-CN"/>
              </w:rPr>
              <w:t>256</w:t>
            </w:r>
          </w:p>
        </w:tc>
        <w:tc>
          <w:tcPr>
            <w:tcW w:w="1408" w:type="dxa"/>
          </w:tcPr>
          <w:p>
            <w:pPr>
              <w:pStyle w:val="26"/>
              <w:rPr>
                <w:kern w:val="2"/>
                <w:szCs w:val="21"/>
                <w:lang w:val="en-US" w:eastAsia="zh-CN"/>
              </w:rPr>
            </w:pPr>
            <w:r>
              <w:rPr>
                <w:kern w:val="2"/>
                <w:szCs w:val="21"/>
                <w:lang w:val="en-US" w:eastAsia="zh-CN"/>
              </w:rPr>
              <w:t>1250~1360</w:t>
            </w:r>
          </w:p>
        </w:tc>
        <w:tc>
          <w:tcPr>
            <w:tcW w:w="1408" w:type="dxa"/>
          </w:tcPr>
          <w:p>
            <w:pPr>
              <w:pStyle w:val="26"/>
              <w:rPr>
                <w:kern w:val="2"/>
                <w:szCs w:val="21"/>
                <w:lang w:val="en-US" w:eastAsia="zh-CN"/>
              </w:rPr>
            </w:pPr>
            <w:r>
              <w:rPr>
                <w:kern w:val="2"/>
                <w:szCs w:val="21"/>
                <w:lang w:val="en-US" w:eastAsia="zh-CN"/>
              </w:rPr>
              <w:t>14.86~17.76</w:t>
            </w:r>
          </w:p>
        </w:tc>
        <w:tc>
          <w:tcPr>
            <w:tcW w:w="1408" w:type="dxa"/>
          </w:tcPr>
          <w:p>
            <w:pPr>
              <w:pStyle w:val="26"/>
              <w:rPr>
                <w:kern w:val="2"/>
                <w:szCs w:val="21"/>
                <w:lang w:val="en-US" w:eastAsia="zh-CN"/>
              </w:rPr>
            </w:pPr>
            <w:r>
              <w:rPr>
                <w:kern w:val="2"/>
                <w:szCs w:val="21"/>
                <w:lang w:val="en-US" w:eastAsia="zh-CN"/>
              </w:rPr>
              <w:t>10~11.6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2" w:type="dxa"/>
          </w:tcPr>
          <w:p>
            <w:pPr>
              <w:pStyle w:val="26"/>
              <w:rPr>
                <w:kern w:val="2"/>
                <w:szCs w:val="21"/>
                <w:lang w:val="en-US" w:eastAsia="zh-CN"/>
              </w:rPr>
            </w:pPr>
            <w:r>
              <w:rPr>
                <w:rFonts w:hint="eastAsia"/>
                <w:kern w:val="2"/>
                <w:szCs w:val="21"/>
                <w:lang w:val="en-US" w:eastAsia="zh-CN"/>
              </w:rPr>
              <w:t>废水处理设施出口</w:t>
            </w:r>
          </w:p>
        </w:tc>
        <w:tc>
          <w:tcPr>
            <w:tcW w:w="1110" w:type="dxa"/>
          </w:tcPr>
          <w:p>
            <w:pPr>
              <w:pStyle w:val="26"/>
              <w:rPr>
                <w:kern w:val="2"/>
                <w:szCs w:val="21"/>
                <w:lang w:val="en-US" w:eastAsia="zh-CN"/>
              </w:rPr>
            </w:pPr>
            <w:r>
              <w:rPr>
                <w:kern w:val="2"/>
                <w:szCs w:val="21"/>
                <w:lang w:val="en-US" w:eastAsia="zh-CN"/>
              </w:rPr>
              <w:t>6.12~6.42</w:t>
            </w:r>
          </w:p>
        </w:tc>
        <w:tc>
          <w:tcPr>
            <w:tcW w:w="1501" w:type="dxa"/>
          </w:tcPr>
          <w:p>
            <w:pPr>
              <w:pStyle w:val="26"/>
              <w:rPr>
                <w:kern w:val="2"/>
                <w:szCs w:val="21"/>
                <w:lang w:val="en-US" w:eastAsia="zh-CN"/>
              </w:rPr>
            </w:pPr>
            <w:r>
              <w:rPr>
                <w:kern w:val="2"/>
                <w:szCs w:val="21"/>
                <w:lang w:val="en-US" w:eastAsia="zh-CN"/>
              </w:rPr>
              <w:t>0.20~0.28</w:t>
            </w:r>
          </w:p>
        </w:tc>
        <w:tc>
          <w:tcPr>
            <w:tcW w:w="937" w:type="dxa"/>
          </w:tcPr>
          <w:p>
            <w:pPr>
              <w:pStyle w:val="26"/>
              <w:rPr>
                <w:kern w:val="2"/>
                <w:szCs w:val="21"/>
                <w:lang w:val="en-US" w:eastAsia="zh-CN"/>
              </w:rPr>
            </w:pPr>
            <w:r>
              <w:rPr>
                <w:kern w:val="2"/>
                <w:szCs w:val="21"/>
                <w:lang w:val="en-US" w:eastAsia="zh-CN"/>
              </w:rPr>
              <w:t>10</w:t>
            </w:r>
          </w:p>
        </w:tc>
        <w:tc>
          <w:tcPr>
            <w:tcW w:w="1408" w:type="dxa"/>
          </w:tcPr>
          <w:p>
            <w:pPr>
              <w:pStyle w:val="26"/>
              <w:rPr>
                <w:kern w:val="2"/>
                <w:szCs w:val="21"/>
                <w:lang w:val="en-US" w:eastAsia="zh-CN"/>
              </w:rPr>
            </w:pPr>
            <w:r>
              <w:rPr>
                <w:kern w:val="2"/>
                <w:szCs w:val="21"/>
                <w:lang w:val="en-US" w:eastAsia="zh-CN"/>
              </w:rPr>
              <w:t>165~181</w:t>
            </w:r>
          </w:p>
        </w:tc>
        <w:tc>
          <w:tcPr>
            <w:tcW w:w="1408" w:type="dxa"/>
          </w:tcPr>
          <w:p>
            <w:pPr>
              <w:pStyle w:val="26"/>
              <w:rPr>
                <w:kern w:val="2"/>
                <w:szCs w:val="21"/>
                <w:lang w:val="en-US" w:eastAsia="zh-CN"/>
              </w:rPr>
            </w:pPr>
            <w:r>
              <w:rPr>
                <w:kern w:val="2"/>
                <w:szCs w:val="21"/>
                <w:lang w:val="en-US" w:eastAsia="zh-CN"/>
              </w:rPr>
              <w:t>12.84~13.43</w:t>
            </w:r>
          </w:p>
        </w:tc>
        <w:tc>
          <w:tcPr>
            <w:tcW w:w="1408" w:type="dxa"/>
          </w:tcPr>
          <w:p>
            <w:pPr>
              <w:pStyle w:val="26"/>
              <w:rPr>
                <w:kern w:val="2"/>
                <w:szCs w:val="21"/>
                <w:lang w:val="en-US" w:eastAsia="zh-CN"/>
              </w:rPr>
            </w:pPr>
            <w:r>
              <w:rPr>
                <w:kern w:val="2"/>
                <w:szCs w:val="21"/>
                <w:lang w:val="en-US" w:eastAsia="zh-CN"/>
              </w:rPr>
              <w:t>0.035~0.040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082" w:type="dxa"/>
          </w:tcPr>
          <w:p>
            <w:pPr>
              <w:pStyle w:val="26"/>
              <w:rPr>
                <w:kern w:val="2"/>
                <w:szCs w:val="21"/>
                <w:lang w:val="en-US" w:eastAsia="zh-CN"/>
              </w:rPr>
            </w:pPr>
            <w:r>
              <w:rPr>
                <w:rFonts w:hint="eastAsia"/>
                <w:kern w:val="2"/>
                <w:szCs w:val="21"/>
                <w:lang w:val="en-US" w:eastAsia="zh-CN"/>
              </w:rPr>
              <w:t>一级标准值</w:t>
            </w:r>
          </w:p>
        </w:tc>
        <w:tc>
          <w:tcPr>
            <w:tcW w:w="1110" w:type="dxa"/>
          </w:tcPr>
          <w:p>
            <w:pPr>
              <w:pStyle w:val="26"/>
              <w:rPr>
                <w:color w:val="auto"/>
                <w:kern w:val="2"/>
                <w:szCs w:val="21"/>
                <w:lang w:val="en-US" w:eastAsia="zh-CN"/>
              </w:rPr>
            </w:pPr>
            <w:r>
              <w:rPr>
                <w:color w:val="auto"/>
                <w:kern w:val="2"/>
                <w:szCs w:val="21"/>
                <w:lang w:val="en-US" w:eastAsia="zh-CN"/>
              </w:rPr>
              <w:t>6~9</w:t>
            </w:r>
          </w:p>
        </w:tc>
        <w:tc>
          <w:tcPr>
            <w:tcW w:w="1501" w:type="dxa"/>
          </w:tcPr>
          <w:p>
            <w:pPr>
              <w:pStyle w:val="26"/>
              <w:rPr>
                <w:color w:val="auto"/>
                <w:kern w:val="2"/>
                <w:szCs w:val="21"/>
                <w:lang w:val="en-US" w:eastAsia="zh-CN"/>
              </w:rPr>
            </w:pPr>
            <w:r>
              <w:rPr>
                <w:rFonts w:hint="eastAsia"/>
                <w:color w:val="auto"/>
                <w:kern w:val="2"/>
                <w:szCs w:val="21"/>
                <w:lang w:val="en-US" w:eastAsia="zh-CN"/>
              </w:rPr>
              <w:t>0.5</w:t>
            </w:r>
          </w:p>
        </w:tc>
        <w:tc>
          <w:tcPr>
            <w:tcW w:w="937" w:type="dxa"/>
          </w:tcPr>
          <w:p>
            <w:pPr>
              <w:pStyle w:val="26"/>
              <w:rPr>
                <w:color w:val="auto"/>
                <w:kern w:val="2"/>
                <w:szCs w:val="21"/>
                <w:lang w:val="en-US" w:eastAsia="zh-CN"/>
              </w:rPr>
            </w:pPr>
            <w:r>
              <w:rPr>
                <w:color w:val="auto"/>
                <w:kern w:val="2"/>
                <w:szCs w:val="21"/>
                <w:lang w:val="en-US" w:eastAsia="zh-CN"/>
              </w:rPr>
              <w:t>50</w:t>
            </w:r>
          </w:p>
        </w:tc>
        <w:tc>
          <w:tcPr>
            <w:tcW w:w="1408" w:type="dxa"/>
          </w:tcPr>
          <w:p>
            <w:pPr>
              <w:pStyle w:val="26"/>
              <w:rPr>
                <w:color w:val="auto"/>
                <w:kern w:val="2"/>
                <w:szCs w:val="21"/>
                <w:lang w:val="en-US" w:eastAsia="zh-CN"/>
              </w:rPr>
            </w:pPr>
            <w:r>
              <w:rPr>
                <w:color w:val="auto"/>
                <w:kern w:val="2"/>
                <w:szCs w:val="21"/>
                <w:lang w:val="en-US" w:eastAsia="zh-CN"/>
              </w:rPr>
              <w:t>80</w:t>
            </w:r>
          </w:p>
        </w:tc>
        <w:tc>
          <w:tcPr>
            <w:tcW w:w="1408" w:type="dxa"/>
          </w:tcPr>
          <w:p>
            <w:pPr>
              <w:pStyle w:val="26"/>
              <w:rPr>
                <w:color w:val="auto"/>
                <w:kern w:val="2"/>
                <w:szCs w:val="21"/>
                <w:lang w:val="en-US" w:eastAsia="zh-CN"/>
              </w:rPr>
            </w:pPr>
            <w:r>
              <w:rPr>
                <w:color w:val="auto"/>
                <w:kern w:val="2"/>
                <w:szCs w:val="21"/>
                <w:lang w:val="en-US" w:eastAsia="zh-CN"/>
              </w:rPr>
              <w:t>10</w:t>
            </w:r>
          </w:p>
        </w:tc>
        <w:tc>
          <w:tcPr>
            <w:tcW w:w="1408" w:type="dxa"/>
          </w:tcPr>
          <w:p>
            <w:pPr>
              <w:pStyle w:val="26"/>
              <w:rPr>
                <w:color w:val="auto"/>
                <w:kern w:val="2"/>
                <w:szCs w:val="21"/>
                <w:lang w:val="en-US" w:eastAsia="zh-CN"/>
              </w:rPr>
            </w:pPr>
            <w:r>
              <w:rPr>
                <w:color w:val="auto"/>
                <w:kern w:val="2"/>
                <w:szCs w:val="21"/>
                <w:lang w:val="en-US" w:eastAsia="zh-CN"/>
              </w:rPr>
              <w:t>0.5</w:t>
            </w:r>
          </w:p>
        </w:tc>
      </w:tr>
    </w:tbl>
    <w:p>
      <w:pPr>
        <w:ind w:firstLine="480"/>
      </w:pPr>
      <w:r>
        <w:rPr>
          <w:rFonts w:hint="eastAsia"/>
        </w:rPr>
        <w:t>根据上表可知，现有工程废水经厂内污水处理站处理后，废水中pH、COD、氨氮均超过了《纺织染整工业水污染物排放标准（</w:t>
      </w:r>
      <w:r>
        <w:t>GB4287-2012</w:t>
      </w:r>
      <w:r>
        <w:rPr>
          <w:rFonts w:hint="eastAsia"/>
        </w:rPr>
        <w:t>）》中直接排放标准。</w:t>
      </w:r>
    </w:p>
    <w:p>
      <w:pPr>
        <w:ind w:firstLine="480"/>
      </w:pPr>
      <w:r>
        <w:t>2</w:t>
      </w:r>
      <w:r>
        <w:rPr>
          <w:rFonts w:hint="eastAsia"/>
        </w:rPr>
        <w:t>、废气</w:t>
      </w:r>
    </w:p>
    <w:p>
      <w:pPr>
        <w:ind w:firstLine="480"/>
      </w:pPr>
      <w:r>
        <w:rPr>
          <w:rFonts w:hint="eastAsia"/>
        </w:rPr>
        <w:t>原有工程废气主要有印染车间废气、纺纱车间废气、织布车间废气和污水处理站废气、食堂油烟。</w:t>
      </w:r>
    </w:p>
    <w:p>
      <w:pPr>
        <w:ind w:firstLine="480"/>
      </w:pPr>
      <w:r>
        <w:rPr>
          <w:rFonts w:hint="eastAsia"/>
        </w:rPr>
        <w:t>1、印染车间废气</w:t>
      </w:r>
    </w:p>
    <w:p>
      <w:pPr>
        <w:ind w:firstLine="480"/>
      </w:pPr>
      <w:r>
        <w:rPr>
          <w:rFonts w:hint="eastAsia"/>
        </w:rPr>
        <w:t>现有工程印染车间废气主要有锅炉废气、导热油废气、定型废气和烧毛废气</w:t>
      </w:r>
    </w:p>
    <w:p>
      <w:pPr>
        <w:ind w:firstLine="480"/>
      </w:pPr>
      <w:r>
        <w:rPr>
          <w:rFonts w:hint="eastAsia"/>
        </w:rPr>
        <w:t>（</w:t>
      </w:r>
      <w:r>
        <w:t>1</w:t>
      </w:r>
      <w:r>
        <w:rPr>
          <w:rFonts w:hint="eastAsia"/>
        </w:rPr>
        <w:t>）、锅炉废气</w:t>
      </w:r>
    </w:p>
    <w:p>
      <w:pPr>
        <w:ind w:firstLine="480"/>
      </w:pPr>
      <w:r>
        <w:rPr>
          <w:rFonts w:hint="eastAsia"/>
        </w:rPr>
        <w:t>根据现场踏勘，导热油锅炉和蒸汽锅炉燃料均为煤，导热油锅炉废气经水幕脱硫除尘处理后通过</w:t>
      </w:r>
      <w:r>
        <w:t>30m</w:t>
      </w:r>
      <w:r>
        <w:rPr>
          <w:rFonts w:hint="eastAsia"/>
        </w:rPr>
        <w:t>高排气筒外排、蒸汽锅炉废气经麻石水膜除尘系统处理后通过</w:t>
      </w:r>
      <w:r>
        <w:t>30m</w:t>
      </w:r>
      <w:r>
        <w:rPr>
          <w:rFonts w:hint="eastAsia"/>
        </w:rPr>
        <w:t>排气筒高空排放。本次环评为了解现有工程废气排放情况，委托岳阳市衡润检测有限公司对锅炉有组织废气进行了检测，有组织废气检测结果见表</w:t>
      </w:r>
      <w:r>
        <w:t>3.2-</w:t>
      </w:r>
      <w:r>
        <w:rPr>
          <w:rFonts w:hint="eastAsia"/>
        </w:rPr>
        <w:t>8。</w:t>
      </w:r>
    </w:p>
    <w:p>
      <w:pPr>
        <w:pStyle w:val="26"/>
        <w:rPr>
          <w:b/>
          <w:bCs/>
        </w:rPr>
      </w:pPr>
      <w:r>
        <w:rPr>
          <w:rFonts w:hint="eastAsia"/>
          <w:b/>
          <w:bCs/>
        </w:rPr>
        <w:t>表</w:t>
      </w:r>
      <w:r>
        <w:rPr>
          <w:b/>
          <w:bCs/>
        </w:rPr>
        <w:t>3.2-</w:t>
      </w:r>
      <w:r>
        <w:rPr>
          <w:rFonts w:hint="eastAsia"/>
          <w:b/>
          <w:bCs/>
        </w:rPr>
        <w:t>8现有工程有组织废气排放检测结果一览表</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708"/>
        <w:gridCol w:w="1749"/>
        <w:gridCol w:w="1727"/>
        <w:gridCol w:w="1708"/>
        <w:gridCol w:w="1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01" w:type="dxa"/>
            <w:gridSpan w:val="2"/>
            <w:vMerge w:val="restart"/>
            <w:vAlign w:val="center"/>
          </w:tcPr>
          <w:p>
            <w:pPr>
              <w:pStyle w:val="26"/>
              <w:rPr>
                <w:kern w:val="2"/>
                <w:szCs w:val="21"/>
                <w:lang w:val="en-US" w:eastAsia="zh-CN"/>
              </w:rPr>
            </w:pPr>
            <w:r>
              <w:rPr>
                <w:rFonts w:hint="eastAsia"/>
                <w:kern w:val="2"/>
                <w:szCs w:val="21"/>
                <w:lang w:val="en-US" w:eastAsia="zh-CN"/>
              </w:rPr>
              <w:t>监测点位</w:t>
            </w:r>
          </w:p>
        </w:tc>
        <w:tc>
          <w:tcPr>
            <w:tcW w:w="7153" w:type="dxa"/>
            <w:gridSpan w:val="4"/>
            <w:vAlign w:val="center"/>
          </w:tcPr>
          <w:p>
            <w:pPr>
              <w:pStyle w:val="26"/>
              <w:rPr>
                <w:kern w:val="2"/>
                <w:szCs w:val="21"/>
                <w:lang w:val="en-US" w:eastAsia="zh-CN"/>
              </w:rPr>
            </w:pPr>
            <w:r>
              <w:rPr>
                <w:rFonts w:hint="eastAsia"/>
                <w:kern w:val="2"/>
                <w:szCs w:val="21"/>
                <w:lang w:val="en-US" w:eastAsia="zh-CN"/>
              </w:rPr>
              <w:t>检测结果（</w:t>
            </w:r>
            <w:r>
              <w:rPr>
                <w:kern w:val="2"/>
                <w:szCs w:val="21"/>
                <w:lang w:val="en-US" w:eastAsia="zh-CN"/>
              </w:rPr>
              <w:t>mg/m</w:t>
            </w:r>
            <w:r>
              <w:rPr>
                <w:kern w:val="2"/>
                <w:szCs w:val="21"/>
                <w:vertAlign w:val="superscript"/>
                <w:lang w:val="en-US" w:eastAsia="zh-CN"/>
              </w:rPr>
              <w:t>3</w:t>
            </w: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01" w:type="dxa"/>
            <w:gridSpan w:val="2"/>
            <w:vMerge w:val="continue"/>
            <w:vAlign w:val="center"/>
          </w:tcPr>
          <w:p>
            <w:pPr>
              <w:pStyle w:val="26"/>
              <w:rPr>
                <w:kern w:val="2"/>
                <w:szCs w:val="21"/>
                <w:lang w:val="en-US" w:eastAsia="zh-CN"/>
              </w:rPr>
            </w:pPr>
          </w:p>
        </w:tc>
        <w:tc>
          <w:tcPr>
            <w:tcW w:w="1749" w:type="dxa"/>
            <w:vAlign w:val="center"/>
          </w:tcPr>
          <w:p>
            <w:pPr>
              <w:pStyle w:val="26"/>
              <w:rPr>
                <w:kern w:val="2"/>
                <w:szCs w:val="21"/>
                <w:lang w:val="en-US" w:eastAsia="zh-CN"/>
              </w:rPr>
            </w:pPr>
            <w:r>
              <w:rPr>
                <w:kern w:val="2"/>
                <w:szCs w:val="21"/>
                <w:lang w:val="en-US" w:eastAsia="zh-CN"/>
              </w:rPr>
              <w:t>SO</w:t>
            </w:r>
            <w:r>
              <w:rPr>
                <w:kern w:val="2"/>
                <w:szCs w:val="21"/>
                <w:vertAlign w:val="subscript"/>
                <w:lang w:val="en-US" w:eastAsia="zh-CN"/>
              </w:rPr>
              <w:t>2</w:t>
            </w:r>
          </w:p>
        </w:tc>
        <w:tc>
          <w:tcPr>
            <w:tcW w:w="1727" w:type="dxa"/>
            <w:vAlign w:val="center"/>
          </w:tcPr>
          <w:p>
            <w:pPr>
              <w:pStyle w:val="26"/>
              <w:rPr>
                <w:kern w:val="2"/>
                <w:szCs w:val="21"/>
                <w:lang w:val="en-US" w:eastAsia="zh-CN"/>
              </w:rPr>
            </w:pPr>
            <w:r>
              <w:rPr>
                <w:kern w:val="2"/>
                <w:szCs w:val="21"/>
                <w:lang w:val="en-US" w:eastAsia="zh-CN"/>
              </w:rPr>
              <w:t>NO</w:t>
            </w:r>
            <w:r>
              <w:rPr>
                <w:kern w:val="2"/>
                <w:szCs w:val="21"/>
                <w:vertAlign w:val="subscript"/>
                <w:lang w:val="en-US" w:eastAsia="zh-CN"/>
              </w:rPr>
              <w:t>X</w:t>
            </w:r>
          </w:p>
        </w:tc>
        <w:tc>
          <w:tcPr>
            <w:tcW w:w="1708" w:type="dxa"/>
            <w:vAlign w:val="center"/>
          </w:tcPr>
          <w:p>
            <w:pPr>
              <w:pStyle w:val="26"/>
              <w:rPr>
                <w:kern w:val="2"/>
                <w:szCs w:val="21"/>
                <w:lang w:val="en-US" w:eastAsia="zh-CN"/>
              </w:rPr>
            </w:pPr>
            <w:r>
              <w:rPr>
                <w:rFonts w:hint="eastAsia"/>
                <w:kern w:val="2"/>
                <w:szCs w:val="21"/>
                <w:lang w:val="en-US" w:eastAsia="zh-CN"/>
              </w:rPr>
              <w:t>颗粒物</w:t>
            </w:r>
          </w:p>
        </w:tc>
        <w:tc>
          <w:tcPr>
            <w:tcW w:w="1969" w:type="dxa"/>
            <w:vAlign w:val="center"/>
          </w:tcPr>
          <w:p>
            <w:pPr>
              <w:pStyle w:val="26"/>
              <w:rPr>
                <w:kern w:val="2"/>
                <w:szCs w:val="21"/>
                <w:lang w:val="en-US" w:eastAsia="zh-CN"/>
              </w:rPr>
            </w:pPr>
            <w:r>
              <w:rPr>
                <w:rFonts w:hint="eastAsia"/>
                <w:kern w:val="2"/>
                <w:szCs w:val="21"/>
                <w:lang w:val="en-US" w:eastAsia="zh-CN"/>
              </w:rPr>
              <w:t>风量（</w:t>
            </w:r>
            <w:r>
              <w:rPr>
                <w:kern w:val="2"/>
                <w:szCs w:val="21"/>
                <w:lang w:val="en-US" w:eastAsia="zh-CN"/>
              </w:rPr>
              <w:t>m³/h</w:t>
            </w: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01" w:type="dxa"/>
            <w:gridSpan w:val="2"/>
            <w:vAlign w:val="center"/>
          </w:tcPr>
          <w:p>
            <w:pPr>
              <w:pStyle w:val="26"/>
              <w:rPr>
                <w:kern w:val="2"/>
                <w:szCs w:val="21"/>
                <w:lang w:val="en-US" w:eastAsia="zh-CN"/>
              </w:rPr>
            </w:pPr>
            <w:r>
              <w:rPr>
                <w:rFonts w:hint="eastAsia"/>
                <w:kern w:val="2"/>
                <w:szCs w:val="21"/>
                <w:lang w:val="en-US" w:eastAsia="zh-CN"/>
              </w:rPr>
              <w:t>蒸汽锅炉废气进口</w:t>
            </w:r>
          </w:p>
        </w:tc>
        <w:tc>
          <w:tcPr>
            <w:tcW w:w="1749" w:type="dxa"/>
            <w:vAlign w:val="center"/>
          </w:tcPr>
          <w:p>
            <w:pPr>
              <w:pStyle w:val="26"/>
              <w:rPr>
                <w:kern w:val="2"/>
                <w:szCs w:val="21"/>
                <w:lang w:val="en-US" w:eastAsia="zh-CN"/>
              </w:rPr>
            </w:pPr>
            <w:r>
              <w:rPr>
                <w:kern w:val="2"/>
                <w:szCs w:val="21"/>
                <w:lang w:val="en-US" w:eastAsia="zh-CN"/>
              </w:rPr>
              <w:t>113</w:t>
            </w:r>
          </w:p>
        </w:tc>
        <w:tc>
          <w:tcPr>
            <w:tcW w:w="1727" w:type="dxa"/>
            <w:vAlign w:val="center"/>
          </w:tcPr>
          <w:p>
            <w:pPr>
              <w:pStyle w:val="26"/>
              <w:rPr>
                <w:kern w:val="2"/>
                <w:szCs w:val="21"/>
                <w:lang w:val="en-US" w:eastAsia="zh-CN"/>
              </w:rPr>
            </w:pPr>
            <w:r>
              <w:rPr>
                <w:kern w:val="2"/>
                <w:szCs w:val="21"/>
                <w:lang w:val="en-US" w:eastAsia="zh-CN"/>
              </w:rPr>
              <w:t>123</w:t>
            </w:r>
          </w:p>
        </w:tc>
        <w:tc>
          <w:tcPr>
            <w:tcW w:w="1708" w:type="dxa"/>
            <w:vAlign w:val="center"/>
          </w:tcPr>
          <w:p>
            <w:pPr>
              <w:pStyle w:val="26"/>
              <w:rPr>
                <w:kern w:val="2"/>
                <w:szCs w:val="21"/>
                <w:lang w:val="en-US" w:eastAsia="zh-CN"/>
              </w:rPr>
            </w:pPr>
            <w:r>
              <w:rPr>
                <w:kern w:val="2"/>
                <w:szCs w:val="21"/>
                <w:lang w:val="en-US" w:eastAsia="zh-CN"/>
              </w:rPr>
              <w:t>26.9</w:t>
            </w:r>
          </w:p>
        </w:tc>
        <w:tc>
          <w:tcPr>
            <w:tcW w:w="1969" w:type="dxa"/>
            <w:vAlign w:val="center"/>
          </w:tcPr>
          <w:p>
            <w:pPr>
              <w:pStyle w:val="26"/>
              <w:rPr>
                <w:kern w:val="2"/>
                <w:szCs w:val="21"/>
                <w:lang w:val="en-US" w:eastAsia="zh-CN"/>
              </w:rPr>
            </w:pPr>
            <w:r>
              <w:rPr>
                <w:kern w:val="2"/>
                <w:szCs w:val="21"/>
                <w:lang w:val="en-US" w:eastAsia="zh-CN"/>
              </w:rPr>
              <w:t>8535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01" w:type="dxa"/>
            <w:gridSpan w:val="2"/>
            <w:vAlign w:val="center"/>
          </w:tcPr>
          <w:p>
            <w:pPr>
              <w:pStyle w:val="26"/>
              <w:rPr>
                <w:kern w:val="2"/>
                <w:szCs w:val="21"/>
                <w:lang w:val="en-US" w:eastAsia="zh-CN"/>
              </w:rPr>
            </w:pPr>
            <w:r>
              <w:rPr>
                <w:rFonts w:hint="eastAsia"/>
                <w:kern w:val="2"/>
                <w:szCs w:val="21"/>
                <w:lang w:val="en-US" w:eastAsia="zh-CN"/>
              </w:rPr>
              <w:t>导热油锅炉废气出口</w:t>
            </w:r>
          </w:p>
        </w:tc>
        <w:tc>
          <w:tcPr>
            <w:tcW w:w="1749" w:type="dxa"/>
            <w:vAlign w:val="center"/>
          </w:tcPr>
          <w:p>
            <w:pPr>
              <w:pStyle w:val="26"/>
              <w:rPr>
                <w:kern w:val="2"/>
                <w:szCs w:val="21"/>
                <w:lang w:val="en-US" w:eastAsia="zh-CN"/>
              </w:rPr>
            </w:pPr>
            <w:r>
              <w:rPr>
                <w:kern w:val="2"/>
                <w:szCs w:val="21"/>
                <w:lang w:val="en-US" w:eastAsia="zh-CN"/>
              </w:rPr>
              <w:t>138</w:t>
            </w:r>
          </w:p>
        </w:tc>
        <w:tc>
          <w:tcPr>
            <w:tcW w:w="1727" w:type="dxa"/>
            <w:vAlign w:val="center"/>
          </w:tcPr>
          <w:p>
            <w:pPr>
              <w:pStyle w:val="26"/>
              <w:rPr>
                <w:kern w:val="2"/>
                <w:szCs w:val="21"/>
                <w:lang w:val="en-US" w:eastAsia="zh-CN"/>
              </w:rPr>
            </w:pPr>
            <w:r>
              <w:rPr>
                <w:kern w:val="2"/>
                <w:szCs w:val="21"/>
                <w:lang w:val="en-US" w:eastAsia="zh-CN"/>
              </w:rPr>
              <w:t>159</w:t>
            </w:r>
          </w:p>
        </w:tc>
        <w:tc>
          <w:tcPr>
            <w:tcW w:w="1708" w:type="dxa"/>
            <w:vAlign w:val="center"/>
          </w:tcPr>
          <w:p>
            <w:pPr>
              <w:pStyle w:val="26"/>
              <w:rPr>
                <w:kern w:val="2"/>
                <w:szCs w:val="21"/>
                <w:lang w:val="en-US" w:eastAsia="zh-CN"/>
              </w:rPr>
            </w:pPr>
            <w:r>
              <w:rPr>
                <w:kern w:val="2"/>
                <w:szCs w:val="21"/>
                <w:lang w:val="en-US" w:eastAsia="zh-CN"/>
              </w:rPr>
              <w:t>191.1</w:t>
            </w:r>
          </w:p>
        </w:tc>
        <w:tc>
          <w:tcPr>
            <w:tcW w:w="1969" w:type="dxa"/>
            <w:vAlign w:val="center"/>
          </w:tcPr>
          <w:p>
            <w:pPr>
              <w:pStyle w:val="26"/>
              <w:rPr>
                <w:kern w:val="2"/>
                <w:szCs w:val="21"/>
                <w:lang w:val="en-US" w:eastAsia="zh-CN"/>
              </w:rPr>
            </w:pPr>
            <w:r>
              <w:rPr>
                <w:kern w:val="2"/>
                <w:szCs w:val="21"/>
                <w:lang w:val="en-US" w:eastAsia="zh-CN"/>
              </w:rPr>
              <w:t>11278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Align w:val="center"/>
          </w:tcPr>
          <w:p>
            <w:pPr>
              <w:pStyle w:val="26"/>
              <w:rPr>
                <w:kern w:val="2"/>
                <w:szCs w:val="21"/>
                <w:lang w:val="en-US" w:eastAsia="zh-CN"/>
              </w:rPr>
            </w:pPr>
            <w:r>
              <w:rPr>
                <w:rFonts w:hint="eastAsia"/>
                <w:kern w:val="2"/>
                <w:szCs w:val="21"/>
                <w:lang w:val="en-US" w:eastAsia="zh-CN"/>
              </w:rPr>
              <w:t>标准值</w:t>
            </w:r>
          </w:p>
        </w:tc>
        <w:tc>
          <w:tcPr>
            <w:tcW w:w="1708" w:type="dxa"/>
            <w:vAlign w:val="center"/>
          </w:tcPr>
          <w:p>
            <w:pPr>
              <w:pStyle w:val="26"/>
              <w:rPr>
                <w:kern w:val="2"/>
                <w:szCs w:val="21"/>
                <w:lang w:val="en-US" w:eastAsia="zh-CN"/>
              </w:rPr>
            </w:pPr>
            <w:r>
              <w:rPr>
                <w:rFonts w:hint="eastAsia"/>
                <w:kern w:val="2"/>
                <w:szCs w:val="21"/>
                <w:lang w:val="en-US" w:eastAsia="zh-CN"/>
              </w:rPr>
              <w:t>燃煤锅炉</w:t>
            </w:r>
          </w:p>
        </w:tc>
        <w:tc>
          <w:tcPr>
            <w:tcW w:w="1749" w:type="dxa"/>
            <w:vAlign w:val="center"/>
          </w:tcPr>
          <w:p>
            <w:pPr>
              <w:pStyle w:val="26"/>
              <w:rPr>
                <w:kern w:val="2"/>
                <w:szCs w:val="21"/>
                <w:lang w:val="en-US" w:eastAsia="zh-CN"/>
              </w:rPr>
            </w:pPr>
            <w:r>
              <w:rPr>
                <w:kern w:val="2"/>
                <w:szCs w:val="21"/>
                <w:lang w:val="en-US" w:eastAsia="zh-CN"/>
              </w:rPr>
              <w:t>400</w:t>
            </w:r>
          </w:p>
        </w:tc>
        <w:tc>
          <w:tcPr>
            <w:tcW w:w="1727" w:type="dxa"/>
            <w:vAlign w:val="center"/>
          </w:tcPr>
          <w:p>
            <w:pPr>
              <w:pStyle w:val="26"/>
              <w:rPr>
                <w:kern w:val="2"/>
                <w:szCs w:val="21"/>
                <w:lang w:val="en-US" w:eastAsia="zh-CN"/>
              </w:rPr>
            </w:pPr>
            <w:r>
              <w:rPr>
                <w:kern w:val="2"/>
                <w:szCs w:val="21"/>
                <w:lang w:val="en-US" w:eastAsia="zh-CN"/>
              </w:rPr>
              <w:t>400</w:t>
            </w:r>
          </w:p>
        </w:tc>
        <w:tc>
          <w:tcPr>
            <w:tcW w:w="1708" w:type="dxa"/>
            <w:vAlign w:val="center"/>
          </w:tcPr>
          <w:p>
            <w:pPr>
              <w:pStyle w:val="26"/>
              <w:rPr>
                <w:kern w:val="2"/>
                <w:szCs w:val="21"/>
                <w:lang w:val="en-US" w:eastAsia="zh-CN"/>
              </w:rPr>
            </w:pPr>
            <w:r>
              <w:rPr>
                <w:kern w:val="2"/>
                <w:szCs w:val="21"/>
                <w:lang w:val="en-US" w:eastAsia="zh-CN"/>
              </w:rPr>
              <w:t>80</w:t>
            </w:r>
          </w:p>
        </w:tc>
        <w:tc>
          <w:tcPr>
            <w:tcW w:w="1969" w:type="dxa"/>
            <w:vAlign w:val="center"/>
          </w:tcPr>
          <w:p>
            <w:pPr>
              <w:pStyle w:val="26"/>
              <w:rPr>
                <w:kern w:val="2"/>
                <w:szCs w:val="21"/>
                <w:lang w:val="en-US" w:eastAsia="zh-CN"/>
              </w:rPr>
            </w:pPr>
            <w:r>
              <w:rPr>
                <w:kern w:val="2"/>
                <w:szCs w:val="21"/>
                <w:lang w:val="en-US" w:eastAsia="zh-CN"/>
              </w:rPr>
              <w:t>/</w:t>
            </w:r>
          </w:p>
        </w:tc>
      </w:tr>
    </w:tbl>
    <w:p>
      <w:pPr>
        <w:ind w:firstLine="480"/>
      </w:pPr>
      <w:r>
        <w:rPr>
          <w:rFonts w:hint="eastAsia"/>
        </w:rPr>
        <w:t>由上表可知，现有工程除导热油锅炉废气中颗粒物未达到《锅炉大气污染物排放标准》（</w:t>
      </w:r>
      <w:r>
        <w:t>GB13271-2014</w:t>
      </w:r>
      <w:r>
        <w:rPr>
          <w:rFonts w:hint="eastAsia"/>
        </w:rPr>
        <w:t>）中相应标准外，导热油锅炉废气排放口、蒸汽锅炉废气排放口中颗粒物、二氧化硫、氮氧化物均能达到《锅炉大气污染物排放标准》（</w:t>
      </w:r>
      <w:r>
        <w:t>GB13271-2014</w:t>
      </w:r>
      <w:r>
        <w:rPr>
          <w:rFonts w:hint="eastAsia"/>
        </w:rPr>
        <w:t>）中相应标准。</w:t>
      </w:r>
    </w:p>
    <w:p>
      <w:pPr>
        <w:ind w:firstLine="480"/>
      </w:pPr>
      <w:r>
        <w:rPr>
          <w:rFonts w:hint="eastAsia"/>
        </w:rPr>
        <w:t>（</w:t>
      </w:r>
      <w:r>
        <w:t>2</w:t>
      </w:r>
      <w:r>
        <w:rPr>
          <w:rFonts w:hint="eastAsia"/>
        </w:rPr>
        <w:t>）、定型废气</w:t>
      </w:r>
    </w:p>
    <w:p>
      <w:pPr>
        <w:ind w:firstLine="480"/>
      </w:pPr>
      <w:r>
        <w:rPr>
          <w:rFonts w:hint="eastAsia"/>
        </w:rPr>
        <w:t>在印染生产过程中，需使用染料、柔软剂、固色剂等助剂，这些物质在定型工序中由于温度升高而部分挥发产生废气，在排放口会产生油雾与少量有机物废气，有时并伴随异味。定型废气污染物主要为颗粒物和</w:t>
      </w:r>
      <w:r>
        <w:t>VOCs</w:t>
      </w:r>
      <w:r>
        <w:rPr>
          <w:rFonts w:hint="eastAsia"/>
        </w:rPr>
        <w:t>。根据现场踏勘，现有工程该部分废气未进行收集处理，直接外排。</w:t>
      </w:r>
    </w:p>
    <w:p>
      <w:pPr>
        <w:ind w:firstLine="480"/>
      </w:pPr>
      <w:r>
        <w:rPr>
          <w:rFonts w:hint="eastAsia"/>
        </w:rPr>
        <w:t>类比同类项目，每台定型机颗粒物产生量为</w:t>
      </w:r>
      <w:r>
        <w:t>1.5kg/h</w:t>
      </w:r>
      <w:r>
        <w:rPr>
          <w:rFonts w:hint="eastAsia"/>
        </w:rPr>
        <w:t>、</w:t>
      </w:r>
      <w:r>
        <w:t>VOCs</w:t>
      </w:r>
      <w:r>
        <w:rPr>
          <w:rFonts w:hint="eastAsia"/>
        </w:rPr>
        <w:t>产生量为</w:t>
      </w:r>
      <w:r>
        <w:t>1.125kg/h</w:t>
      </w:r>
      <w:r>
        <w:rPr>
          <w:rFonts w:hint="eastAsia"/>
        </w:rPr>
        <w:t>，则现有工程产生的定型废气中颗粒物的产生量为</w:t>
      </w:r>
      <w:r>
        <w:t>10.8t/a</w:t>
      </w:r>
      <w:r>
        <w:rPr>
          <w:rFonts w:hint="eastAsia"/>
        </w:rPr>
        <w:t>、</w:t>
      </w:r>
      <w:r>
        <w:t>VOCs</w:t>
      </w:r>
      <w:r>
        <w:rPr>
          <w:rFonts w:hint="eastAsia"/>
        </w:rPr>
        <w:t>产生量为</w:t>
      </w:r>
      <w:r>
        <w:t>8.1t/a</w:t>
      </w:r>
      <w:r>
        <w:rPr>
          <w:rFonts w:hint="eastAsia"/>
        </w:rPr>
        <w:t>。</w:t>
      </w:r>
    </w:p>
    <w:p>
      <w:pPr>
        <w:ind w:firstLine="480"/>
      </w:pPr>
      <w:r>
        <w:rPr>
          <w:rFonts w:hint="eastAsia"/>
        </w:rPr>
        <w:t>（</w:t>
      </w:r>
      <w:r>
        <w:t>3</w:t>
      </w:r>
      <w:r>
        <w:rPr>
          <w:rFonts w:hint="eastAsia"/>
        </w:rPr>
        <w:t>）、烧毛废气</w:t>
      </w:r>
    </w:p>
    <w:p>
      <w:pPr>
        <w:ind w:firstLine="480"/>
      </w:pPr>
      <w:r>
        <w:rPr>
          <w:rFonts w:hint="eastAsia"/>
        </w:rPr>
        <w:t>原有工程烧毛工序采用的是石油液化气，使用量为</w:t>
      </w:r>
      <w:r>
        <w:t>4000</w:t>
      </w:r>
      <w:r>
        <w:rPr>
          <w:rFonts w:hint="eastAsia"/>
        </w:rPr>
        <w:t>立方米</w:t>
      </w:r>
      <w:r>
        <w:t>/a</w:t>
      </w:r>
      <w:r>
        <w:rPr>
          <w:rFonts w:hint="eastAsia"/>
        </w:rPr>
        <w:t>，烧毛后的“毛羽失重”为</w:t>
      </w:r>
      <w:r>
        <w:t>1.9g/m</w:t>
      </w:r>
      <w:r>
        <w:rPr>
          <w:rFonts w:hint="eastAsia"/>
        </w:rPr>
        <w:t>，即</w:t>
      </w:r>
      <w:r>
        <w:t>11.4t/a</w:t>
      </w:r>
      <w:r>
        <w:rPr>
          <w:rFonts w:hint="eastAsia"/>
        </w:rPr>
        <w:t>。根据《工业污染源产排污系数手册（</w:t>
      </w:r>
      <w:r>
        <w:t>2010</w:t>
      </w:r>
      <w:r>
        <w:rPr>
          <w:rFonts w:hint="eastAsia"/>
        </w:rPr>
        <w:t>年修订）》下册，石油液化气燃烧的污染系数确定：废气量</w:t>
      </w:r>
      <w:r>
        <w:t>333805.58</w:t>
      </w:r>
      <w:r>
        <w:rPr>
          <w:rFonts w:hint="eastAsia"/>
        </w:rPr>
        <w:t>标立方米</w:t>
      </w:r>
      <w:r>
        <w:t>/</w:t>
      </w:r>
      <w:r>
        <w:rPr>
          <w:rFonts w:hint="eastAsia"/>
        </w:rPr>
        <w:t>万立方米</w:t>
      </w:r>
      <w:r>
        <w:t>-</w:t>
      </w:r>
      <w:r>
        <w:rPr>
          <w:rFonts w:hint="eastAsia"/>
        </w:rPr>
        <w:t>原料、二氧化硫</w:t>
      </w:r>
      <w:r>
        <w:t>0.02S</w:t>
      </w:r>
      <w:r>
        <w:rPr>
          <w:rFonts w:hint="eastAsia"/>
        </w:rPr>
        <w:t>千克</w:t>
      </w:r>
      <w:r>
        <w:t>/</w:t>
      </w:r>
      <w:r>
        <w:rPr>
          <w:rFonts w:hint="eastAsia"/>
        </w:rPr>
        <w:t>万立方米</w:t>
      </w:r>
      <w:r>
        <w:t>-</w:t>
      </w:r>
      <w:r>
        <w:rPr>
          <w:rFonts w:hint="eastAsia"/>
        </w:rPr>
        <w:t>原料、氮氧化物</w:t>
      </w:r>
      <w:r>
        <w:t>59.61</w:t>
      </w:r>
      <w:r>
        <w:rPr>
          <w:rFonts w:hint="eastAsia"/>
        </w:rPr>
        <w:t>千克</w:t>
      </w:r>
      <w:r>
        <w:t>/</w:t>
      </w:r>
      <w:r>
        <w:rPr>
          <w:rFonts w:hint="eastAsia"/>
        </w:rPr>
        <w:t>万立方米</w:t>
      </w:r>
      <w:r>
        <w:t>-</w:t>
      </w:r>
      <w:r>
        <w:rPr>
          <w:rFonts w:hint="eastAsia"/>
        </w:rPr>
        <w:t>原料；毛羽燃烧的污染系数参照生物质燃烧污染系数确定：废气量</w:t>
      </w:r>
      <w:r>
        <w:t>6240.28</w:t>
      </w:r>
      <w:r>
        <w:rPr>
          <w:rFonts w:hint="eastAsia"/>
        </w:rPr>
        <w:t>标立方米</w:t>
      </w:r>
      <w:r>
        <w:t>/</w:t>
      </w:r>
      <w:r>
        <w:rPr>
          <w:rFonts w:hint="eastAsia"/>
        </w:rPr>
        <w:t>吨</w:t>
      </w:r>
      <w:r>
        <w:t>-</w:t>
      </w:r>
      <w:r>
        <w:rPr>
          <w:rFonts w:hint="eastAsia"/>
        </w:rPr>
        <w:t>原料、烟尘</w:t>
      </w:r>
      <w:r>
        <w:t>37.6</w:t>
      </w:r>
      <w:r>
        <w:rPr>
          <w:rFonts w:hint="eastAsia"/>
        </w:rPr>
        <w:t>千克</w:t>
      </w:r>
      <w:r>
        <w:t>/</w:t>
      </w:r>
      <w:r>
        <w:rPr>
          <w:rFonts w:hint="eastAsia"/>
        </w:rPr>
        <w:t>吨</w:t>
      </w:r>
      <w:r>
        <w:t>-</w:t>
      </w:r>
      <w:r>
        <w:rPr>
          <w:rFonts w:hint="eastAsia"/>
        </w:rPr>
        <w:t>原料、氮氧化物</w:t>
      </w:r>
      <w:r>
        <w:t>1.02</w:t>
      </w:r>
      <w:r>
        <w:rPr>
          <w:rFonts w:hint="eastAsia"/>
        </w:rPr>
        <w:t>千克</w:t>
      </w:r>
      <w:r>
        <w:t>/</w:t>
      </w:r>
      <w:r>
        <w:rPr>
          <w:rFonts w:hint="eastAsia"/>
        </w:rPr>
        <w:t>吨</w:t>
      </w:r>
      <w:r>
        <w:t>-</w:t>
      </w:r>
      <w:r>
        <w:rPr>
          <w:rFonts w:hint="eastAsia"/>
        </w:rPr>
        <w:t>原料。则烧毛工序产生的废气量为</w:t>
      </w:r>
      <w:r>
        <w:t>20.4661m</w:t>
      </w:r>
      <w:r>
        <w:rPr>
          <w:vertAlign w:val="superscript"/>
        </w:rPr>
        <w:t>3</w:t>
      </w:r>
      <w:r>
        <w:t>/a</w:t>
      </w:r>
      <w:r>
        <w:rPr>
          <w:rFonts w:hint="eastAsia"/>
        </w:rPr>
        <w:t>，氮氧化物产生量为</w:t>
      </w:r>
      <w:r>
        <w:t>0.035t/a</w:t>
      </w:r>
      <w:r>
        <w:rPr>
          <w:rFonts w:hint="eastAsia"/>
        </w:rPr>
        <w:t>，二氧化硫产生量为</w:t>
      </w:r>
      <w:r>
        <w:t>0.000008t/a</w:t>
      </w:r>
      <w:r>
        <w:rPr>
          <w:rFonts w:hint="eastAsia"/>
        </w:rPr>
        <w:t>，烟尘产生量为</w:t>
      </w:r>
      <w:r>
        <w:t>0.4286t/a</w:t>
      </w:r>
      <w:r>
        <w:rPr>
          <w:rFonts w:hint="eastAsia"/>
        </w:rPr>
        <w:t>。</w:t>
      </w:r>
    </w:p>
    <w:p>
      <w:pPr>
        <w:ind w:firstLine="480"/>
      </w:pPr>
      <w:r>
        <w:rPr>
          <w:rFonts w:hint="eastAsia"/>
        </w:rPr>
        <w:t>（4）、导热油废气</w:t>
      </w:r>
    </w:p>
    <w:p>
      <w:pPr>
        <w:ind w:firstLine="480"/>
        <w:rPr>
          <w:rFonts w:ascii="宋体"/>
        </w:rPr>
      </w:pPr>
      <w:r>
        <w:rPr>
          <w:rFonts w:hint="eastAsia"/>
        </w:rPr>
        <w:t>原有项目定型采用导热油加温，该导热油为</w:t>
      </w:r>
      <w:r>
        <w:rPr>
          <w:rFonts w:hint="eastAsia" w:ascii="宋体" w:hAnsi="宋体"/>
        </w:rPr>
        <w:t>基础油化学成份长链烷烃类，属无毒有机物质，不含有联苯</w:t>
      </w:r>
      <w:r>
        <w:rPr>
          <w:rFonts w:ascii="宋体"/>
        </w:rPr>
        <w:t>-</w:t>
      </w:r>
      <w:r>
        <w:rPr>
          <w:rFonts w:hint="eastAsia" w:ascii="宋体" w:hAnsi="宋体"/>
        </w:rPr>
        <w:t>联苯醚成分。导热油在使用过程中因管道、阀门等连接处存在少量泄漏，挥发产生极少量导热油废气，在车间内无组织排放。导热油在使用过程中由于损耗需定期补充，根据现有工程类比，技改后企业导热油循环使用量约</w:t>
      </w:r>
      <w:r>
        <w:rPr>
          <w:rFonts w:ascii="宋体" w:hAnsi="宋体"/>
        </w:rPr>
        <w:t>4</w:t>
      </w:r>
      <w:r>
        <w:rPr>
          <w:rFonts w:hint="eastAsia" w:ascii="宋体" w:hAnsi="宋体"/>
        </w:rPr>
        <w:t>吨，每年补充约</w:t>
      </w:r>
      <w:r>
        <w:rPr>
          <w:rFonts w:ascii="宋体" w:hAnsi="宋体"/>
        </w:rPr>
        <w:t>0.5</w:t>
      </w:r>
      <w:r>
        <w:rPr>
          <w:rFonts w:hint="eastAsia" w:ascii="宋体" w:hAnsi="宋体"/>
        </w:rPr>
        <w:t>吨。</w:t>
      </w:r>
    </w:p>
    <w:p>
      <w:pPr>
        <w:ind w:firstLine="480"/>
      </w:pPr>
      <w:r>
        <w:rPr>
          <w:rFonts w:hint="eastAsia"/>
        </w:rPr>
        <w:t>2、纺纱车间和织布车间废气</w:t>
      </w:r>
    </w:p>
    <w:p>
      <w:pPr>
        <w:ind w:firstLine="480"/>
      </w:pPr>
      <w:r>
        <w:rPr>
          <w:rFonts w:hint="eastAsia"/>
        </w:rPr>
        <w:t>根据现场调查，纺纱的清棉和梳棉工序会有少量粉尘产生；根据类比同类工程，织布过程产生分成。该粉尘在车间内自然沉降后无组织排放。</w:t>
      </w:r>
    </w:p>
    <w:p>
      <w:pPr>
        <w:ind w:firstLine="480"/>
      </w:pPr>
      <w:r>
        <w:rPr>
          <w:rFonts w:hint="eastAsia" w:ascii="宋体" w:hAnsi="宋体"/>
        </w:rPr>
        <w:t>3、</w:t>
      </w:r>
      <w:r>
        <w:rPr>
          <w:rFonts w:hint="eastAsia"/>
        </w:rPr>
        <w:t>污水处理站臭气</w:t>
      </w:r>
    </w:p>
    <w:p>
      <w:pPr>
        <w:ind w:firstLine="480"/>
      </w:pPr>
      <w:r>
        <w:rPr>
          <w:rFonts w:hint="eastAsia"/>
        </w:rPr>
        <w:t>企业厂区内现有一套日处理能力为</w:t>
      </w:r>
      <w:r>
        <w:t>2000</w:t>
      </w:r>
      <w:r>
        <w:rPr>
          <w:rFonts w:hint="eastAsia"/>
        </w:rPr>
        <w:t>吨污水处理站，占地面积约为</w:t>
      </w:r>
      <w:r>
        <w:t>416m</w:t>
      </w:r>
      <w:r>
        <w:rPr>
          <w:vertAlign w:val="superscript"/>
        </w:rPr>
        <w:t>2</w:t>
      </w:r>
      <w:r>
        <w:rPr>
          <w:rFonts w:hint="eastAsia"/>
        </w:rPr>
        <w:t>。污水处理站产生的臭气属于无组织排放。</w:t>
      </w:r>
    </w:p>
    <w:p>
      <w:pPr>
        <w:ind w:firstLine="480"/>
      </w:pPr>
      <w:r>
        <w:rPr>
          <w:rFonts w:hint="eastAsia"/>
        </w:rPr>
        <w:t>4、食堂油烟</w:t>
      </w:r>
    </w:p>
    <w:p>
      <w:pPr>
        <w:ind w:firstLine="480"/>
      </w:pPr>
      <w:r>
        <w:rPr>
          <w:rFonts w:hint="eastAsia"/>
        </w:rPr>
        <w:t>原有项目企业共有职工</w:t>
      </w:r>
      <w:r>
        <w:t>1000</w:t>
      </w:r>
      <w:r>
        <w:rPr>
          <w:rFonts w:hint="eastAsia"/>
        </w:rPr>
        <w:t>人，均在厂区内就餐。人均每天油脂用量为</w:t>
      </w:r>
      <w:r>
        <w:t>7kg/2</w:t>
      </w:r>
      <w:r>
        <w:rPr>
          <w:rFonts w:hint="eastAsia"/>
        </w:rPr>
        <w:t>餐·</w:t>
      </w:r>
      <w:r>
        <w:t>100</w:t>
      </w:r>
      <w:r>
        <w:rPr>
          <w:rFonts w:hint="eastAsia"/>
        </w:rPr>
        <w:t>人，油烟产生量按油脂使用量的</w:t>
      </w:r>
      <w:r>
        <w:t>5%</w:t>
      </w:r>
      <w:r>
        <w:rPr>
          <w:rFonts w:hint="eastAsia"/>
        </w:rPr>
        <w:t>计，根据计算油烟的产生量为</w:t>
      </w:r>
      <w:r>
        <w:t>1.05t/a</w:t>
      </w:r>
      <w:r>
        <w:rPr>
          <w:rFonts w:hint="eastAsia"/>
        </w:rPr>
        <w:t>。根据现场调查，原有工程食堂油烟采用排风机抽风排入环境中，因此，原有工程食堂油烟排放量为</w:t>
      </w:r>
      <w:r>
        <w:t>1.05t/a</w:t>
      </w:r>
      <w:r>
        <w:rPr>
          <w:rFonts w:hint="eastAsia"/>
        </w:rPr>
        <w:t>。</w:t>
      </w:r>
    </w:p>
    <w:p>
      <w:pPr>
        <w:ind w:firstLine="480"/>
      </w:pPr>
      <w:r>
        <w:rPr>
          <w:rFonts w:hint="eastAsia"/>
        </w:rPr>
        <w:t>5、无组织废气排放情况</w:t>
      </w:r>
    </w:p>
    <w:p>
      <w:pPr>
        <w:ind w:firstLine="480"/>
      </w:pPr>
      <w:r>
        <w:rPr>
          <w:rFonts w:hint="eastAsia"/>
        </w:rPr>
        <w:t>根据上述分析，原有工程中印染废气中的定型废气、烧毛废气、导热油废气，纺纱车间粉尘、织布车间粉尘、食堂油烟、污水处理站废气均为无组织排放。本次环评为了解现有工程无组织废气排放情况，委托岳阳市衡润检测有限公司对厂界无组织废气进行了检测，无组织废气监测结果见表</w:t>
      </w:r>
      <w:r>
        <w:t>3.2-8</w:t>
      </w:r>
      <w:r>
        <w:rPr>
          <w:rFonts w:hint="eastAsia"/>
        </w:rPr>
        <w:t>。</w:t>
      </w:r>
    </w:p>
    <w:p>
      <w:pPr>
        <w:pStyle w:val="26"/>
        <w:rPr>
          <w:b/>
          <w:bCs/>
        </w:rPr>
      </w:pPr>
      <w:r>
        <w:rPr>
          <w:rFonts w:hint="eastAsia"/>
          <w:b/>
          <w:bCs/>
        </w:rPr>
        <w:t>表</w:t>
      </w:r>
      <w:r>
        <w:rPr>
          <w:b/>
          <w:bCs/>
        </w:rPr>
        <w:t xml:space="preserve">3.2-8  </w:t>
      </w:r>
      <w:r>
        <w:rPr>
          <w:rFonts w:hint="eastAsia"/>
          <w:b/>
          <w:bCs/>
        </w:rPr>
        <w:t>现有工程无组织废气污染物监测结果一览表</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365"/>
        <w:gridCol w:w="1354"/>
        <w:gridCol w:w="1408"/>
        <w:gridCol w:w="1618"/>
        <w:gridCol w:w="1198"/>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503" w:type="dxa"/>
            <w:vMerge w:val="restart"/>
            <w:vAlign w:val="center"/>
          </w:tcPr>
          <w:p>
            <w:pPr>
              <w:pStyle w:val="26"/>
              <w:rPr>
                <w:kern w:val="2"/>
                <w:szCs w:val="21"/>
                <w:lang w:val="en-US" w:eastAsia="zh-CN"/>
              </w:rPr>
            </w:pPr>
            <w:r>
              <w:rPr>
                <w:rFonts w:hint="eastAsia"/>
                <w:kern w:val="2"/>
                <w:szCs w:val="21"/>
                <w:lang w:val="en-US" w:eastAsia="zh-CN"/>
              </w:rPr>
              <w:t>监测点位</w:t>
            </w:r>
          </w:p>
        </w:tc>
        <w:tc>
          <w:tcPr>
            <w:tcW w:w="8351" w:type="dxa"/>
            <w:gridSpan w:val="6"/>
            <w:vAlign w:val="center"/>
          </w:tcPr>
          <w:p>
            <w:pPr>
              <w:pStyle w:val="26"/>
              <w:rPr>
                <w:kern w:val="2"/>
                <w:szCs w:val="21"/>
                <w:lang w:val="en-US" w:eastAsia="zh-CN"/>
              </w:rPr>
            </w:pPr>
            <w:r>
              <w:rPr>
                <w:rFonts w:hint="eastAsia"/>
                <w:kern w:val="2"/>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503" w:type="dxa"/>
            <w:vMerge w:val="continue"/>
            <w:vAlign w:val="center"/>
          </w:tcPr>
          <w:p>
            <w:pPr>
              <w:pStyle w:val="26"/>
              <w:rPr>
                <w:kern w:val="2"/>
                <w:szCs w:val="21"/>
                <w:lang w:val="en-US" w:eastAsia="zh-CN"/>
              </w:rPr>
            </w:pPr>
          </w:p>
        </w:tc>
        <w:tc>
          <w:tcPr>
            <w:tcW w:w="1365" w:type="dxa"/>
            <w:vAlign w:val="center"/>
          </w:tcPr>
          <w:p>
            <w:pPr>
              <w:pStyle w:val="26"/>
              <w:rPr>
                <w:kern w:val="2"/>
                <w:szCs w:val="21"/>
                <w:lang w:val="en-US" w:eastAsia="zh-CN"/>
              </w:rPr>
            </w:pPr>
            <w:r>
              <w:rPr>
                <w:kern w:val="2"/>
                <w:szCs w:val="21"/>
                <w:lang w:val="en-US" w:eastAsia="zh-CN"/>
              </w:rPr>
              <w:t>NH</w:t>
            </w:r>
            <w:r>
              <w:rPr>
                <w:kern w:val="2"/>
                <w:szCs w:val="21"/>
                <w:vertAlign w:val="subscript"/>
                <w:lang w:val="en-US" w:eastAsia="zh-CN"/>
              </w:rPr>
              <w:t>3</w:t>
            </w:r>
          </w:p>
        </w:tc>
        <w:tc>
          <w:tcPr>
            <w:tcW w:w="1354" w:type="dxa"/>
            <w:vAlign w:val="center"/>
          </w:tcPr>
          <w:p>
            <w:pPr>
              <w:pStyle w:val="26"/>
              <w:rPr>
                <w:kern w:val="2"/>
                <w:szCs w:val="21"/>
                <w:lang w:val="en-US" w:eastAsia="zh-CN"/>
              </w:rPr>
            </w:pPr>
            <w:r>
              <w:rPr>
                <w:kern w:val="2"/>
                <w:szCs w:val="21"/>
                <w:lang w:val="en-US" w:eastAsia="zh-CN"/>
              </w:rPr>
              <w:t>H</w:t>
            </w:r>
            <w:r>
              <w:rPr>
                <w:kern w:val="2"/>
                <w:szCs w:val="21"/>
                <w:vertAlign w:val="subscript"/>
                <w:lang w:val="en-US" w:eastAsia="zh-CN"/>
              </w:rPr>
              <w:t>2</w:t>
            </w:r>
            <w:r>
              <w:rPr>
                <w:kern w:val="2"/>
                <w:szCs w:val="21"/>
                <w:lang w:val="en-US" w:eastAsia="zh-CN"/>
              </w:rPr>
              <w:t>S</w:t>
            </w:r>
          </w:p>
        </w:tc>
        <w:tc>
          <w:tcPr>
            <w:tcW w:w="1408" w:type="dxa"/>
            <w:vAlign w:val="center"/>
          </w:tcPr>
          <w:p>
            <w:pPr>
              <w:pStyle w:val="26"/>
              <w:rPr>
                <w:kern w:val="2"/>
                <w:szCs w:val="21"/>
                <w:lang w:val="en-US" w:eastAsia="zh-CN"/>
              </w:rPr>
            </w:pPr>
            <w:r>
              <w:rPr>
                <w:kern w:val="2"/>
                <w:szCs w:val="21"/>
                <w:lang w:val="en-US" w:eastAsia="zh-CN"/>
              </w:rPr>
              <w:t>VOCs</w:t>
            </w:r>
          </w:p>
        </w:tc>
        <w:tc>
          <w:tcPr>
            <w:tcW w:w="1618" w:type="dxa"/>
            <w:vAlign w:val="center"/>
          </w:tcPr>
          <w:p>
            <w:pPr>
              <w:pStyle w:val="26"/>
              <w:rPr>
                <w:kern w:val="2"/>
                <w:szCs w:val="21"/>
                <w:lang w:val="en-US" w:eastAsia="zh-CN"/>
              </w:rPr>
            </w:pPr>
            <w:r>
              <w:rPr>
                <w:kern w:val="2"/>
                <w:szCs w:val="21"/>
                <w:lang w:val="en-US" w:eastAsia="zh-CN"/>
              </w:rPr>
              <w:t>SO</w:t>
            </w:r>
            <w:r>
              <w:rPr>
                <w:kern w:val="2"/>
                <w:szCs w:val="21"/>
                <w:vertAlign w:val="subscript"/>
                <w:lang w:val="en-US" w:eastAsia="zh-CN"/>
              </w:rPr>
              <w:t>2</w:t>
            </w:r>
          </w:p>
        </w:tc>
        <w:tc>
          <w:tcPr>
            <w:tcW w:w="1198" w:type="dxa"/>
            <w:vAlign w:val="center"/>
          </w:tcPr>
          <w:p>
            <w:pPr>
              <w:pStyle w:val="26"/>
              <w:rPr>
                <w:kern w:val="2"/>
                <w:szCs w:val="21"/>
                <w:lang w:val="en-US" w:eastAsia="zh-CN"/>
              </w:rPr>
            </w:pPr>
            <w:r>
              <w:rPr>
                <w:kern w:val="2"/>
                <w:szCs w:val="21"/>
                <w:lang w:val="en-US" w:eastAsia="zh-CN"/>
              </w:rPr>
              <w:t>NO</w:t>
            </w:r>
            <w:r>
              <w:rPr>
                <w:kern w:val="2"/>
                <w:szCs w:val="21"/>
                <w:vertAlign w:val="subscript"/>
                <w:lang w:val="en-US" w:eastAsia="zh-CN"/>
              </w:rPr>
              <w:t>2</w:t>
            </w:r>
          </w:p>
        </w:tc>
        <w:tc>
          <w:tcPr>
            <w:tcW w:w="1408" w:type="dxa"/>
            <w:vAlign w:val="center"/>
          </w:tcPr>
          <w:p>
            <w:pPr>
              <w:pStyle w:val="26"/>
              <w:rPr>
                <w:kern w:val="2"/>
                <w:szCs w:val="21"/>
                <w:lang w:val="en-US" w:eastAsia="zh-CN"/>
              </w:rPr>
            </w:pPr>
            <w:r>
              <w:rPr>
                <w:rFonts w:hint="eastAsia"/>
                <w:kern w:val="2"/>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3" w:type="dxa"/>
            <w:vAlign w:val="center"/>
          </w:tcPr>
          <w:p>
            <w:pPr>
              <w:pStyle w:val="26"/>
              <w:rPr>
                <w:kern w:val="2"/>
                <w:szCs w:val="21"/>
                <w:lang w:val="en-US" w:eastAsia="zh-CN"/>
              </w:rPr>
            </w:pPr>
            <w:r>
              <w:rPr>
                <w:rFonts w:hint="eastAsia"/>
                <w:kern w:val="2"/>
                <w:szCs w:val="21"/>
                <w:lang w:val="en-US" w:eastAsia="zh-CN"/>
              </w:rPr>
              <w:t>厂界东</w:t>
            </w:r>
          </w:p>
        </w:tc>
        <w:tc>
          <w:tcPr>
            <w:tcW w:w="1365" w:type="dxa"/>
            <w:vAlign w:val="center"/>
          </w:tcPr>
          <w:p>
            <w:pPr>
              <w:pStyle w:val="26"/>
              <w:rPr>
                <w:kern w:val="2"/>
                <w:szCs w:val="21"/>
                <w:lang w:val="en-US" w:eastAsia="zh-CN"/>
              </w:rPr>
            </w:pPr>
            <w:r>
              <w:rPr>
                <w:kern w:val="2"/>
                <w:szCs w:val="21"/>
                <w:lang w:val="en-US" w:eastAsia="zh-CN"/>
              </w:rPr>
              <w:t>0.01ND</w:t>
            </w:r>
          </w:p>
        </w:tc>
        <w:tc>
          <w:tcPr>
            <w:tcW w:w="1354" w:type="dxa"/>
            <w:vAlign w:val="center"/>
          </w:tcPr>
          <w:p>
            <w:pPr>
              <w:pStyle w:val="26"/>
              <w:rPr>
                <w:kern w:val="2"/>
                <w:szCs w:val="21"/>
                <w:lang w:val="en-US" w:eastAsia="zh-CN"/>
              </w:rPr>
            </w:pPr>
            <w:r>
              <w:rPr>
                <w:kern w:val="2"/>
                <w:szCs w:val="21"/>
                <w:lang w:val="en-US" w:eastAsia="zh-CN"/>
              </w:rPr>
              <w:t>0.001ND</w:t>
            </w:r>
          </w:p>
        </w:tc>
        <w:tc>
          <w:tcPr>
            <w:tcW w:w="1408" w:type="dxa"/>
            <w:vAlign w:val="center"/>
          </w:tcPr>
          <w:p>
            <w:pPr>
              <w:pStyle w:val="26"/>
              <w:rPr>
                <w:kern w:val="2"/>
                <w:szCs w:val="21"/>
                <w:lang w:val="en-US" w:eastAsia="zh-CN"/>
              </w:rPr>
            </w:pPr>
            <w:r>
              <w:rPr>
                <w:kern w:val="2"/>
                <w:szCs w:val="21"/>
                <w:lang w:val="en-US" w:eastAsia="zh-CN"/>
              </w:rPr>
              <w:t>0.08~0.10</w:t>
            </w:r>
          </w:p>
        </w:tc>
        <w:tc>
          <w:tcPr>
            <w:tcW w:w="1618" w:type="dxa"/>
            <w:vAlign w:val="center"/>
          </w:tcPr>
          <w:p>
            <w:pPr>
              <w:pStyle w:val="26"/>
              <w:rPr>
                <w:kern w:val="2"/>
                <w:szCs w:val="21"/>
                <w:lang w:val="en-US" w:eastAsia="zh-CN"/>
              </w:rPr>
            </w:pPr>
            <w:r>
              <w:rPr>
                <w:kern w:val="2"/>
                <w:szCs w:val="21"/>
                <w:lang w:val="en-US" w:eastAsia="zh-CN"/>
              </w:rPr>
              <w:t>0.007ND</w:t>
            </w:r>
          </w:p>
        </w:tc>
        <w:tc>
          <w:tcPr>
            <w:tcW w:w="1198" w:type="dxa"/>
            <w:vAlign w:val="center"/>
          </w:tcPr>
          <w:p>
            <w:pPr>
              <w:pStyle w:val="26"/>
              <w:rPr>
                <w:kern w:val="2"/>
                <w:szCs w:val="21"/>
                <w:lang w:val="en-US" w:eastAsia="zh-CN"/>
              </w:rPr>
            </w:pPr>
            <w:r>
              <w:rPr>
                <w:kern w:val="2"/>
                <w:szCs w:val="21"/>
                <w:lang w:val="en-US" w:eastAsia="zh-CN"/>
              </w:rPr>
              <w:t>0.005ND</w:t>
            </w:r>
          </w:p>
        </w:tc>
        <w:tc>
          <w:tcPr>
            <w:tcW w:w="1408" w:type="dxa"/>
            <w:vAlign w:val="center"/>
          </w:tcPr>
          <w:p>
            <w:pPr>
              <w:pStyle w:val="26"/>
              <w:rPr>
                <w:kern w:val="2"/>
                <w:szCs w:val="21"/>
                <w:lang w:val="en-US" w:eastAsia="zh-CN"/>
              </w:rPr>
            </w:pPr>
            <w:r>
              <w:rPr>
                <w:kern w:val="2"/>
                <w:szCs w:val="21"/>
                <w:lang w:val="en-US" w:eastAsia="zh-CN"/>
              </w:rPr>
              <w:t>0.16~0.18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3" w:type="dxa"/>
            <w:vAlign w:val="center"/>
          </w:tcPr>
          <w:p>
            <w:pPr>
              <w:pStyle w:val="26"/>
              <w:rPr>
                <w:kern w:val="2"/>
                <w:szCs w:val="21"/>
                <w:lang w:val="en-US" w:eastAsia="zh-CN"/>
              </w:rPr>
            </w:pPr>
            <w:r>
              <w:rPr>
                <w:rFonts w:hint="eastAsia"/>
                <w:kern w:val="2"/>
                <w:szCs w:val="21"/>
                <w:lang w:val="en-US" w:eastAsia="zh-CN"/>
              </w:rPr>
              <w:t>厂界南</w:t>
            </w:r>
          </w:p>
        </w:tc>
        <w:tc>
          <w:tcPr>
            <w:tcW w:w="1365" w:type="dxa"/>
            <w:vAlign w:val="center"/>
          </w:tcPr>
          <w:p>
            <w:pPr>
              <w:pStyle w:val="26"/>
              <w:rPr>
                <w:kern w:val="2"/>
                <w:szCs w:val="21"/>
                <w:lang w:val="en-US" w:eastAsia="zh-CN"/>
              </w:rPr>
            </w:pPr>
            <w:r>
              <w:rPr>
                <w:kern w:val="2"/>
                <w:szCs w:val="21"/>
                <w:lang w:val="en-US" w:eastAsia="zh-CN"/>
              </w:rPr>
              <w:t>0.01ND</w:t>
            </w:r>
          </w:p>
        </w:tc>
        <w:tc>
          <w:tcPr>
            <w:tcW w:w="1354" w:type="dxa"/>
            <w:vAlign w:val="center"/>
          </w:tcPr>
          <w:p>
            <w:pPr>
              <w:pStyle w:val="26"/>
              <w:rPr>
                <w:kern w:val="2"/>
                <w:szCs w:val="21"/>
                <w:lang w:val="en-US" w:eastAsia="zh-CN"/>
              </w:rPr>
            </w:pPr>
            <w:r>
              <w:rPr>
                <w:kern w:val="2"/>
                <w:szCs w:val="21"/>
                <w:lang w:val="en-US" w:eastAsia="zh-CN"/>
              </w:rPr>
              <w:t>0.039~0.068</w:t>
            </w:r>
          </w:p>
        </w:tc>
        <w:tc>
          <w:tcPr>
            <w:tcW w:w="1408" w:type="dxa"/>
            <w:vAlign w:val="center"/>
          </w:tcPr>
          <w:p>
            <w:pPr>
              <w:pStyle w:val="26"/>
              <w:rPr>
                <w:kern w:val="2"/>
                <w:szCs w:val="21"/>
                <w:lang w:val="en-US" w:eastAsia="zh-CN"/>
              </w:rPr>
            </w:pPr>
            <w:r>
              <w:rPr>
                <w:kern w:val="2"/>
                <w:szCs w:val="21"/>
                <w:lang w:val="en-US" w:eastAsia="zh-CN"/>
              </w:rPr>
              <w:t>0.011~0.014</w:t>
            </w:r>
          </w:p>
        </w:tc>
        <w:tc>
          <w:tcPr>
            <w:tcW w:w="1618" w:type="dxa"/>
            <w:vAlign w:val="center"/>
          </w:tcPr>
          <w:p>
            <w:pPr>
              <w:pStyle w:val="26"/>
              <w:rPr>
                <w:kern w:val="2"/>
                <w:szCs w:val="21"/>
                <w:lang w:val="en-US" w:eastAsia="zh-CN"/>
              </w:rPr>
            </w:pPr>
            <w:r>
              <w:rPr>
                <w:kern w:val="2"/>
                <w:szCs w:val="21"/>
                <w:lang w:val="en-US" w:eastAsia="zh-CN"/>
              </w:rPr>
              <w:t>0.007ND~0.009</w:t>
            </w:r>
          </w:p>
        </w:tc>
        <w:tc>
          <w:tcPr>
            <w:tcW w:w="1198" w:type="dxa"/>
            <w:vAlign w:val="center"/>
          </w:tcPr>
          <w:p>
            <w:pPr>
              <w:pStyle w:val="26"/>
              <w:rPr>
                <w:kern w:val="2"/>
                <w:szCs w:val="21"/>
                <w:lang w:val="en-US" w:eastAsia="zh-CN"/>
              </w:rPr>
            </w:pPr>
            <w:r>
              <w:rPr>
                <w:kern w:val="2"/>
                <w:szCs w:val="21"/>
                <w:lang w:val="en-US" w:eastAsia="zh-CN"/>
              </w:rPr>
              <w:t>0.005ND</w:t>
            </w:r>
          </w:p>
        </w:tc>
        <w:tc>
          <w:tcPr>
            <w:tcW w:w="1408" w:type="dxa"/>
            <w:vAlign w:val="center"/>
          </w:tcPr>
          <w:p>
            <w:pPr>
              <w:pStyle w:val="26"/>
              <w:rPr>
                <w:kern w:val="2"/>
                <w:szCs w:val="21"/>
                <w:lang w:val="en-US" w:eastAsia="zh-CN"/>
              </w:rPr>
            </w:pPr>
            <w:r>
              <w:rPr>
                <w:kern w:val="2"/>
                <w:szCs w:val="21"/>
                <w:lang w:val="en-US" w:eastAsia="zh-CN"/>
              </w:rPr>
              <w:t>0.30~0.33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3" w:type="dxa"/>
            <w:vAlign w:val="center"/>
          </w:tcPr>
          <w:p>
            <w:pPr>
              <w:pStyle w:val="26"/>
              <w:rPr>
                <w:kern w:val="2"/>
                <w:szCs w:val="21"/>
                <w:lang w:val="en-US" w:eastAsia="zh-CN"/>
              </w:rPr>
            </w:pPr>
            <w:r>
              <w:rPr>
                <w:rFonts w:hint="eastAsia"/>
                <w:kern w:val="2"/>
                <w:szCs w:val="21"/>
                <w:lang w:val="en-US" w:eastAsia="zh-CN"/>
              </w:rPr>
              <w:t>厂界西</w:t>
            </w:r>
          </w:p>
        </w:tc>
        <w:tc>
          <w:tcPr>
            <w:tcW w:w="1365" w:type="dxa"/>
            <w:vAlign w:val="center"/>
          </w:tcPr>
          <w:p>
            <w:pPr>
              <w:pStyle w:val="26"/>
              <w:rPr>
                <w:kern w:val="2"/>
                <w:szCs w:val="21"/>
                <w:lang w:val="en-US" w:eastAsia="zh-CN"/>
              </w:rPr>
            </w:pPr>
            <w:r>
              <w:rPr>
                <w:kern w:val="2"/>
                <w:szCs w:val="21"/>
                <w:lang w:val="en-US" w:eastAsia="zh-CN"/>
              </w:rPr>
              <w:t>0.01ND</w:t>
            </w:r>
          </w:p>
        </w:tc>
        <w:tc>
          <w:tcPr>
            <w:tcW w:w="1354" w:type="dxa"/>
            <w:vAlign w:val="center"/>
          </w:tcPr>
          <w:p>
            <w:pPr>
              <w:pStyle w:val="26"/>
              <w:rPr>
                <w:kern w:val="2"/>
                <w:szCs w:val="21"/>
                <w:lang w:val="en-US" w:eastAsia="zh-CN"/>
              </w:rPr>
            </w:pPr>
            <w:r>
              <w:rPr>
                <w:kern w:val="2"/>
                <w:szCs w:val="21"/>
                <w:lang w:val="en-US" w:eastAsia="zh-CN"/>
              </w:rPr>
              <w:t>0.001ND</w:t>
            </w:r>
          </w:p>
        </w:tc>
        <w:tc>
          <w:tcPr>
            <w:tcW w:w="1408" w:type="dxa"/>
            <w:vAlign w:val="center"/>
          </w:tcPr>
          <w:p>
            <w:pPr>
              <w:pStyle w:val="26"/>
              <w:rPr>
                <w:kern w:val="2"/>
                <w:szCs w:val="21"/>
                <w:lang w:val="en-US" w:eastAsia="zh-CN"/>
              </w:rPr>
            </w:pPr>
            <w:r>
              <w:rPr>
                <w:kern w:val="2"/>
                <w:szCs w:val="21"/>
                <w:lang w:val="en-US" w:eastAsia="zh-CN"/>
              </w:rPr>
              <w:t>0.07~0.09</w:t>
            </w:r>
          </w:p>
        </w:tc>
        <w:tc>
          <w:tcPr>
            <w:tcW w:w="1618" w:type="dxa"/>
            <w:vAlign w:val="center"/>
          </w:tcPr>
          <w:p>
            <w:pPr>
              <w:pStyle w:val="26"/>
              <w:rPr>
                <w:kern w:val="2"/>
                <w:szCs w:val="21"/>
                <w:lang w:val="en-US" w:eastAsia="zh-CN"/>
              </w:rPr>
            </w:pPr>
            <w:r>
              <w:rPr>
                <w:kern w:val="2"/>
                <w:szCs w:val="21"/>
                <w:lang w:val="en-US" w:eastAsia="zh-CN"/>
              </w:rPr>
              <w:t>0.007ND</w:t>
            </w:r>
          </w:p>
        </w:tc>
        <w:tc>
          <w:tcPr>
            <w:tcW w:w="1198" w:type="dxa"/>
            <w:vAlign w:val="center"/>
          </w:tcPr>
          <w:p>
            <w:pPr>
              <w:pStyle w:val="26"/>
              <w:rPr>
                <w:kern w:val="2"/>
                <w:szCs w:val="21"/>
                <w:lang w:val="en-US" w:eastAsia="zh-CN"/>
              </w:rPr>
            </w:pPr>
            <w:r>
              <w:rPr>
                <w:kern w:val="2"/>
                <w:szCs w:val="21"/>
                <w:lang w:val="en-US" w:eastAsia="zh-CN"/>
              </w:rPr>
              <w:t>0.005ND</w:t>
            </w:r>
          </w:p>
        </w:tc>
        <w:tc>
          <w:tcPr>
            <w:tcW w:w="1408" w:type="dxa"/>
            <w:vAlign w:val="center"/>
          </w:tcPr>
          <w:p>
            <w:pPr>
              <w:pStyle w:val="26"/>
              <w:rPr>
                <w:kern w:val="2"/>
                <w:szCs w:val="21"/>
                <w:lang w:val="en-US" w:eastAsia="zh-CN"/>
              </w:rPr>
            </w:pPr>
            <w:r>
              <w:rPr>
                <w:kern w:val="2"/>
                <w:szCs w:val="21"/>
                <w:lang w:val="en-US" w:eastAsia="zh-CN"/>
              </w:rPr>
              <w:t>0.17~0.22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3" w:type="dxa"/>
            <w:vAlign w:val="center"/>
          </w:tcPr>
          <w:p>
            <w:pPr>
              <w:pStyle w:val="26"/>
              <w:rPr>
                <w:kern w:val="2"/>
                <w:szCs w:val="21"/>
                <w:lang w:val="en-US" w:eastAsia="zh-CN"/>
              </w:rPr>
            </w:pPr>
            <w:r>
              <w:rPr>
                <w:rFonts w:hint="eastAsia"/>
                <w:kern w:val="2"/>
                <w:szCs w:val="21"/>
                <w:lang w:val="en-US" w:eastAsia="zh-CN"/>
              </w:rPr>
              <w:t>厂界北</w:t>
            </w:r>
          </w:p>
        </w:tc>
        <w:tc>
          <w:tcPr>
            <w:tcW w:w="1365" w:type="dxa"/>
            <w:vAlign w:val="center"/>
          </w:tcPr>
          <w:p>
            <w:pPr>
              <w:pStyle w:val="26"/>
              <w:rPr>
                <w:kern w:val="2"/>
                <w:szCs w:val="21"/>
                <w:lang w:val="en-US" w:eastAsia="zh-CN"/>
              </w:rPr>
            </w:pPr>
            <w:r>
              <w:rPr>
                <w:kern w:val="2"/>
                <w:szCs w:val="21"/>
                <w:lang w:val="en-US" w:eastAsia="zh-CN"/>
              </w:rPr>
              <w:t>0.01ND</w:t>
            </w:r>
          </w:p>
        </w:tc>
        <w:tc>
          <w:tcPr>
            <w:tcW w:w="1354" w:type="dxa"/>
            <w:vAlign w:val="center"/>
          </w:tcPr>
          <w:p>
            <w:pPr>
              <w:pStyle w:val="26"/>
              <w:rPr>
                <w:kern w:val="2"/>
                <w:szCs w:val="21"/>
                <w:lang w:val="en-US" w:eastAsia="zh-CN"/>
              </w:rPr>
            </w:pPr>
            <w:r>
              <w:rPr>
                <w:kern w:val="2"/>
                <w:szCs w:val="21"/>
                <w:lang w:val="en-US" w:eastAsia="zh-CN"/>
              </w:rPr>
              <w:t>0.001ND</w:t>
            </w:r>
          </w:p>
        </w:tc>
        <w:tc>
          <w:tcPr>
            <w:tcW w:w="1408" w:type="dxa"/>
            <w:vAlign w:val="center"/>
          </w:tcPr>
          <w:p>
            <w:pPr>
              <w:pStyle w:val="26"/>
              <w:rPr>
                <w:kern w:val="2"/>
                <w:szCs w:val="21"/>
                <w:lang w:val="en-US" w:eastAsia="zh-CN"/>
              </w:rPr>
            </w:pPr>
            <w:r>
              <w:rPr>
                <w:kern w:val="2"/>
                <w:szCs w:val="21"/>
                <w:lang w:val="en-US" w:eastAsia="zh-CN"/>
              </w:rPr>
              <w:t>0.05~0.08</w:t>
            </w:r>
          </w:p>
        </w:tc>
        <w:tc>
          <w:tcPr>
            <w:tcW w:w="1618" w:type="dxa"/>
            <w:vAlign w:val="center"/>
          </w:tcPr>
          <w:p>
            <w:pPr>
              <w:pStyle w:val="26"/>
              <w:rPr>
                <w:kern w:val="2"/>
                <w:szCs w:val="21"/>
                <w:lang w:val="en-US" w:eastAsia="zh-CN"/>
              </w:rPr>
            </w:pPr>
            <w:r>
              <w:rPr>
                <w:kern w:val="2"/>
                <w:szCs w:val="21"/>
                <w:lang w:val="en-US" w:eastAsia="zh-CN"/>
              </w:rPr>
              <w:t>0.007ND</w:t>
            </w:r>
          </w:p>
        </w:tc>
        <w:tc>
          <w:tcPr>
            <w:tcW w:w="1198" w:type="dxa"/>
            <w:vAlign w:val="center"/>
          </w:tcPr>
          <w:p>
            <w:pPr>
              <w:pStyle w:val="26"/>
              <w:rPr>
                <w:kern w:val="2"/>
                <w:szCs w:val="21"/>
                <w:lang w:val="en-US" w:eastAsia="zh-CN"/>
              </w:rPr>
            </w:pPr>
            <w:r>
              <w:rPr>
                <w:kern w:val="2"/>
                <w:szCs w:val="21"/>
                <w:lang w:val="en-US" w:eastAsia="zh-CN"/>
              </w:rPr>
              <w:t>0.005ND</w:t>
            </w:r>
          </w:p>
        </w:tc>
        <w:tc>
          <w:tcPr>
            <w:tcW w:w="1408" w:type="dxa"/>
            <w:vAlign w:val="center"/>
          </w:tcPr>
          <w:p>
            <w:pPr>
              <w:pStyle w:val="26"/>
              <w:rPr>
                <w:kern w:val="2"/>
                <w:szCs w:val="21"/>
                <w:lang w:val="en-US" w:eastAsia="zh-CN"/>
              </w:rPr>
            </w:pPr>
            <w:r>
              <w:rPr>
                <w:kern w:val="2"/>
                <w:szCs w:val="21"/>
                <w:lang w:val="en-US" w:eastAsia="zh-CN"/>
              </w:rPr>
              <w:t>0.19~0.20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3" w:type="dxa"/>
            <w:vAlign w:val="center"/>
          </w:tcPr>
          <w:p>
            <w:pPr>
              <w:pStyle w:val="26"/>
              <w:rPr>
                <w:kern w:val="2"/>
                <w:szCs w:val="21"/>
                <w:lang w:val="en-US" w:eastAsia="zh-CN"/>
              </w:rPr>
            </w:pPr>
            <w:r>
              <w:rPr>
                <w:rFonts w:hint="eastAsia"/>
                <w:kern w:val="2"/>
                <w:szCs w:val="21"/>
                <w:lang w:val="en-US" w:eastAsia="zh-CN"/>
              </w:rPr>
              <w:t>标准值</w:t>
            </w:r>
          </w:p>
        </w:tc>
        <w:tc>
          <w:tcPr>
            <w:tcW w:w="1365" w:type="dxa"/>
            <w:vAlign w:val="center"/>
          </w:tcPr>
          <w:p>
            <w:pPr>
              <w:pStyle w:val="26"/>
              <w:rPr>
                <w:kern w:val="2"/>
                <w:szCs w:val="21"/>
                <w:lang w:val="en-US" w:eastAsia="zh-CN"/>
              </w:rPr>
            </w:pPr>
            <w:r>
              <w:rPr>
                <w:kern w:val="2"/>
                <w:szCs w:val="21"/>
                <w:lang w:val="en-US" w:eastAsia="zh-CN"/>
              </w:rPr>
              <w:t>1.5</w:t>
            </w:r>
          </w:p>
        </w:tc>
        <w:tc>
          <w:tcPr>
            <w:tcW w:w="1354" w:type="dxa"/>
            <w:vAlign w:val="center"/>
          </w:tcPr>
          <w:p>
            <w:pPr>
              <w:pStyle w:val="26"/>
              <w:rPr>
                <w:kern w:val="2"/>
                <w:szCs w:val="21"/>
                <w:lang w:val="en-US" w:eastAsia="zh-CN"/>
              </w:rPr>
            </w:pPr>
            <w:r>
              <w:rPr>
                <w:kern w:val="2"/>
                <w:szCs w:val="21"/>
                <w:lang w:val="en-US" w:eastAsia="zh-CN"/>
              </w:rPr>
              <w:t>0.06</w:t>
            </w:r>
          </w:p>
        </w:tc>
        <w:tc>
          <w:tcPr>
            <w:tcW w:w="1408" w:type="dxa"/>
            <w:vAlign w:val="center"/>
          </w:tcPr>
          <w:p>
            <w:pPr>
              <w:pStyle w:val="26"/>
              <w:rPr>
                <w:kern w:val="2"/>
                <w:szCs w:val="21"/>
                <w:lang w:val="en-US" w:eastAsia="zh-CN"/>
              </w:rPr>
            </w:pPr>
            <w:r>
              <w:rPr>
                <w:kern w:val="2"/>
                <w:szCs w:val="21"/>
                <w:lang w:val="en-US" w:eastAsia="zh-CN"/>
              </w:rPr>
              <w:t>2.0</w:t>
            </w:r>
          </w:p>
        </w:tc>
        <w:tc>
          <w:tcPr>
            <w:tcW w:w="1618" w:type="dxa"/>
            <w:vAlign w:val="center"/>
          </w:tcPr>
          <w:p>
            <w:pPr>
              <w:pStyle w:val="26"/>
              <w:rPr>
                <w:kern w:val="2"/>
                <w:szCs w:val="21"/>
                <w:lang w:val="en-US" w:eastAsia="zh-CN"/>
              </w:rPr>
            </w:pPr>
            <w:r>
              <w:rPr>
                <w:kern w:val="2"/>
                <w:szCs w:val="21"/>
                <w:lang w:val="en-US" w:eastAsia="zh-CN"/>
              </w:rPr>
              <w:t>0.4</w:t>
            </w:r>
          </w:p>
        </w:tc>
        <w:tc>
          <w:tcPr>
            <w:tcW w:w="1198" w:type="dxa"/>
            <w:vAlign w:val="center"/>
          </w:tcPr>
          <w:p>
            <w:pPr>
              <w:pStyle w:val="26"/>
              <w:rPr>
                <w:kern w:val="2"/>
                <w:szCs w:val="21"/>
                <w:lang w:val="en-US" w:eastAsia="zh-CN"/>
              </w:rPr>
            </w:pPr>
            <w:r>
              <w:rPr>
                <w:kern w:val="2"/>
                <w:szCs w:val="21"/>
                <w:lang w:val="en-US" w:eastAsia="zh-CN"/>
              </w:rPr>
              <w:t>0.12</w:t>
            </w:r>
          </w:p>
        </w:tc>
        <w:tc>
          <w:tcPr>
            <w:tcW w:w="1408" w:type="dxa"/>
            <w:vAlign w:val="center"/>
          </w:tcPr>
          <w:p>
            <w:pPr>
              <w:pStyle w:val="26"/>
              <w:rPr>
                <w:kern w:val="2"/>
                <w:szCs w:val="21"/>
                <w:lang w:val="en-US" w:eastAsia="zh-CN"/>
              </w:rPr>
            </w:pPr>
            <w:r>
              <w:rPr>
                <w:kern w:val="2"/>
                <w:szCs w:val="21"/>
                <w:lang w:val="en-US" w:eastAsia="zh-CN"/>
              </w:rPr>
              <w:t>1.0</w:t>
            </w:r>
          </w:p>
        </w:tc>
      </w:tr>
    </w:tbl>
    <w:p>
      <w:pPr>
        <w:ind w:firstLine="480"/>
      </w:pPr>
      <w:r>
        <w:rPr>
          <w:rFonts w:hint="eastAsia"/>
        </w:rPr>
        <w:t>由上表可知，现有工程无组织排放废气中氨、硫化氢四周厂界均能达到《恶臭污染物排放标准》</w:t>
      </w:r>
      <w:r>
        <w:t>(GB14554-93)</w:t>
      </w:r>
      <w:r>
        <w:rPr>
          <w:rFonts w:hint="eastAsia"/>
        </w:rPr>
        <w:t>二级标准，颗粒物、二氧化硫、氮氧化物四周厂界均能达到《大气污染物综合排放标准》（</w:t>
      </w:r>
      <w:r>
        <w:t>GB16297-1996</w:t>
      </w:r>
      <w:r>
        <w:rPr>
          <w:rFonts w:hint="eastAsia"/>
        </w:rPr>
        <w:t>）中相应标准，</w:t>
      </w:r>
      <w:r>
        <w:t>VOCs</w:t>
      </w:r>
      <w:r>
        <w:rPr>
          <w:rFonts w:hint="eastAsia"/>
        </w:rPr>
        <w:t>达到了</w:t>
      </w:r>
      <w:r>
        <w:rPr>
          <w:rFonts w:hint="eastAsia"/>
          <w:lang w:eastAsia="zh-CN"/>
        </w:rPr>
        <w:t>天</w:t>
      </w:r>
      <w:r>
        <w:rPr>
          <w:rFonts w:hint="eastAsia"/>
        </w:rPr>
        <w:t>津市地方标准《工业企业挥发性有机物排放控制标准》（</w:t>
      </w:r>
      <w:r>
        <w:t>DB12/524-2014</w:t>
      </w:r>
      <w:r>
        <w:rPr>
          <w:rFonts w:hint="eastAsia"/>
        </w:rPr>
        <w:t>）中厂界标准限值。</w:t>
      </w:r>
    </w:p>
    <w:p>
      <w:pPr>
        <w:ind w:firstLine="480"/>
      </w:pPr>
      <w:r>
        <w:t>3</w:t>
      </w:r>
      <w:r>
        <w:rPr>
          <w:rFonts w:hint="eastAsia"/>
        </w:rPr>
        <w:t>、噪声</w:t>
      </w:r>
    </w:p>
    <w:p>
      <w:pPr>
        <w:ind w:firstLine="480"/>
      </w:pPr>
      <w:r>
        <w:rPr>
          <w:rFonts w:hint="eastAsia"/>
        </w:rPr>
        <w:t>现有工程噪声主要来源于平幅炼煮漂机、定型机、卷布机、清棉机、织布机、抓棉机、梳棉机等设备。为了解现有厂区厂界噪声现状，本次环评委托岳阳市衡润检测有限公司进行了厂界噪声监测，检测结果详见表</w:t>
      </w:r>
      <w:r>
        <w:t>3.2-8</w:t>
      </w:r>
      <w:r>
        <w:rPr>
          <w:rFonts w:hint="eastAsia"/>
        </w:rPr>
        <w:t>。</w:t>
      </w:r>
    </w:p>
    <w:p>
      <w:pPr>
        <w:pStyle w:val="26"/>
        <w:rPr>
          <w:b/>
          <w:bCs/>
        </w:rPr>
      </w:pPr>
      <w:r>
        <w:rPr>
          <w:rFonts w:hint="eastAsia"/>
          <w:b/>
          <w:bCs/>
        </w:rPr>
        <w:t>表</w:t>
      </w:r>
      <w:r>
        <w:rPr>
          <w:b/>
          <w:bCs/>
        </w:rPr>
        <w:t xml:space="preserve">3.2-8   </w:t>
      </w:r>
      <w:r>
        <w:rPr>
          <w:rFonts w:hint="eastAsia"/>
          <w:b/>
          <w:bCs/>
        </w:rPr>
        <w:t>现有工程厂界噪声监测结果一览表</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1642"/>
        <w:gridCol w:w="1642"/>
        <w:gridCol w:w="1642"/>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2" w:type="dxa"/>
            <w:vMerge w:val="restart"/>
          </w:tcPr>
          <w:p>
            <w:pPr>
              <w:pStyle w:val="26"/>
              <w:rPr>
                <w:kern w:val="2"/>
                <w:szCs w:val="21"/>
                <w:lang w:val="en-US" w:eastAsia="zh-CN"/>
              </w:rPr>
            </w:pPr>
            <w:r>
              <w:rPr>
                <w:rFonts w:hint="eastAsia"/>
                <w:kern w:val="2"/>
                <w:szCs w:val="21"/>
                <w:lang w:val="en-US" w:eastAsia="zh-CN"/>
              </w:rPr>
              <w:t>检测点位</w:t>
            </w:r>
          </w:p>
        </w:tc>
        <w:tc>
          <w:tcPr>
            <w:tcW w:w="6569" w:type="dxa"/>
            <w:gridSpan w:val="4"/>
          </w:tcPr>
          <w:p>
            <w:pPr>
              <w:pStyle w:val="26"/>
              <w:rPr>
                <w:kern w:val="2"/>
                <w:szCs w:val="21"/>
                <w:lang w:val="en-US" w:eastAsia="zh-CN"/>
              </w:rPr>
            </w:pPr>
            <w:r>
              <w:rPr>
                <w:rFonts w:hint="eastAsia"/>
                <w:kern w:val="2"/>
                <w:szCs w:val="21"/>
                <w:lang w:val="en-US" w:eastAsia="zh-CN"/>
              </w:rPr>
              <w:t>监测结果（单位：</w:t>
            </w:r>
            <w:r>
              <w:rPr>
                <w:kern w:val="2"/>
                <w:szCs w:val="21"/>
                <w:lang w:val="en-US" w:eastAsia="zh-CN"/>
              </w:rPr>
              <w:t>dB</w:t>
            </w:r>
            <w:r>
              <w:rPr>
                <w:rFonts w:hint="eastAsia"/>
                <w:kern w:val="2"/>
                <w:szCs w:val="21"/>
                <w:lang w:val="en-US" w:eastAsia="zh-CN"/>
              </w:rPr>
              <w:t>（</w:t>
            </w:r>
            <w:r>
              <w:rPr>
                <w:kern w:val="2"/>
                <w:szCs w:val="21"/>
                <w:lang w:val="en-US" w:eastAsia="zh-CN"/>
              </w:rPr>
              <w:t>A</w:t>
            </w:r>
            <w:r>
              <w:rPr>
                <w:rFonts w:hint="eastAsia"/>
                <w:kern w:val="2"/>
                <w:szCs w:val="21"/>
                <w:lang w:val="en-US" w:eastAsia="zh-CN"/>
              </w:rPr>
              <w:t>））</w:t>
            </w:r>
          </w:p>
        </w:tc>
        <w:tc>
          <w:tcPr>
            <w:tcW w:w="1643" w:type="dxa"/>
            <w:vMerge w:val="restart"/>
          </w:tcPr>
          <w:p>
            <w:pPr>
              <w:pStyle w:val="26"/>
              <w:rPr>
                <w:kern w:val="2"/>
                <w:szCs w:val="21"/>
                <w:lang w:val="en-US" w:eastAsia="zh-CN"/>
              </w:rPr>
            </w:pPr>
            <w:r>
              <w:rPr>
                <w:rFonts w:hint="eastAsia"/>
                <w:kern w:val="2"/>
                <w:szCs w:val="21"/>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2" w:type="dxa"/>
            <w:vMerge w:val="continue"/>
          </w:tcPr>
          <w:p>
            <w:pPr>
              <w:pStyle w:val="26"/>
              <w:rPr>
                <w:kern w:val="2"/>
                <w:szCs w:val="21"/>
                <w:lang w:val="en-US" w:eastAsia="zh-CN"/>
              </w:rPr>
            </w:pPr>
          </w:p>
        </w:tc>
        <w:tc>
          <w:tcPr>
            <w:tcW w:w="1642" w:type="dxa"/>
          </w:tcPr>
          <w:p>
            <w:pPr>
              <w:pStyle w:val="26"/>
              <w:rPr>
                <w:kern w:val="2"/>
                <w:szCs w:val="21"/>
                <w:lang w:val="en-US" w:eastAsia="zh-CN"/>
              </w:rPr>
            </w:pPr>
            <w:r>
              <w:rPr>
                <w:kern w:val="2"/>
                <w:szCs w:val="21"/>
                <w:lang w:val="en-US" w:eastAsia="zh-CN"/>
              </w:rPr>
              <w:t>7</w:t>
            </w:r>
            <w:r>
              <w:rPr>
                <w:rFonts w:hint="eastAsia"/>
                <w:kern w:val="2"/>
                <w:szCs w:val="21"/>
                <w:lang w:val="en-US" w:eastAsia="zh-CN"/>
              </w:rPr>
              <w:t>月</w:t>
            </w:r>
            <w:r>
              <w:rPr>
                <w:kern w:val="2"/>
                <w:szCs w:val="21"/>
                <w:lang w:val="en-US" w:eastAsia="zh-CN"/>
              </w:rPr>
              <w:t>6</w:t>
            </w:r>
            <w:r>
              <w:rPr>
                <w:rFonts w:hint="eastAsia"/>
                <w:kern w:val="2"/>
                <w:szCs w:val="21"/>
                <w:lang w:val="en-US" w:eastAsia="zh-CN"/>
              </w:rPr>
              <w:t>日昼间</w:t>
            </w:r>
          </w:p>
        </w:tc>
        <w:tc>
          <w:tcPr>
            <w:tcW w:w="1642" w:type="dxa"/>
          </w:tcPr>
          <w:p>
            <w:pPr>
              <w:pStyle w:val="26"/>
              <w:rPr>
                <w:kern w:val="2"/>
                <w:szCs w:val="21"/>
                <w:lang w:val="en-US" w:eastAsia="zh-CN"/>
              </w:rPr>
            </w:pPr>
            <w:r>
              <w:rPr>
                <w:kern w:val="2"/>
                <w:szCs w:val="21"/>
                <w:lang w:val="en-US" w:eastAsia="zh-CN"/>
              </w:rPr>
              <w:t>7</w:t>
            </w:r>
            <w:r>
              <w:rPr>
                <w:rFonts w:hint="eastAsia"/>
                <w:kern w:val="2"/>
                <w:szCs w:val="21"/>
                <w:lang w:val="en-US" w:eastAsia="zh-CN"/>
              </w:rPr>
              <w:t>月</w:t>
            </w:r>
            <w:r>
              <w:rPr>
                <w:kern w:val="2"/>
                <w:szCs w:val="21"/>
                <w:lang w:val="en-US" w:eastAsia="zh-CN"/>
              </w:rPr>
              <w:t>6</w:t>
            </w:r>
            <w:r>
              <w:rPr>
                <w:rFonts w:hint="eastAsia"/>
                <w:kern w:val="2"/>
                <w:szCs w:val="21"/>
                <w:lang w:val="en-US" w:eastAsia="zh-CN"/>
              </w:rPr>
              <w:t>日夜间</w:t>
            </w:r>
          </w:p>
        </w:tc>
        <w:tc>
          <w:tcPr>
            <w:tcW w:w="1642" w:type="dxa"/>
          </w:tcPr>
          <w:p>
            <w:pPr>
              <w:pStyle w:val="26"/>
              <w:rPr>
                <w:kern w:val="2"/>
                <w:szCs w:val="21"/>
                <w:lang w:val="en-US" w:eastAsia="zh-CN"/>
              </w:rPr>
            </w:pPr>
            <w:r>
              <w:rPr>
                <w:kern w:val="2"/>
                <w:szCs w:val="21"/>
                <w:lang w:val="en-US" w:eastAsia="zh-CN"/>
              </w:rPr>
              <w:t>7</w:t>
            </w:r>
            <w:r>
              <w:rPr>
                <w:rFonts w:hint="eastAsia"/>
                <w:kern w:val="2"/>
                <w:szCs w:val="21"/>
                <w:lang w:val="en-US" w:eastAsia="zh-CN"/>
              </w:rPr>
              <w:t>月</w:t>
            </w:r>
            <w:r>
              <w:rPr>
                <w:kern w:val="2"/>
                <w:szCs w:val="21"/>
                <w:lang w:val="en-US" w:eastAsia="zh-CN"/>
              </w:rPr>
              <w:t>7</w:t>
            </w:r>
            <w:r>
              <w:rPr>
                <w:rFonts w:hint="eastAsia"/>
                <w:kern w:val="2"/>
                <w:szCs w:val="21"/>
                <w:lang w:val="en-US" w:eastAsia="zh-CN"/>
              </w:rPr>
              <w:t>日昼间</w:t>
            </w:r>
          </w:p>
        </w:tc>
        <w:tc>
          <w:tcPr>
            <w:tcW w:w="1643" w:type="dxa"/>
          </w:tcPr>
          <w:p>
            <w:pPr>
              <w:pStyle w:val="26"/>
              <w:rPr>
                <w:kern w:val="2"/>
                <w:szCs w:val="21"/>
                <w:lang w:val="en-US" w:eastAsia="zh-CN"/>
              </w:rPr>
            </w:pPr>
            <w:r>
              <w:rPr>
                <w:kern w:val="2"/>
                <w:szCs w:val="21"/>
                <w:lang w:val="en-US" w:eastAsia="zh-CN"/>
              </w:rPr>
              <w:t>7</w:t>
            </w:r>
            <w:r>
              <w:rPr>
                <w:rFonts w:hint="eastAsia"/>
                <w:kern w:val="2"/>
                <w:szCs w:val="21"/>
                <w:lang w:val="en-US" w:eastAsia="zh-CN"/>
              </w:rPr>
              <w:t>月</w:t>
            </w:r>
            <w:r>
              <w:rPr>
                <w:kern w:val="2"/>
                <w:szCs w:val="21"/>
                <w:lang w:val="en-US" w:eastAsia="zh-CN"/>
              </w:rPr>
              <w:t>7</w:t>
            </w:r>
            <w:r>
              <w:rPr>
                <w:rFonts w:hint="eastAsia"/>
                <w:kern w:val="2"/>
                <w:szCs w:val="21"/>
                <w:lang w:val="en-US" w:eastAsia="zh-CN"/>
              </w:rPr>
              <w:t>日夜间</w:t>
            </w:r>
          </w:p>
        </w:tc>
        <w:tc>
          <w:tcPr>
            <w:tcW w:w="1643" w:type="dxa"/>
            <w:vMerge w:val="continue"/>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2" w:type="dxa"/>
          </w:tcPr>
          <w:p>
            <w:pPr>
              <w:pStyle w:val="26"/>
              <w:rPr>
                <w:kern w:val="2"/>
                <w:szCs w:val="21"/>
                <w:lang w:val="en-US" w:eastAsia="zh-CN"/>
              </w:rPr>
            </w:pPr>
            <w:r>
              <w:rPr>
                <w:rFonts w:hint="eastAsia"/>
                <w:kern w:val="2"/>
                <w:szCs w:val="21"/>
                <w:lang w:val="en-US" w:eastAsia="zh-CN"/>
              </w:rPr>
              <w:t>厂界东</w:t>
            </w:r>
          </w:p>
        </w:tc>
        <w:tc>
          <w:tcPr>
            <w:tcW w:w="1642" w:type="dxa"/>
          </w:tcPr>
          <w:p>
            <w:pPr>
              <w:pStyle w:val="26"/>
              <w:rPr>
                <w:kern w:val="2"/>
                <w:szCs w:val="21"/>
                <w:lang w:val="en-US" w:eastAsia="zh-CN"/>
              </w:rPr>
            </w:pPr>
            <w:r>
              <w:rPr>
                <w:kern w:val="2"/>
                <w:szCs w:val="21"/>
                <w:lang w:val="en-US" w:eastAsia="zh-CN"/>
              </w:rPr>
              <w:t>59.4</w:t>
            </w:r>
          </w:p>
        </w:tc>
        <w:tc>
          <w:tcPr>
            <w:tcW w:w="1642" w:type="dxa"/>
          </w:tcPr>
          <w:p>
            <w:pPr>
              <w:pStyle w:val="26"/>
              <w:rPr>
                <w:kern w:val="2"/>
                <w:szCs w:val="21"/>
                <w:lang w:val="en-US" w:eastAsia="zh-CN"/>
              </w:rPr>
            </w:pPr>
            <w:r>
              <w:rPr>
                <w:kern w:val="2"/>
                <w:szCs w:val="21"/>
                <w:lang w:val="en-US" w:eastAsia="zh-CN"/>
              </w:rPr>
              <w:t>46.7</w:t>
            </w:r>
          </w:p>
        </w:tc>
        <w:tc>
          <w:tcPr>
            <w:tcW w:w="1642" w:type="dxa"/>
            <w:vAlign w:val="center"/>
          </w:tcPr>
          <w:p>
            <w:pPr>
              <w:pStyle w:val="26"/>
              <w:rPr>
                <w:kern w:val="2"/>
                <w:szCs w:val="21"/>
                <w:lang w:val="en-US" w:eastAsia="zh-CN"/>
              </w:rPr>
            </w:pPr>
            <w:r>
              <w:rPr>
                <w:kern w:val="2"/>
                <w:szCs w:val="21"/>
                <w:lang w:val="en-US" w:eastAsia="zh-CN"/>
              </w:rPr>
              <w:t>58.1</w:t>
            </w:r>
          </w:p>
        </w:tc>
        <w:tc>
          <w:tcPr>
            <w:tcW w:w="1643" w:type="dxa"/>
            <w:vAlign w:val="center"/>
          </w:tcPr>
          <w:p>
            <w:pPr>
              <w:pStyle w:val="26"/>
              <w:rPr>
                <w:kern w:val="2"/>
                <w:szCs w:val="21"/>
                <w:lang w:val="en-US" w:eastAsia="zh-CN"/>
              </w:rPr>
            </w:pPr>
            <w:r>
              <w:rPr>
                <w:kern w:val="2"/>
                <w:szCs w:val="21"/>
                <w:lang w:val="en-US" w:eastAsia="zh-CN"/>
              </w:rPr>
              <w:t>45.8</w:t>
            </w:r>
          </w:p>
        </w:tc>
        <w:tc>
          <w:tcPr>
            <w:tcW w:w="1643" w:type="dxa"/>
            <w:vMerge w:val="restart"/>
          </w:tcPr>
          <w:p>
            <w:pPr>
              <w:pStyle w:val="26"/>
              <w:rPr>
                <w:kern w:val="2"/>
                <w:szCs w:val="21"/>
                <w:lang w:val="en-US" w:eastAsia="zh-CN"/>
              </w:rPr>
            </w:pPr>
            <w:r>
              <w:rPr>
                <w:rFonts w:hint="eastAsia"/>
                <w:kern w:val="2"/>
                <w:szCs w:val="21"/>
                <w:lang w:val="en-US" w:eastAsia="zh-CN"/>
              </w:rPr>
              <w:t>昼间≤</w:t>
            </w:r>
            <w:r>
              <w:rPr>
                <w:kern w:val="2"/>
                <w:szCs w:val="21"/>
                <w:lang w:val="en-US" w:eastAsia="zh-CN"/>
              </w:rPr>
              <w:t>65</w:t>
            </w:r>
          </w:p>
          <w:p>
            <w:pPr>
              <w:pStyle w:val="26"/>
              <w:rPr>
                <w:kern w:val="2"/>
                <w:szCs w:val="21"/>
                <w:lang w:val="en-US" w:eastAsia="zh-CN"/>
              </w:rPr>
            </w:pPr>
            <w:r>
              <w:rPr>
                <w:rFonts w:hint="eastAsia"/>
                <w:kern w:val="2"/>
                <w:szCs w:val="21"/>
                <w:lang w:val="en-US" w:eastAsia="zh-CN"/>
              </w:rPr>
              <w:t>夜间≤</w:t>
            </w:r>
            <w:r>
              <w:rPr>
                <w:kern w:val="2"/>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2" w:type="dxa"/>
          </w:tcPr>
          <w:p>
            <w:pPr>
              <w:pStyle w:val="26"/>
              <w:rPr>
                <w:kern w:val="2"/>
                <w:szCs w:val="21"/>
                <w:lang w:val="en-US" w:eastAsia="zh-CN"/>
              </w:rPr>
            </w:pPr>
            <w:r>
              <w:rPr>
                <w:rFonts w:hint="eastAsia"/>
                <w:kern w:val="2"/>
                <w:szCs w:val="21"/>
                <w:lang w:val="en-US" w:eastAsia="zh-CN"/>
              </w:rPr>
              <w:t>厂界南</w:t>
            </w:r>
          </w:p>
        </w:tc>
        <w:tc>
          <w:tcPr>
            <w:tcW w:w="1642" w:type="dxa"/>
          </w:tcPr>
          <w:p>
            <w:pPr>
              <w:pStyle w:val="26"/>
              <w:rPr>
                <w:kern w:val="2"/>
                <w:szCs w:val="21"/>
                <w:lang w:val="en-US" w:eastAsia="zh-CN"/>
              </w:rPr>
            </w:pPr>
            <w:r>
              <w:rPr>
                <w:kern w:val="2"/>
                <w:szCs w:val="21"/>
                <w:lang w:val="en-US" w:eastAsia="zh-CN"/>
              </w:rPr>
              <w:t>58.5</w:t>
            </w:r>
          </w:p>
        </w:tc>
        <w:tc>
          <w:tcPr>
            <w:tcW w:w="1642" w:type="dxa"/>
          </w:tcPr>
          <w:p>
            <w:pPr>
              <w:pStyle w:val="26"/>
              <w:rPr>
                <w:kern w:val="2"/>
                <w:szCs w:val="21"/>
                <w:lang w:val="en-US" w:eastAsia="zh-CN"/>
              </w:rPr>
            </w:pPr>
            <w:r>
              <w:rPr>
                <w:kern w:val="2"/>
                <w:szCs w:val="21"/>
                <w:lang w:val="en-US" w:eastAsia="zh-CN"/>
              </w:rPr>
              <w:t>48.0</w:t>
            </w:r>
          </w:p>
        </w:tc>
        <w:tc>
          <w:tcPr>
            <w:tcW w:w="1642" w:type="dxa"/>
            <w:vAlign w:val="center"/>
          </w:tcPr>
          <w:p>
            <w:pPr>
              <w:pStyle w:val="26"/>
              <w:rPr>
                <w:kern w:val="2"/>
                <w:szCs w:val="21"/>
                <w:lang w:val="en-US" w:eastAsia="zh-CN"/>
              </w:rPr>
            </w:pPr>
            <w:r>
              <w:rPr>
                <w:kern w:val="2"/>
                <w:szCs w:val="21"/>
                <w:lang w:val="en-US" w:eastAsia="zh-CN"/>
              </w:rPr>
              <w:t>58.8</w:t>
            </w:r>
          </w:p>
        </w:tc>
        <w:tc>
          <w:tcPr>
            <w:tcW w:w="1643" w:type="dxa"/>
            <w:vAlign w:val="center"/>
          </w:tcPr>
          <w:p>
            <w:pPr>
              <w:pStyle w:val="26"/>
              <w:rPr>
                <w:kern w:val="2"/>
                <w:szCs w:val="21"/>
                <w:lang w:val="en-US" w:eastAsia="zh-CN"/>
              </w:rPr>
            </w:pPr>
            <w:r>
              <w:rPr>
                <w:kern w:val="2"/>
                <w:szCs w:val="21"/>
                <w:lang w:val="en-US" w:eastAsia="zh-CN"/>
              </w:rPr>
              <w:t>47.0</w:t>
            </w:r>
          </w:p>
        </w:tc>
        <w:tc>
          <w:tcPr>
            <w:tcW w:w="1643" w:type="dxa"/>
            <w:vMerge w:val="continue"/>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2" w:type="dxa"/>
          </w:tcPr>
          <w:p>
            <w:pPr>
              <w:pStyle w:val="26"/>
              <w:rPr>
                <w:kern w:val="2"/>
                <w:szCs w:val="21"/>
                <w:lang w:val="en-US" w:eastAsia="zh-CN"/>
              </w:rPr>
            </w:pPr>
            <w:r>
              <w:rPr>
                <w:rFonts w:hint="eastAsia"/>
                <w:kern w:val="2"/>
                <w:szCs w:val="21"/>
                <w:lang w:val="en-US" w:eastAsia="zh-CN"/>
              </w:rPr>
              <w:t>厂界西</w:t>
            </w:r>
          </w:p>
        </w:tc>
        <w:tc>
          <w:tcPr>
            <w:tcW w:w="1642" w:type="dxa"/>
          </w:tcPr>
          <w:p>
            <w:pPr>
              <w:pStyle w:val="26"/>
              <w:rPr>
                <w:kern w:val="2"/>
                <w:szCs w:val="21"/>
                <w:lang w:val="en-US" w:eastAsia="zh-CN"/>
              </w:rPr>
            </w:pPr>
            <w:r>
              <w:rPr>
                <w:kern w:val="2"/>
                <w:szCs w:val="21"/>
                <w:lang w:val="en-US" w:eastAsia="zh-CN"/>
              </w:rPr>
              <w:t>57.5</w:t>
            </w:r>
          </w:p>
        </w:tc>
        <w:tc>
          <w:tcPr>
            <w:tcW w:w="1642" w:type="dxa"/>
          </w:tcPr>
          <w:p>
            <w:pPr>
              <w:pStyle w:val="26"/>
              <w:rPr>
                <w:kern w:val="2"/>
                <w:szCs w:val="21"/>
                <w:lang w:val="en-US" w:eastAsia="zh-CN"/>
              </w:rPr>
            </w:pPr>
            <w:r>
              <w:rPr>
                <w:kern w:val="2"/>
                <w:szCs w:val="21"/>
                <w:lang w:val="en-US" w:eastAsia="zh-CN"/>
              </w:rPr>
              <w:t>48.9</w:t>
            </w:r>
          </w:p>
        </w:tc>
        <w:tc>
          <w:tcPr>
            <w:tcW w:w="1642" w:type="dxa"/>
            <w:vAlign w:val="center"/>
          </w:tcPr>
          <w:p>
            <w:pPr>
              <w:pStyle w:val="26"/>
              <w:rPr>
                <w:kern w:val="2"/>
                <w:szCs w:val="21"/>
                <w:lang w:val="en-US" w:eastAsia="zh-CN"/>
              </w:rPr>
            </w:pPr>
            <w:r>
              <w:rPr>
                <w:kern w:val="2"/>
                <w:szCs w:val="21"/>
                <w:lang w:val="en-US" w:eastAsia="zh-CN"/>
              </w:rPr>
              <w:t>57.0</w:t>
            </w:r>
          </w:p>
        </w:tc>
        <w:tc>
          <w:tcPr>
            <w:tcW w:w="1643" w:type="dxa"/>
            <w:vAlign w:val="center"/>
          </w:tcPr>
          <w:p>
            <w:pPr>
              <w:pStyle w:val="26"/>
              <w:rPr>
                <w:kern w:val="2"/>
                <w:szCs w:val="21"/>
                <w:lang w:val="en-US" w:eastAsia="zh-CN"/>
              </w:rPr>
            </w:pPr>
            <w:r>
              <w:rPr>
                <w:kern w:val="2"/>
                <w:szCs w:val="21"/>
                <w:lang w:val="en-US" w:eastAsia="zh-CN"/>
              </w:rPr>
              <w:t>47.1</w:t>
            </w:r>
          </w:p>
        </w:tc>
        <w:tc>
          <w:tcPr>
            <w:tcW w:w="1643" w:type="dxa"/>
            <w:vMerge w:val="continue"/>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2" w:type="dxa"/>
          </w:tcPr>
          <w:p>
            <w:pPr>
              <w:pStyle w:val="26"/>
              <w:rPr>
                <w:kern w:val="2"/>
                <w:szCs w:val="21"/>
                <w:lang w:val="en-US" w:eastAsia="zh-CN"/>
              </w:rPr>
            </w:pPr>
            <w:r>
              <w:rPr>
                <w:rFonts w:hint="eastAsia"/>
                <w:kern w:val="2"/>
                <w:szCs w:val="21"/>
                <w:lang w:val="en-US" w:eastAsia="zh-CN"/>
              </w:rPr>
              <w:t>厂界北</w:t>
            </w:r>
          </w:p>
        </w:tc>
        <w:tc>
          <w:tcPr>
            <w:tcW w:w="1642" w:type="dxa"/>
          </w:tcPr>
          <w:p>
            <w:pPr>
              <w:pStyle w:val="26"/>
              <w:rPr>
                <w:kern w:val="2"/>
                <w:szCs w:val="21"/>
                <w:lang w:val="en-US" w:eastAsia="zh-CN"/>
              </w:rPr>
            </w:pPr>
            <w:r>
              <w:rPr>
                <w:kern w:val="2"/>
                <w:szCs w:val="21"/>
                <w:lang w:val="en-US" w:eastAsia="zh-CN"/>
              </w:rPr>
              <w:t>58.8</w:t>
            </w:r>
          </w:p>
        </w:tc>
        <w:tc>
          <w:tcPr>
            <w:tcW w:w="1642" w:type="dxa"/>
          </w:tcPr>
          <w:p>
            <w:pPr>
              <w:pStyle w:val="26"/>
              <w:rPr>
                <w:kern w:val="2"/>
                <w:szCs w:val="21"/>
                <w:lang w:val="en-US" w:eastAsia="zh-CN"/>
              </w:rPr>
            </w:pPr>
            <w:r>
              <w:rPr>
                <w:kern w:val="2"/>
                <w:szCs w:val="21"/>
                <w:lang w:val="en-US" w:eastAsia="zh-CN"/>
              </w:rPr>
              <w:t>48.6</w:t>
            </w:r>
          </w:p>
        </w:tc>
        <w:tc>
          <w:tcPr>
            <w:tcW w:w="1642" w:type="dxa"/>
            <w:vAlign w:val="center"/>
          </w:tcPr>
          <w:p>
            <w:pPr>
              <w:pStyle w:val="26"/>
              <w:rPr>
                <w:kern w:val="2"/>
                <w:szCs w:val="21"/>
                <w:lang w:val="en-US" w:eastAsia="zh-CN"/>
              </w:rPr>
            </w:pPr>
            <w:r>
              <w:rPr>
                <w:kern w:val="2"/>
                <w:szCs w:val="21"/>
                <w:lang w:val="en-US" w:eastAsia="zh-CN"/>
              </w:rPr>
              <w:t>58.9</w:t>
            </w:r>
          </w:p>
        </w:tc>
        <w:tc>
          <w:tcPr>
            <w:tcW w:w="1643" w:type="dxa"/>
            <w:vAlign w:val="center"/>
          </w:tcPr>
          <w:p>
            <w:pPr>
              <w:pStyle w:val="26"/>
              <w:rPr>
                <w:kern w:val="2"/>
                <w:szCs w:val="21"/>
                <w:lang w:val="en-US" w:eastAsia="zh-CN"/>
              </w:rPr>
            </w:pPr>
            <w:r>
              <w:rPr>
                <w:kern w:val="2"/>
                <w:szCs w:val="21"/>
                <w:lang w:val="en-US" w:eastAsia="zh-CN"/>
              </w:rPr>
              <w:t>47.8</w:t>
            </w:r>
          </w:p>
        </w:tc>
        <w:tc>
          <w:tcPr>
            <w:tcW w:w="1643" w:type="dxa"/>
            <w:vMerge w:val="continue"/>
          </w:tcPr>
          <w:p>
            <w:pPr>
              <w:pStyle w:val="26"/>
              <w:rPr>
                <w:kern w:val="2"/>
                <w:szCs w:val="21"/>
                <w:lang w:val="en-US" w:eastAsia="zh-CN"/>
              </w:rPr>
            </w:pPr>
          </w:p>
        </w:tc>
      </w:tr>
    </w:tbl>
    <w:p>
      <w:pPr>
        <w:ind w:firstLine="480"/>
        <w:rPr>
          <w:rFonts w:hAnsi="宋体"/>
        </w:rPr>
      </w:pPr>
      <w:r>
        <w:rPr>
          <w:rFonts w:hint="eastAsia" w:hAnsi="宋体"/>
        </w:rPr>
        <w:t>根据上表监测结果，四周厂界昼间、夜间均达到《工业企业厂界环境噪声排放标准》（</w:t>
      </w:r>
      <w:r>
        <w:rPr>
          <w:rFonts w:hAnsi="宋体"/>
        </w:rPr>
        <w:t>GB 12348-2008</w:t>
      </w:r>
      <w:r>
        <w:rPr>
          <w:rFonts w:hint="eastAsia" w:hAnsi="宋体"/>
        </w:rPr>
        <w:t>）中的相应标准要求。</w:t>
      </w:r>
    </w:p>
    <w:p>
      <w:pPr>
        <w:ind w:firstLine="480"/>
        <w:rPr>
          <w:rFonts w:hAnsi="宋体"/>
        </w:rPr>
      </w:pPr>
      <w:r>
        <w:rPr>
          <w:rFonts w:hAnsi="宋体"/>
        </w:rPr>
        <w:t>4</w:t>
      </w:r>
      <w:r>
        <w:rPr>
          <w:rFonts w:hint="eastAsia" w:hAnsi="宋体"/>
        </w:rPr>
        <w:t>、固废</w:t>
      </w:r>
    </w:p>
    <w:p>
      <w:pPr>
        <w:ind w:firstLine="480"/>
      </w:pPr>
      <w:r>
        <w:rPr>
          <w:rFonts w:hint="eastAsia"/>
        </w:rPr>
        <w:t>原有工程固体废物来源主要为纺纱车间、织布车间、印染车间和员工日常生活。</w:t>
      </w:r>
    </w:p>
    <w:p>
      <w:pPr>
        <w:ind w:firstLine="480"/>
      </w:pPr>
      <w:r>
        <w:rPr>
          <w:rFonts w:hint="eastAsia"/>
        </w:rPr>
        <w:t>1</w:t>
      </w:r>
      <w:r>
        <w:rPr>
          <w:rFonts w:hint="eastAsia"/>
          <w:lang w:eastAsia="zh-CN"/>
        </w:rPr>
        <w:t>）</w:t>
      </w:r>
      <w:r>
        <w:rPr>
          <w:rFonts w:hint="eastAsia"/>
        </w:rPr>
        <w:t>、纺纱车间</w:t>
      </w:r>
    </w:p>
    <w:p>
      <w:pPr>
        <w:ind w:firstLine="480"/>
      </w:pPr>
      <w:r>
        <w:rPr>
          <w:rFonts w:hint="eastAsia"/>
        </w:rPr>
        <w:t>纺纱车间固废主要有废弃原料、杂质、普通包装材料。根据企业生产实际情况，棉麻原材料损失约为原材料的0.1%，则废弃原料约为1t/a、原料内杂质约为2t/a； 废弃包装材料主要为包装袋，属于一般固废，产生量约为1.0t/a。</w:t>
      </w:r>
    </w:p>
    <w:p>
      <w:pPr>
        <w:ind w:firstLine="480"/>
      </w:pPr>
      <w:r>
        <w:rPr>
          <w:rFonts w:hint="eastAsia"/>
        </w:rPr>
        <w:t>2</w:t>
      </w:r>
      <w:r>
        <w:rPr>
          <w:rFonts w:hint="eastAsia"/>
          <w:lang w:eastAsia="zh-CN"/>
        </w:rPr>
        <w:t>）</w:t>
      </w:r>
      <w:r>
        <w:rPr>
          <w:rFonts w:hint="eastAsia"/>
        </w:rPr>
        <w:t>、织布车间</w:t>
      </w:r>
    </w:p>
    <w:p>
      <w:pPr>
        <w:ind w:firstLine="480"/>
      </w:pPr>
      <w:r>
        <w:rPr>
          <w:rFonts w:hint="eastAsia"/>
        </w:rPr>
        <w:t>由于现阶段织布车间已停产，本次固废情况参照停产前的情况进行分析。根据企业提供资料，织布车间固废主要为废弃棉线、车间内自然沉降的粉尘。根据企业生产实际情况，原材料损失约为原材料的0.1%，则废弃棉线为16t/a、粉尘量约为2t/a。</w:t>
      </w:r>
    </w:p>
    <w:p>
      <w:pPr>
        <w:ind w:firstLine="480"/>
      </w:pPr>
      <w:r>
        <w:rPr>
          <w:rFonts w:hint="eastAsia"/>
        </w:rPr>
        <w:t>3</w:t>
      </w:r>
      <w:r>
        <w:rPr>
          <w:rFonts w:hint="eastAsia"/>
          <w:lang w:eastAsia="zh-CN"/>
        </w:rPr>
        <w:t>）</w:t>
      </w:r>
      <w:r>
        <w:rPr>
          <w:rFonts w:hint="eastAsia"/>
        </w:rPr>
        <w:t>、印染车间</w:t>
      </w:r>
    </w:p>
    <w:p>
      <w:pPr>
        <w:ind w:firstLine="480"/>
      </w:pPr>
      <w:r>
        <w:rPr>
          <w:rFonts w:hint="eastAsia"/>
        </w:rPr>
        <w:t>印染车间固废主要为废包装材料、不合格产品、煤渣、污泥等。</w:t>
      </w:r>
    </w:p>
    <w:p>
      <w:pPr>
        <w:ind w:firstLine="480"/>
      </w:pPr>
      <w:r>
        <w:rPr>
          <w:rFonts w:hint="eastAsia"/>
        </w:rPr>
        <w:t>根据企业提供资料，不合格产品为8.4t/a，作为次品外售；废包装材料产生量为4.2t/a，其中普通废包装材料4t/a、含危化品包装材料为0.2t/a，普通包装材料外售后综合利用，含危化品包装材料集中收集处理；煤渣产生量为240t/a，外售综合利用，如铺路等；污水处理站产生污泥含有染料，属于危废，产生量为550t/a。</w:t>
      </w:r>
    </w:p>
    <w:p>
      <w:pPr>
        <w:ind w:firstLine="480"/>
      </w:pPr>
      <w:r>
        <w:rPr>
          <w:rFonts w:hint="eastAsia"/>
        </w:rPr>
        <w:t>4</w:t>
      </w:r>
      <w:r>
        <w:rPr>
          <w:rFonts w:hint="eastAsia"/>
          <w:lang w:eastAsia="zh-CN"/>
        </w:rPr>
        <w:t>）</w:t>
      </w:r>
      <w:r>
        <w:rPr>
          <w:rFonts w:hint="eastAsia"/>
        </w:rPr>
        <w:t>、生活垃圾</w:t>
      </w:r>
    </w:p>
    <w:p>
      <w:pPr>
        <w:ind w:firstLine="480"/>
      </w:pPr>
      <w:r>
        <w:rPr>
          <w:rFonts w:hint="eastAsia"/>
        </w:rPr>
        <w:t>原有工程印染车间、纺纱车间、织布车间均达标生产时，厂区内职工人数为4500人。生活垃圾按照1kg/d·人计，则厂区生活垃圾产生量为1350t/a。生活垃圾集中收集后交由环卫部门统一处理。</w:t>
      </w:r>
    </w:p>
    <w:p>
      <w:pPr>
        <w:pStyle w:val="4"/>
      </w:pPr>
      <w:r>
        <w:rPr>
          <w:rFonts w:hint="eastAsia"/>
        </w:rPr>
        <w:t>现有工程污染源强排放汇总</w:t>
      </w:r>
    </w:p>
    <w:p>
      <w:pPr>
        <w:pStyle w:val="26"/>
        <w:rPr>
          <w:b/>
          <w:bCs/>
        </w:rPr>
      </w:pPr>
      <w:r>
        <w:rPr>
          <w:rFonts w:hint="eastAsia"/>
          <w:b/>
          <w:bCs/>
        </w:rPr>
        <w:t>表</w:t>
      </w:r>
      <w:r>
        <w:rPr>
          <w:b/>
          <w:bCs/>
        </w:rPr>
        <w:t xml:space="preserve">4.4-2    </w:t>
      </w:r>
      <w:r>
        <w:rPr>
          <w:rFonts w:hint="eastAsia"/>
          <w:b/>
          <w:bCs/>
        </w:rPr>
        <w:t>原有项目企业污染源强汇总表</w:t>
      </w:r>
    </w:p>
    <w:tbl>
      <w:tblPr>
        <w:tblStyle w:val="23"/>
        <w:tblW w:w="9708"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6"/>
        <w:gridCol w:w="2062"/>
        <w:gridCol w:w="1136"/>
        <w:gridCol w:w="1621"/>
        <w:gridCol w:w="2208"/>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26" w:hRule="atLeast"/>
          <w:tblHeader/>
          <w:jc w:val="center"/>
        </w:trPr>
        <w:tc>
          <w:tcPr>
            <w:tcW w:w="1136" w:type="dxa"/>
            <w:tcBorders>
              <w:tl2br w:val="single" w:color="auto" w:sz="4" w:space="0"/>
            </w:tcBorders>
            <w:vAlign w:val="center"/>
          </w:tcPr>
          <w:p>
            <w:pPr>
              <w:pStyle w:val="26"/>
              <w:spacing w:line="240" w:lineRule="auto"/>
              <w:jc w:val="right"/>
              <w:rPr>
                <w:kern w:val="2"/>
                <w:szCs w:val="21"/>
                <w:lang w:val="en-US" w:eastAsia="zh-CN"/>
              </w:rPr>
            </w:pPr>
            <w:r>
              <w:rPr>
                <w:rFonts w:hint="eastAsia"/>
                <w:kern w:val="2"/>
                <w:szCs w:val="21"/>
                <w:lang w:val="en-US" w:eastAsia="zh-CN"/>
              </w:rPr>
              <w:t>内容</w:t>
            </w:r>
          </w:p>
          <w:p>
            <w:pPr>
              <w:pStyle w:val="26"/>
              <w:spacing w:line="240" w:lineRule="auto"/>
              <w:jc w:val="left"/>
              <w:rPr>
                <w:kern w:val="2"/>
                <w:szCs w:val="21"/>
                <w:lang w:val="en-US" w:eastAsia="zh-CN"/>
              </w:rPr>
            </w:pPr>
            <w:r>
              <w:rPr>
                <w:rFonts w:hint="eastAsia"/>
                <w:kern w:val="2"/>
                <w:szCs w:val="21"/>
                <w:lang w:val="en-US" w:eastAsia="zh-CN"/>
              </w:rPr>
              <w:t>类型</w:t>
            </w:r>
          </w:p>
        </w:tc>
        <w:tc>
          <w:tcPr>
            <w:tcW w:w="2062" w:type="dxa"/>
            <w:vAlign w:val="center"/>
          </w:tcPr>
          <w:p>
            <w:pPr>
              <w:pStyle w:val="26"/>
              <w:rPr>
                <w:kern w:val="2"/>
                <w:szCs w:val="21"/>
                <w:lang w:val="en-US" w:eastAsia="zh-CN"/>
              </w:rPr>
            </w:pPr>
            <w:r>
              <w:rPr>
                <w:rFonts w:hint="eastAsia"/>
                <w:kern w:val="2"/>
                <w:szCs w:val="21"/>
                <w:lang w:val="en-US" w:eastAsia="zh-CN"/>
              </w:rPr>
              <w:t>排放源</w:t>
            </w:r>
          </w:p>
        </w:tc>
        <w:tc>
          <w:tcPr>
            <w:tcW w:w="2757" w:type="dxa"/>
            <w:gridSpan w:val="2"/>
            <w:vAlign w:val="center"/>
          </w:tcPr>
          <w:p>
            <w:pPr>
              <w:pStyle w:val="26"/>
              <w:rPr>
                <w:kern w:val="2"/>
                <w:szCs w:val="21"/>
                <w:lang w:val="en-US" w:eastAsia="zh-CN"/>
              </w:rPr>
            </w:pPr>
            <w:r>
              <w:rPr>
                <w:rFonts w:hint="eastAsia"/>
                <w:kern w:val="2"/>
                <w:szCs w:val="21"/>
                <w:lang w:val="en-US" w:eastAsia="zh-CN"/>
              </w:rPr>
              <w:t>污染物名称</w:t>
            </w:r>
          </w:p>
        </w:tc>
        <w:tc>
          <w:tcPr>
            <w:tcW w:w="2208" w:type="dxa"/>
            <w:vAlign w:val="center"/>
          </w:tcPr>
          <w:p>
            <w:pPr>
              <w:pStyle w:val="26"/>
              <w:rPr>
                <w:kern w:val="2"/>
                <w:szCs w:val="21"/>
                <w:lang w:val="en-US" w:eastAsia="zh-CN"/>
              </w:rPr>
            </w:pPr>
            <w:r>
              <w:rPr>
                <w:rFonts w:hint="eastAsia"/>
                <w:kern w:val="2"/>
                <w:szCs w:val="21"/>
                <w:lang w:val="en-US" w:eastAsia="zh-CN"/>
              </w:rPr>
              <w:t>排放量</w:t>
            </w:r>
          </w:p>
        </w:tc>
        <w:tc>
          <w:tcPr>
            <w:tcW w:w="1545" w:type="dxa"/>
            <w:vAlign w:val="center"/>
          </w:tcPr>
          <w:p>
            <w:pPr>
              <w:pStyle w:val="26"/>
              <w:rPr>
                <w:kern w:val="2"/>
                <w:szCs w:val="21"/>
                <w:lang w:val="en-US" w:eastAsia="zh-CN"/>
              </w:rPr>
            </w:pPr>
            <w:r>
              <w:rPr>
                <w:rFonts w:hint="eastAsia"/>
                <w:kern w:val="2"/>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76" w:hRule="atLeast"/>
          <w:jc w:val="center"/>
        </w:trPr>
        <w:tc>
          <w:tcPr>
            <w:tcW w:w="1136" w:type="dxa"/>
            <w:vMerge w:val="restart"/>
            <w:vAlign w:val="center"/>
          </w:tcPr>
          <w:p>
            <w:pPr>
              <w:pStyle w:val="26"/>
              <w:rPr>
                <w:kern w:val="2"/>
                <w:szCs w:val="21"/>
                <w:lang w:val="en-US" w:eastAsia="zh-CN"/>
              </w:rPr>
            </w:pPr>
            <w:r>
              <w:rPr>
                <w:rFonts w:hint="eastAsia"/>
                <w:kern w:val="2"/>
                <w:szCs w:val="21"/>
                <w:lang w:val="en-US" w:eastAsia="zh-CN"/>
              </w:rPr>
              <w:t>大气</w:t>
            </w:r>
          </w:p>
          <w:p>
            <w:pPr>
              <w:pStyle w:val="26"/>
              <w:rPr>
                <w:kern w:val="2"/>
                <w:szCs w:val="21"/>
                <w:lang w:val="en-US" w:eastAsia="zh-CN"/>
              </w:rPr>
            </w:pPr>
            <w:r>
              <w:rPr>
                <w:rFonts w:hint="eastAsia"/>
                <w:kern w:val="2"/>
                <w:szCs w:val="21"/>
                <w:lang w:val="en-US" w:eastAsia="zh-CN"/>
              </w:rPr>
              <w:t>污染</w:t>
            </w:r>
          </w:p>
          <w:p>
            <w:pPr>
              <w:pStyle w:val="26"/>
              <w:rPr>
                <w:kern w:val="2"/>
                <w:szCs w:val="21"/>
                <w:lang w:val="en-US" w:eastAsia="zh-CN"/>
              </w:rPr>
            </w:pPr>
            <w:r>
              <w:rPr>
                <w:rFonts w:hint="eastAsia"/>
                <w:kern w:val="2"/>
                <w:szCs w:val="21"/>
                <w:lang w:val="en-US" w:eastAsia="zh-CN"/>
              </w:rPr>
              <w:t>物</w:t>
            </w:r>
          </w:p>
        </w:tc>
        <w:tc>
          <w:tcPr>
            <w:tcW w:w="2062" w:type="dxa"/>
            <w:vMerge w:val="restart"/>
            <w:vAlign w:val="center"/>
          </w:tcPr>
          <w:p>
            <w:pPr>
              <w:pStyle w:val="26"/>
              <w:rPr>
                <w:kern w:val="2"/>
                <w:szCs w:val="21"/>
                <w:lang w:val="en-US" w:eastAsia="zh-CN"/>
              </w:rPr>
            </w:pPr>
            <w:r>
              <w:rPr>
                <w:rFonts w:hint="eastAsia"/>
                <w:kern w:val="2"/>
                <w:szCs w:val="21"/>
                <w:lang w:val="en-US" w:eastAsia="zh-CN"/>
              </w:rPr>
              <w:t>锅炉废气、烧毛废气</w:t>
            </w:r>
          </w:p>
        </w:tc>
        <w:tc>
          <w:tcPr>
            <w:tcW w:w="2757" w:type="dxa"/>
            <w:gridSpan w:val="2"/>
            <w:vAlign w:val="center"/>
          </w:tcPr>
          <w:p>
            <w:pPr>
              <w:pStyle w:val="26"/>
              <w:rPr>
                <w:kern w:val="2"/>
                <w:szCs w:val="21"/>
                <w:lang w:val="en-US" w:eastAsia="zh-CN"/>
              </w:rPr>
            </w:pPr>
            <w:r>
              <w:rPr>
                <w:kern w:val="2"/>
                <w:szCs w:val="21"/>
                <w:lang w:val="en-US" w:eastAsia="zh-CN"/>
              </w:rPr>
              <w:t>SO</w:t>
            </w:r>
            <w:r>
              <w:rPr>
                <w:kern w:val="2"/>
                <w:szCs w:val="21"/>
                <w:vertAlign w:val="subscript"/>
                <w:lang w:val="en-US" w:eastAsia="zh-CN"/>
              </w:rPr>
              <w:t>2</w:t>
            </w:r>
            <w:r>
              <w:rPr>
                <w:kern w:val="2"/>
                <w:szCs w:val="21"/>
                <w:lang w:val="en-US" w:eastAsia="zh-CN"/>
              </w:rPr>
              <w:t>(t/a)</w:t>
            </w:r>
          </w:p>
        </w:tc>
        <w:tc>
          <w:tcPr>
            <w:tcW w:w="2208" w:type="dxa"/>
            <w:vAlign w:val="center"/>
          </w:tcPr>
          <w:p>
            <w:pPr>
              <w:pStyle w:val="26"/>
              <w:rPr>
                <w:kern w:val="2"/>
                <w:szCs w:val="21"/>
                <w:lang w:val="en-US" w:eastAsia="zh-CN"/>
              </w:rPr>
            </w:pPr>
            <w:r>
              <w:rPr>
                <w:kern w:val="2"/>
                <w:szCs w:val="21"/>
                <w:lang w:val="en-US" w:eastAsia="zh-CN"/>
              </w:rPr>
              <w:t>9.075</w:t>
            </w:r>
          </w:p>
        </w:tc>
        <w:tc>
          <w:tcPr>
            <w:tcW w:w="1545" w:type="dxa"/>
            <w:vMerge w:val="restart"/>
            <w:vAlign w:val="center"/>
          </w:tcPr>
          <w:p>
            <w:pPr>
              <w:pStyle w:val="26"/>
              <w:rPr>
                <w:kern w:val="2"/>
                <w:szCs w:val="21"/>
                <w:lang w:val="en-US" w:eastAsia="zh-CN"/>
              </w:rPr>
            </w:pPr>
            <w:r>
              <w:rPr>
                <w:rFonts w:hint="eastAsia"/>
                <w:kern w:val="2"/>
                <w:szCs w:val="21"/>
                <w:lang w:val="en-US" w:eastAsia="zh-CN"/>
              </w:rPr>
              <w:t>印染生产区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Merge w:val="continue"/>
            <w:vAlign w:val="center"/>
          </w:tcPr>
          <w:p>
            <w:pPr>
              <w:pStyle w:val="26"/>
              <w:rPr>
                <w:kern w:val="2"/>
                <w:szCs w:val="21"/>
                <w:lang w:val="en-US" w:eastAsia="zh-CN"/>
              </w:rPr>
            </w:pPr>
          </w:p>
        </w:tc>
        <w:tc>
          <w:tcPr>
            <w:tcW w:w="2757" w:type="dxa"/>
            <w:gridSpan w:val="2"/>
            <w:vAlign w:val="center"/>
          </w:tcPr>
          <w:p>
            <w:pPr>
              <w:pStyle w:val="26"/>
              <w:rPr>
                <w:kern w:val="2"/>
                <w:szCs w:val="21"/>
                <w:lang w:val="en-US" w:eastAsia="zh-CN"/>
              </w:rPr>
            </w:pPr>
            <w:r>
              <w:rPr>
                <w:kern w:val="2"/>
                <w:szCs w:val="21"/>
                <w:lang w:val="en-US" w:eastAsia="zh-CN"/>
              </w:rPr>
              <w:t>NOx(t/a)</w:t>
            </w:r>
          </w:p>
        </w:tc>
        <w:tc>
          <w:tcPr>
            <w:tcW w:w="2208" w:type="dxa"/>
            <w:vAlign w:val="center"/>
          </w:tcPr>
          <w:p>
            <w:pPr>
              <w:pStyle w:val="26"/>
              <w:rPr>
                <w:kern w:val="2"/>
                <w:szCs w:val="21"/>
                <w:lang w:val="en-US" w:eastAsia="zh-CN"/>
              </w:rPr>
            </w:pPr>
            <w:r>
              <w:rPr>
                <w:kern w:val="2"/>
                <w:szCs w:val="21"/>
                <w:lang w:val="en-US" w:eastAsia="zh-CN"/>
              </w:rPr>
              <w:t>10.270</w:t>
            </w:r>
          </w:p>
        </w:tc>
        <w:tc>
          <w:tcPr>
            <w:tcW w:w="1545"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Merge w:val="continue"/>
            <w:vAlign w:val="center"/>
          </w:tcPr>
          <w:p>
            <w:pPr>
              <w:pStyle w:val="26"/>
              <w:rPr>
                <w:kern w:val="2"/>
                <w:szCs w:val="21"/>
                <w:lang w:val="en-US" w:eastAsia="zh-CN"/>
              </w:rPr>
            </w:pPr>
          </w:p>
        </w:tc>
        <w:tc>
          <w:tcPr>
            <w:tcW w:w="2757" w:type="dxa"/>
            <w:gridSpan w:val="2"/>
            <w:vAlign w:val="center"/>
          </w:tcPr>
          <w:p>
            <w:pPr>
              <w:pStyle w:val="26"/>
              <w:rPr>
                <w:kern w:val="2"/>
                <w:szCs w:val="21"/>
                <w:lang w:val="en-US" w:eastAsia="zh-CN"/>
              </w:rPr>
            </w:pPr>
            <w:r>
              <w:rPr>
                <w:rFonts w:hint="eastAsia"/>
                <w:kern w:val="2"/>
                <w:szCs w:val="21"/>
                <w:lang w:val="en-US" w:eastAsia="zh-CN"/>
              </w:rPr>
              <w:t>颗粒物</w:t>
            </w:r>
            <w:r>
              <w:rPr>
                <w:kern w:val="2"/>
                <w:szCs w:val="21"/>
                <w:lang w:val="en-US" w:eastAsia="zh-CN"/>
              </w:rPr>
              <w:t>(t/a)</w:t>
            </w:r>
          </w:p>
        </w:tc>
        <w:tc>
          <w:tcPr>
            <w:tcW w:w="2208" w:type="dxa"/>
            <w:vAlign w:val="center"/>
          </w:tcPr>
          <w:p>
            <w:pPr>
              <w:pStyle w:val="26"/>
              <w:rPr>
                <w:kern w:val="2"/>
                <w:szCs w:val="21"/>
                <w:lang w:val="en-US" w:eastAsia="zh-CN"/>
              </w:rPr>
            </w:pPr>
            <w:r>
              <w:rPr>
                <w:kern w:val="2"/>
                <w:szCs w:val="21"/>
                <w:lang w:val="en-US" w:eastAsia="zh-CN"/>
              </w:rPr>
              <w:t>9.014</w:t>
            </w:r>
          </w:p>
        </w:tc>
        <w:tc>
          <w:tcPr>
            <w:tcW w:w="1545"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Align w:val="center"/>
          </w:tcPr>
          <w:p>
            <w:pPr>
              <w:pStyle w:val="26"/>
              <w:rPr>
                <w:kern w:val="2"/>
                <w:szCs w:val="21"/>
                <w:lang w:val="en-US" w:eastAsia="zh-CN"/>
              </w:rPr>
            </w:pPr>
            <w:r>
              <w:rPr>
                <w:rFonts w:hint="eastAsia"/>
                <w:kern w:val="2"/>
                <w:szCs w:val="21"/>
                <w:lang w:val="en-US" w:eastAsia="zh-CN"/>
              </w:rPr>
              <w:t>定型机</w:t>
            </w:r>
          </w:p>
        </w:tc>
        <w:tc>
          <w:tcPr>
            <w:tcW w:w="2757" w:type="dxa"/>
            <w:gridSpan w:val="2"/>
            <w:vAlign w:val="center"/>
          </w:tcPr>
          <w:p>
            <w:pPr>
              <w:pStyle w:val="26"/>
              <w:rPr>
                <w:kern w:val="2"/>
                <w:szCs w:val="21"/>
                <w:lang w:val="en-US" w:eastAsia="zh-CN"/>
              </w:rPr>
            </w:pPr>
            <w:r>
              <w:rPr>
                <w:kern w:val="2"/>
                <w:szCs w:val="21"/>
                <w:lang w:val="en-US" w:eastAsia="zh-CN"/>
              </w:rPr>
              <w:t>VOCs(t/a)</w:t>
            </w:r>
          </w:p>
        </w:tc>
        <w:tc>
          <w:tcPr>
            <w:tcW w:w="2208" w:type="dxa"/>
            <w:vAlign w:val="center"/>
          </w:tcPr>
          <w:p>
            <w:pPr>
              <w:pStyle w:val="26"/>
              <w:rPr>
                <w:color w:val="0000FF"/>
                <w:kern w:val="2"/>
                <w:szCs w:val="21"/>
                <w:lang w:val="en-US" w:eastAsia="zh-CN"/>
              </w:rPr>
            </w:pPr>
            <w:r>
              <w:rPr>
                <w:kern w:val="2"/>
                <w:szCs w:val="21"/>
                <w:lang w:val="en-US" w:eastAsia="zh-CN"/>
              </w:rPr>
              <w:t>8.1</w:t>
            </w:r>
          </w:p>
        </w:tc>
        <w:tc>
          <w:tcPr>
            <w:tcW w:w="1545"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Align w:val="center"/>
          </w:tcPr>
          <w:p>
            <w:pPr>
              <w:pStyle w:val="26"/>
              <w:rPr>
                <w:kern w:val="2"/>
                <w:szCs w:val="21"/>
                <w:lang w:val="en-US" w:eastAsia="zh-CN"/>
              </w:rPr>
            </w:pPr>
            <w:r>
              <w:rPr>
                <w:rFonts w:hint="eastAsia"/>
                <w:kern w:val="2"/>
                <w:szCs w:val="21"/>
                <w:lang w:val="en-US" w:eastAsia="zh-CN"/>
              </w:rPr>
              <w:t>导热油系统</w:t>
            </w:r>
          </w:p>
        </w:tc>
        <w:tc>
          <w:tcPr>
            <w:tcW w:w="2757" w:type="dxa"/>
            <w:gridSpan w:val="2"/>
            <w:vAlign w:val="center"/>
          </w:tcPr>
          <w:p>
            <w:pPr>
              <w:pStyle w:val="26"/>
              <w:rPr>
                <w:kern w:val="2"/>
                <w:szCs w:val="21"/>
                <w:lang w:val="en-US" w:eastAsia="zh-CN"/>
              </w:rPr>
            </w:pPr>
            <w:r>
              <w:rPr>
                <w:rFonts w:hint="eastAsia"/>
                <w:kern w:val="2"/>
                <w:szCs w:val="21"/>
                <w:lang w:val="en-US" w:eastAsia="zh-CN"/>
              </w:rPr>
              <w:t>导热油废气</w:t>
            </w:r>
            <w:r>
              <w:rPr>
                <w:kern w:val="2"/>
                <w:szCs w:val="21"/>
                <w:lang w:val="en-US" w:eastAsia="zh-CN"/>
              </w:rPr>
              <w:t>(t/a)</w:t>
            </w:r>
          </w:p>
        </w:tc>
        <w:tc>
          <w:tcPr>
            <w:tcW w:w="2208" w:type="dxa"/>
            <w:vAlign w:val="center"/>
          </w:tcPr>
          <w:p>
            <w:pPr>
              <w:pStyle w:val="26"/>
              <w:rPr>
                <w:kern w:val="2"/>
                <w:szCs w:val="21"/>
                <w:lang w:val="en-US" w:eastAsia="zh-CN"/>
              </w:rPr>
            </w:pPr>
            <w:r>
              <w:rPr>
                <w:rFonts w:hint="eastAsia"/>
                <w:kern w:val="2"/>
                <w:szCs w:val="21"/>
                <w:lang w:val="en-US" w:eastAsia="zh-CN"/>
              </w:rPr>
              <w:t>少量</w:t>
            </w:r>
          </w:p>
        </w:tc>
        <w:tc>
          <w:tcPr>
            <w:tcW w:w="1545"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Merge w:val="restart"/>
            <w:vAlign w:val="center"/>
          </w:tcPr>
          <w:p>
            <w:pPr>
              <w:pStyle w:val="26"/>
              <w:rPr>
                <w:kern w:val="2"/>
                <w:szCs w:val="21"/>
                <w:lang w:val="en-US" w:eastAsia="zh-CN"/>
              </w:rPr>
            </w:pPr>
            <w:r>
              <w:rPr>
                <w:rFonts w:hint="eastAsia"/>
                <w:kern w:val="2"/>
                <w:szCs w:val="21"/>
                <w:lang w:val="en-US" w:eastAsia="zh-CN"/>
              </w:rPr>
              <w:t>污水处理站</w:t>
            </w:r>
          </w:p>
        </w:tc>
        <w:tc>
          <w:tcPr>
            <w:tcW w:w="2757" w:type="dxa"/>
            <w:gridSpan w:val="2"/>
            <w:vAlign w:val="center"/>
          </w:tcPr>
          <w:p>
            <w:pPr>
              <w:pStyle w:val="26"/>
              <w:rPr>
                <w:kern w:val="2"/>
                <w:szCs w:val="21"/>
                <w:lang w:val="en-US" w:eastAsia="zh-CN"/>
              </w:rPr>
            </w:pPr>
            <w:r>
              <w:rPr>
                <w:kern w:val="2"/>
                <w:szCs w:val="21"/>
                <w:lang w:val="en-US" w:eastAsia="zh-CN"/>
              </w:rPr>
              <w:t>NH</w:t>
            </w:r>
            <w:r>
              <w:rPr>
                <w:kern w:val="2"/>
                <w:szCs w:val="21"/>
                <w:vertAlign w:val="subscript"/>
                <w:lang w:val="en-US" w:eastAsia="zh-CN"/>
              </w:rPr>
              <w:t>3</w:t>
            </w:r>
            <w:r>
              <w:rPr>
                <w:kern w:val="2"/>
                <w:szCs w:val="21"/>
                <w:lang w:val="en-US" w:eastAsia="zh-CN"/>
              </w:rPr>
              <w:t>(t/a)</w:t>
            </w:r>
          </w:p>
        </w:tc>
        <w:tc>
          <w:tcPr>
            <w:tcW w:w="2208" w:type="dxa"/>
            <w:vAlign w:val="center"/>
          </w:tcPr>
          <w:p>
            <w:pPr>
              <w:pStyle w:val="26"/>
              <w:rPr>
                <w:kern w:val="2"/>
                <w:szCs w:val="21"/>
                <w:lang w:val="en-US" w:eastAsia="zh-CN"/>
              </w:rPr>
            </w:pPr>
            <w:r>
              <w:rPr>
                <w:rFonts w:hint="eastAsia"/>
                <w:kern w:val="2"/>
                <w:szCs w:val="21"/>
                <w:lang w:val="en-US" w:eastAsia="zh-CN"/>
              </w:rPr>
              <w:t>少量</w:t>
            </w:r>
          </w:p>
        </w:tc>
        <w:tc>
          <w:tcPr>
            <w:tcW w:w="1545"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Merge w:val="continue"/>
            <w:vAlign w:val="center"/>
          </w:tcPr>
          <w:p>
            <w:pPr>
              <w:pStyle w:val="26"/>
              <w:rPr>
                <w:kern w:val="2"/>
                <w:szCs w:val="21"/>
                <w:lang w:val="en-US" w:eastAsia="zh-CN"/>
              </w:rPr>
            </w:pPr>
          </w:p>
        </w:tc>
        <w:tc>
          <w:tcPr>
            <w:tcW w:w="2757" w:type="dxa"/>
            <w:gridSpan w:val="2"/>
            <w:vAlign w:val="center"/>
          </w:tcPr>
          <w:p>
            <w:pPr>
              <w:pStyle w:val="26"/>
              <w:rPr>
                <w:kern w:val="2"/>
                <w:szCs w:val="21"/>
                <w:lang w:val="en-US" w:eastAsia="zh-CN"/>
              </w:rPr>
            </w:pPr>
            <w:r>
              <w:rPr>
                <w:kern w:val="2"/>
                <w:szCs w:val="21"/>
                <w:lang w:val="en-US" w:eastAsia="zh-CN"/>
              </w:rPr>
              <w:t>H</w:t>
            </w:r>
            <w:r>
              <w:rPr>
                <w:kern w:val="2"/>
                <w:szCs w:val="21"/>
                <w:vertAlign w:val="subscript"/>
                <w:lang w:val="en-US" w:eastAsia="zh-CN"/>
              </w:rPr>
              <w:t>2</w:t>
            </w:r>
            <w:r>
              <w:rPr>
                <w:kern w:val="2"/>
                <w:szCs w:val="21"/>
                <w:lang w:val="en-US" w:eastAsia="zh-CN"/>
              </w:rPr>
              <w:t>S(t/a)</w:t>
            </w:r>
          </w:p>
        </w:tc>
        <w:tc>
          <w:tcPr>
            <w:tcW w:w="2208" w:type="dxa"/>
            <w:vAlign w:val="center"/>
          </w:tcPr>
          <w:p>
            <w:pPr>
              <w:pStyle w:val="26"/>
              <w:rPr>
                <w:kern w:val="2"/>
                <w:szCs w:val="21"/>
                <w:lang w:val="en-US" w:eastAsia="zh-CN"/>
              </w:rPr>
            </w:pPr>
            <w:r>
              <w:rPr>
                <w:rFonts w:hint="eastAsia"/>
                <w:kern w:val="2"/>
                <w:szCs w:val="21"/>
                <w:lang w:val="en-US" w:eastAsia="zh-CN"/>
              </w:rPr>
              <w:t>少量</w:t>
            </w:r>
          </w:p>
        </w:tc>
        <w:tc>
          <w:tcPr>
            <w:tcW w:w="1545"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Align w:val="center"/>
          </w:tcPr>
          <w:p>
            <w:pPr>
              <w:pStyle w:val="26"/>
              <w:rPr>
                <w:kern w:val="2"/>
                <w:szCs w:val="21"/>
                <w:lang w:val="en-US" w:eastAsia="zh-CN"/>
              </w:rPr>
            </w:pPr>
            <w:r>
              <w:rPr>
                <w:rFonts w:hint="eastAsia"/>
                <w:kern w:val="2"/>
                <w:szCs w:val="21"/>
                <w:lang w:val="en-US" w:eastAsia="zh-CN"/>
              </w:rPr>
              <w:t>纺纱车间、纺织车间</w:t>
            </w:r>
          </w:p>
        </w:tc>
        <w:tc>
          <w:tcPr>
            <w:tcW w:w="2757" w:type="dxa"/>
            <w:gridSpan w:val="2"/>
            <w:vAlign w:val="center"/>
          </w:tcPr>
          <w:p>
            <w:pPr>
              <w:pStyle w:val="26"/>
              <w:rPr>
                <w:kern w:val="2"/>
                <w:szCs w:val="21"/>
                <w:lang w:val="en-US" w:eastAsia="zh-CN"/>
              </w:rPr>
            </w:pPr>
            <w:r>
              <w:rPr>
                <w:rFonts w:hint="eastAsia"/>
                <w:kern w:val="2"/>
                <w:szCs w:val="21"/>
                <w:lang w:val="en-US" w:eastAsia="zh-CN"/>
              </w:rPr>
              <w:t>粉尘</w:t>
            </w:r>
          </w:p>
        </w:tc>
        <w:tc>
          <w:tcPr>
            <w:tcW w:w="2208" w:type="dxa"/>
            <w:vAlign w:val="center"/>
          </w:tcPr>
          <w:p>
            <w:pPr>
              <w:pStyle w:val="26"/>
              <w:rPr>
                <w:kern w:val="2"/>
                <w:szCs w:val="21"/>
                <w:lang w:val="en-US" w:eastAsia="zh-CN"/>
              </w:rPr>
            </w:pPr>
            <w:r>
              <w:rPr>
                <w:rFonts w:hint="eastAsia"/>
                <w:kern w:val="2"/>
                <w:szCs w:val="21"/>
                <w:lang w:val="en-US" w:eastAsia="zh-CN"/>
              </w:rPr>
              <w:t>少量</w:t>
            </w:r>
          </w:p>
        </w:tc>
        <w:tc>
          <w:tcPr>
            <w:tcW w:w="1545"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Align w:val="center"/>
          </w:tcPr>
          <w:p>
            <w:pPr>
              <w:pStyle w:val="26"/>
              <w:rPr>
                <w:kern w:val="2"/>
                <w:szCs w:val="21"/>
                <w:lang w:val="en-US" w:eastAsia="zh-CN"/>
              </w:rPr>
            </w:pPr>
            <w:r>
              <w:rPr>
                <w:rFonts w:hint="eastAsia"/>
                <w:kern w:val="2"/>
                <w:szCs w:val="21"/>
                <w:lang w:val="en-US" w:eastAsia="zh-CN"/>
              </w:rPr>
              <w:t>食堂</w:t>
            </w:r>
          </w:p>
        </w:tc>
        <w:tc>
          <w:tcPr>
            <w:tcW w:w="2757" w:type="dxa"/>
            <w:gridSpan w:val="2"/>
            <w:vAlign w:val="center"/>
          </w:tcPr>
          <w:p>
            <w:pPr>
              <w:pStyle w:val="26"/>
              <w:rPr>
                <w:kern w:val="2"/>
                <w:szCs w:val="21"/>
                <w:lang w:val="en-US" w:eastAsia="zh-CN"/>
              </w:rPr>
            </w:pPr>
            <w:r>
              <w:rPr>
                <w:rFonts w:hint="eastAsia"/>
                <w:kern w:val="2"/>
                <w:szCs w:val="21"/>
                <w:lang w:val="en-US" w:eastAsia="zh-CN"/>
              </w:rPr>
              <w:t>油烟废气</w:t>
            </w:r>
            <w:r>
              <w:rPr>
                <w:kern w:val="2"/>
                <w:szCs w:val="21"/>
                <w:lang w:val="en-US" w:eastAsia="zh-CN"/>
              </w:rPr>
              <w:t>(t/a)</w:t>
            </w:r>
          </w:p>
        </w:tc>
        <w:tc>
          <w:tcPr>
            <w:tcW w:w="2208" w:type="dxa"/>
            <w:vAlign w:val="center"/>
          </w:tcPr>
          <w:p>
            <w:pPr>
              <w:pStyle w:val="26"/>
              <w:rPr>
                <w:kern w:val="2"/>
                <w:szCs w:val="21"/>
                <w:lang w:val="en-US" w:eastAsia="zh-CN"/>
              </w:rPr>
            </w:pPr>
            <w:r>
              <w:rPr>
                <w:kern w:val="2"/>
                <w:szCs w:val="21"/>
                <w:lang w:val="en-US" w:eastAsia="zh-CN"/>
              </w:rPr>
              <w:t>1.05</w:t>
            </w:r>
          </w:p>
        </w:tc>
        <w:tc>
          <w:tcPr>
            <w:tcW w:w="1545" w:type="dxa"/>
            <w:vAlign w:val="center"/>
          </w:tcPr>
          <w:p>
            <w:pPr>
              <w:pStyle w:val="26"/>
              <w:rPr>
                <w:kern w:val="2"/>
                <w:szCs w:val="21"/>
                <w:lang w:val="en-US" w:eastAsia="zh-CN"/>
              </w:rPr>
            </w:pPr>
            <w:r>
              <w:rPr>
                <w:rFonts w:hint="eastAsia"/>
                <w:kern w:val="2"/>
                <w:szCs w:val="21"/>
                <w:lang w:val="en-US" w:eastAsia="zh-CN"/>
              </w:rPr>
              <w:t>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4819" w:type="dxa"/>
            <w:gridSpan w:val="3"/>
            <w:vAlign w:val="center"/>
          </w:tcPr>
          <w:p>
            <w:pPr>
              <w:pStyle w:val="26"/>
              <w:rPr>
                <w:kern w:val="2"/>
                <w:szCs w:val="21"/>
                <w:lang w:val="en-US" w:eastAsia="zh-CN"/>
              </w:rPr>
            </w:pPr>
            <w:r>
              <w:rPr>
                <w:kern w:val="2"/>
                <w:szCs w:val="21"/>
                <w:lang w:val="en-US" w:eastAsia="zh-CN"/>
              </w:rPr>
              <w:t>VOCS(t/a)</w:t>
            </w:r>
          </w:p>
        </w:tc>
        <w:tc>
          <w:tcPr>
            <w:tcW w:w="2208" w:type="dxa"/>
            <w:vAlign w:val="center"/>
          </w:tcPr>
          <w:p>
            <w:pPr>
              <w:pStyle w:val="26"/>
              <w:rPr>
                <w:kern w:val="2"/>
                <w:szCs w:val="21"/>
                <w:lang w:val="en-US" w:eastAsia="zh-CN"/>
              </w:rPr>
            </w:pPr>
            <w:r>
              <w:rPr>
                <w:kern w:val="2"/>
                <w:szCs w:val="21"/>
                <w:lang w:val="en-US" w:eastAsia="zh-CN"/>
              </w:rPr>
              <w:t>8.</w:t>
            </w:r>
            <w:r>
              <w:rPr>
                <w:rFonts w:hint="eastAsia"/>
                <w:kern w:val="2"/>
                <w:szCs w:val="21"/>
                <w:lang w:val="en-US" w:eastAsia="zh-CN"/>
              </w:rPr>
              <w:t>1</w:t>
            </w:r>
          </w:p>
        </w:tc>
        <w:tc>
          <w:tcPr>
            <w:tcW w:w="1545" w:type="dxa"/>
            <w:vAlign w:val="center"/>
          </w:tcPr>
          <w:p>
            <w:pPr>
              <w:pStyle w:val="26"/>
              <w:rPr>
                <w:kern w:val="2"/>
                <w:szCs w:val="21"/>
                <w:lang w:val="en-US" w:eastAsia="zh-CN"/>
              </w:rPr>
            </w:pPr>
            <w:r>
              <w:rPr>
                <w:rFonts w:hint="eastAsia"/>
                <w:kern w:val="2"/>
                <w:szCs w:val="21"/>
                <w:lang w:val="en-US" w:eastAsia="zh-CN"/>
              </w:rPr>
              <w:t>印染生产区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restart"/>
            <w:vAlign w:val="center"/>
          </w:tcPr>
          <w:p>
            <w:pPr>
              <w:pStyle w:val="26"/>
              <w:rPr>
                <w:kern w:val="2"/>
                <w:szCs w:val="21"/>
                <w:lang w:val="en-US" w:eastAsia="zh-CN"/>
              </w:rPr>
            </w:pPr>
            <w:r>
              <w:rPr>
                <w:rFonts w:hint="eastAsia"/>
                <w:kern w:val="2"/>
                <w:szCs w:val="21"/>
                <w:lang w:val="en-US" w:eastAsia="zh-CN"/>
              </w:rPr>
              <w:t>水污</w:t>
            </w:r>
          </w:p>
          <w:p>
            <w:pPr>
              <w:pStyle w:val="26"/>
              <w:rPr>
                <w:kern w:val="2"/>
                <w:szCs w:val="21"/>
                <w:lang w:val="en-US" w:eastAsia="zh-CN"/>
              </w:rPr>
            </w:pPr>
            <w:r>
              <w:rPr>
                <w:rFonts w:hint="eastAsia"/>
                <w:kern w:val="2"/>
                <w:szCs w:val="21"/>
                <w:lang w:val="en-US" w:eastAsia="zh-CN"/>
              </w:rPr>
              <w:t>染物</w:t>
            </w:r>
          </w:p>
        </w:tc>
        <w:tc>
          <w:tcPr>
            <w:tcW w:w="2062" w:type="dxa"/>
            <w:vMerge w:val="restart"/>
            <w:vAlign w:val="center"/>
          </w:tcPr>
          <w:p>
            <w:pPr>
              <w:pStyle w:val="26"/>
              <w:rPr>
                <w:kern w:val="2"/>
                <w:szCs w:val="21"/>
                <w:lang w:val="en-US" w:eastAsia="zh-CN"/>
              </w:rPr>
            </w:pPr>
            <w:r>
              <w:rPr>
                <w:rFonts w:hint="eastAsia"/>
                <w:kern w:val="2"/>
                <w:szCs w:val="21"/>
                <w:lang w:val="en-US" w:eastAsia="zh-CN"/>
              </w:rPr>
              <w:t>综合废水</w:t>
            </w:r>
          </w:p>
        </w:tc>
        <w:tc>
          <w:tcPr>
            <w:tcW w:w="1136" w:type="dxa"/>
            <w:vMerge w:val="restart"/>
            <w:vAlign w:val="center"/>
          </w:tcPr>
          <w:p>
            <w:pPr>
              <w:pStyle w:val="26"/>
              <w:rPr>
                <w:kern w:val="2"/>
                <w:szCs w:val="21"/>
                <w:lang w:val="en-US" w:eastAsia="zh-CN"/>
              </w:rPr>
            </w:pPr>
            <w:r>
              <w:rPr>
                <w:rFonts w:hint="eastAsia"/>
                <w:kern w:val="2"/>
                <w:szCs w:val="21"/>
                <w:lang w:val="en-US" w:eastAsia="zh-CN"/>
              </w:rPr>
              <w:t>水量</w:t>
            </w:r>
          </w:p>
        </w:tc>
        <w:tc>
          <w:tcPr>
            <w:tcW w:w="1621" w:type="dxa"/>
            <w:vAlign w:val="center"/>
          </w:tcPr>
          <w:p>
            <w:pPr>
              <w:pStyle w:val="26"/>
              <w:rPr>
                <w:kern w:val="2"/>
                <w:szCs w:val="21"/>
                <w:lang w:val="en-US" w:eastAsia="zh-CN"/>
              </w:rPr>
            </w:pPr>
            <w:r>
              <w:rPr>
                <w:kern w:val="2"/>
                <w:szCs w:val="21"/>
                <w:lang w:val="en-US" w:eastAsia="zh-CN"/>
              </w:rPr>
              <w:t>t/d</w:t>
            </w:r>
          </w:p>
        </w:tc>
        <w:tc>
          <w:tcPr>
            <w:tcW w:w="2208" w:type="dxa"/>
            <w:vAlign w:val="center"/>
          </w:tcPr>
          <w:p>
            <w:pPr>
              <w:pStyle w:val="26"/>
              <w:rPr>
                <w:kern w:val="2"/>
                <w:szCs w:val="21"/>
                <w:lang w:val="en-US" w:eastAsia="zh-CN"/>
              </w:rPr>
            </w:pPr>
            <w:r>
              <w:rPr>
                <w:rFonts w:hint="eastAsia"/>
                <w:kern w:val="2"/>
                <w:szCs w:val="21"/>
                <w:lang w:val="en-US" w:eastAsia="zh-CN"/>
              </w:rPr>
              <w:t>1065.9</w:t>
            </w:r>
          </w:p>
        </w:tc>
        <w:tc>
          <w:tcPr>
            <w:tcW w:w="1545"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Merge w:val="continue"/>
            <w:vAlign w:val="center"/>
          </w:tcPr>
          <w:p>
            <w:pPr>
              <w:pStyle w:val="26"/>
              <w:rPr>
                <w:kern w:val="2"/>
                <w:szCs w:val="21"/>
                <w:lang w:val="en-US" w:eastAsia="zh-CN"/>
              </w:rPr>
            </w:pPr>
          </w:p>
        </w:tc>
        <w:tc>
          <w:tcPr>
            <w:tcW w:w="1136" w:type="dxa"/>
            <w:vMerge w:val="continue"/>
            <w:vAlign w:val="center"/>
          </w:tcPr>
          <w:p>
            <w:pPr>
              <w:pStyle w:val="26"/>
              <w:rPr>
                <w:kern w:val="2"/>
                <w:szCs w:val="21"/>
                <w:lang w:val="en-US" w:eastAsia="zh-CN"/>
              </w:rPr>
            </w:pPr>
          </w:p>
        </w:tc>
        <w:tc>
          <w:tcPr>
            <w:tcW w:w="1621" w:type="dxa"/>
            <w:vAlign w:val="center"/>
          </w:tcPr>
          <w:p>
            <w:pPr>
              <w:pStyle w:val="26"/>
              <w:rPr>
                <w:kern w:val="2"/>
                <w:szCs w:val="21"/>
                <w:lang w:val="en-US" w:eastAsia="zh-CN"/>
              </w:rPr>
            </w:pPr>
            <w:r>
              <w:rPr>
                <w:rFonts w:hint="eastAsia"/>
                <w:kern w:val="2"/>
                <w:szCs w:val="21"/>
                <w:lang w:val="en-US" w:eastAsia="zh-CN"/>
              </w:rPr>
              <w:t>万</w:t>
            </w:r>
            <w:r>
              <w:rPr>
                <w:kern w:val="2"/>
                <w:szCs w:val="21"/>
                <w:lang w:val="en-US" w:eastAsia="zh-CN"/>
              </w:rPr>
              <w:t>t/a</w:t>
            </w:r>
          </w:p>
        </w:tc>
        <w:tc>
          <w:tcPr>
            <w:tcW w:w="2208" w:type="dxa"/>
            <w:vAlign w:val="center"/>
          </w:tcPr>
          <w:p>
            <w:pPr>
              <w:pStyle w:val="26"/>
              <w:rPr>
                <w:kern w:val="2"/>
                <w:szCs w:val="21"/>
                <w:lang w:val="en-US" w:eastAsia="zh-CN"/>
              </w:rPr>
            </w:pPr>
            <w:r>
              <w:rPr>
                <w:rFonts w:hint="eastAsia"/>
                <w:kern w:val="2"/>
                <w:szCs w:val="21"/>
                <w:lang w:val="en-US" w:eastAsia="zh-CN"/>
              </w:rPr>
              <w:t>31.977</w:t>
            </w:r>
          </w:p>
        </w:tc>
        <w:tc>
          <w:tcPr>
            <w:tcW w:w="1545"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Merge w:val="continue"/>
            <w:vAlign w:val="center"/>
          </w:tcPr>
          <w:p>
            <w:pPr>
              <w:pStyle w:val="26"/>
              <w:rPr>
                <w:kern w:val="2"/>
                <w:szCs w:val="21"/>
                <w:lang w:val="en-US" w:eastAsia="zh-CN"/>
              </w:rPr>
            </w:pPr>
          </w:p>
        </w:tc>
        <w:tc>
          <w:tcPr>
            <w:tcW w:w="1136" w:type="dxa"/>
            <w:vMerge w:val="restart"/>
            <w:vAlign w:val="center"/>
          </w:tcPr>
          <w:p>
            <w:pPr>
              <w:pStyle w:val="26"/>
              <w:rPr>
                <w:kern w:val="2"/>
                <w:szCs w:val="21"/>
                <w:lang w:val="en-US" w:eastAsia="zh-CN"/>
              </w:rPr>
            </w:pPr>
            <w:r>
              <w:rPr>
                <w:kern w:val="2"/>
                <w:szCs w:val="21"/>
                <w:lang w:val="en-US" w:eastAsia="zh-CN"/>
              </w:rPr>
              <w:t>CODcr</w:t>
            </w:r>
          </w:p>
        </w:tc>
        <w:tc>
          <w:tcPr>
            <w:tcW w:w="1621" w:type="dxa"/>
            <w:vAlign w:val="center"/>
          </w:tcPr>
          <w:p>
            <w:pPr>
              <w:pStyle w:val="26"/>
              <w:rPr>
                <w:kern w:val="2"/>
                <w:szCs w:val="21"/>
                <w:lang w:val="en-US" w:eastAsia="zh-CN"/>
              </w:rPr>
            </w:pPr>
            <w:r>
              <w:rPr>
                <w:kern w:val="2"/>
                <w:szCs w:val="21"/>
                <w:lang w:val="en-US" w:eastAsia="zh-CN"/>
              </w:rPr>
              <w:t>mg/L</w:t>
            </w:r>
          </w:p>
        </w:tc>
        <w:tc>
          <w:tcPr>
            <w:tcW w:w="2208" w:type="dxa"/>
            <w:vAlign w:val="center"/>
          </w:tcPr>
          <w:p>
            <w:pPr>
              <w:pStyle w:val="26"/>
              <w:rPr>
                <w:kern w:val="2"/>
                <w:szCs w:val="21"/>
                <w:lang w:val="en-US" w:eastAsia="zh-CN"/>
              </w:rPr>
            </w:pPr>
            <w:r>
              <w:rPr>
                <w:rFonts w:hint="eastAsia"/>
                <w:kern w:val="2"/>
                <w:szCs w:val="21"/>
                <w:lang w:val="en-US" w:eastAsia="zh-CN"/>
              </w:rPr>
              <w:t>181</w:t>
            </w:r>
          </w:p>
        </w:tc>
        <w:tc>
          <w:tcPr>
            <w:tcW w:w="1545"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Merge w:val="continue"/>
            <w:vAlign w:val="center"/>
          </w:tcPr>
          <w:p>
            <w:pPr>
              <w:pStyle w:val="26"/>
              <w:rPr>
                <w:kern w:val="2"/>
                <w:szCs w:val="21"/>
                <w:lang w:val="en-US" w:eastAsia="zh-CN"/>
              </w:rPr>
            </w:pPr>
          </w:p>
        </w:tc>
        <w:tc>
          <w:tcPr>
            <w:tcW w:w="1136" w:type="dxa"/>
            <w:vMerge w:val="continue"/>
            <w:vAlign w:val="center"/>
          </w:tcPr>
          <w:p>
            <w:pPr>
              <w:pStyle w:val="26"/>
              <w:rPr>
                <w:kern w:val="2"/>
                <w:szCs w:val="21"/>
                <w:lang w:val="en-US" w:eastAsia="zh-CN"/>
              </w:rPr>
            </w:pPr>
          </w:p>
        </w:tc>
        <w:tc>
          <w:tcPr>
            <w:tcW w:w="1621" w:type="dxa"/>
            <w:vAlign w:val="center"/>
          </w:tcPr>
          <w:p>
            <w:pPr>
              <w:pStyle w:val="26"/>
              <w:rPr>
                <w:kern w:val="2"/>
                <w:szCs w:val="21"/>
                <w:lang w:val="en-US" w:eastAsia="zh-CN"/>
              </w:rPr>
            </w:pPr>
            <w:r>
              <w:rPr>
                <w:kern w:val="2"/>
                <w:szCs w:val="21"/>
                <w:lang w:val="en-US" w:eastAsia="zh-CN"/>
              </w:rPr>
              <w:t>t/a</w:t>
            </w:r>
          </w:p>
        </w:tc>
        <w:tc>
          <w:tcPr>
            <w:tcW w:w="2208" w:type="dxa"/>
            <w:vAlign w:val="center"/>
          </w:tcPr>
          <w:p>
            <w:pPr>
              <w:pStyle w:val="26"/>
              <w:rPr>
                <w:kern w:val="2"/>
                <w:szCs w:val="21"/>
                <w:lang w:val="en-US" w:eastAsia="zh-CN"/>
              </w:rPr>
            </w:pPr>
            <w:r>
              <w:rPr>
                <w:rFonts w:hint="eastAsia"/>
                <w:kern w:val="2"/>
                <w:szCs w:val="21"/>
                <w:lang w:val="en-US" w:eastAsia="zh-CN"/>
              </w:rPr>
              <w:t>57.878</w:t>
            </w:r>
          </w:p>
        </w:tc>
        <w:tc>
          <w:tcPr>
            <w:tcW w:w="1545"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Merge w:val="continue"/>
            <w:vAlign w:val="center"/>
          </w:tcPr>
          <w:p>
            <w:pPr>
              <w:pStyle w:val="26"/>
              <w:rPr>
                <w:kern w:val="2"/>
                <w:szCs w:val="21"/>
                <w:lang w:val="en-US" w:eastAsia="zh-CN"/>
              </w:rPr>
            </w:pPr>
          </w:p>
        </w:tc>
        <w:tc>
          <w:tcPr>
            <w:tcW w:w="1136" w:type="dxa"/>
            <w:vMerge w:val="restart"/>
            <w:vAlign w:val="center"/>
          </w:tcPr>
          <w:p>
            <w:pPr>
              <w:pStyle w:val="26"/>
              <w:rPr>
                <w:kern w:val="2"/>
                <w:szCs w:val="21"/>
                <w:lang w:val="en-US" w:eastAsia="zh-CN"/>
              </w:rPr>
            </w:pPr>
            <w:r>
              <w:rPr>
                <w:kern w:val="2"/>
                <w:szCs w:val="21"/>
                <w:lang w:val="en-US" w:eastAsia="zh-CN"/>
              </w:rPr>
              <w:t>NH</w:t>
            </w:r>
            <w:r>
              <w:rPr>
                <w:kern w:val="2"/>
                <w:szCs w:val="21"/>
                <w:vertAlign w:val="subscript"/>
                <w:lang w:val="en-US" w:eastAsia="zh-CN"/>
              </w:rPr>
              <w:t>3</w:t>
            </w:r>
            <w:r>
              <w:rPr>
                <w:kern w:val="2"/>
                <w:szCs w:val="21"/>
                <w:lang w:val="en-US" w:eastAsia="zh-CN"/>
              </w:rPr>
              <w:t>-N</w:t>
            </w:r>
          </w:p>
        </w:tc>
        <w:tc>
          <w:tcPr>
            <w:tcW w:w="1621" w:type="dxa"/>
            <w:vAlign w:val="center"/>
          </w:tcPr>
          <w:p>
            <w:pPr>
              <w:pStyle w:val="26"/>
              <w:rPr>
                <w:kern w:val="2"/>
                <w:szCs w:val="21"/>
                <w:lang w:val="en-US" w:eastAsia="zh-CN"/>
              </w:rPr>
            </w:pPr>
            <w:r>
              <w:rPr>
                <w:kern w:val="2"/>
                <w:szCs w:val="21"/>
                <w:lang w:val="en-US" w:eastAsia="zh-CN"/>
              </w:rPr>
              <w:t>mg/L</w:t>
            </w:r>
          </w:p>
        </w:tc>
        <w:tc>
          <w:tcPr>
            <w:tcW w:w="2208" w:type="dxa"/>
            <w:vAlign w:val="center"/>
          </w:tcPr>
          <w:p>
            <w:pPr>
              <w:pStyle w:val="26"/>
              <w:rPr>
                <w:kern w:val="2"/>
                <w:szCs w:val="21"/>
                <w:lang w:val="en-US" w:eastAsia="zh-CN"/>
              </w:rPr>
            </w:pPr>
            <w:r>
              <w:rPr>
                <w:rFonts w:hint="eastAsia"/>
                <w:kern w:val="2"/>
                <w:szCs w:val="21"/>
                <w:lang w:val="en-US" w:eastAsia="zh-CN"/>
              </w:rPr>
              <w:t>13.43</w:t>
            </w:r>
          </w:p>
        </w:tc>
        <w:tc>
          <w:tcPr>
            <w:tcW w:w="1545"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Merge w:val="continue"/>
            <w:vAlign w:val="center"/>
          </w:tcPr>
          <w:p>
            <w:pPr>
              <w:pStyle w:val="26"/>
              <w:rPr>
                <w:kern w:val="2"/>
                <w:szCs w:val="21"/>
                <w:lang w:val="en-US" w:eastAsia="zh-CN"/>
              </w:rPr>
            </w:pPr>
          </w:p>
        </w:tc>
        <w:tc>
          <w:tcPr>
            <w:tcW w:w="1136" w:type="dxa"/>
            <w:vMerge w:val="continue"/>
            <w:vAlign w:val="center"/>
          </w:tcPr>
          <w:p>
            <w:pPr>
              <w:pStyle w:val="26"/>
              <w:rPr>
                <w:kern w:val="2"/>
                <w:szCs w:val="21"/>
                <w:lang w:val="en-US" w:eastAsia="zh-CN"/>
              </w:rPr>
            </w:pPr>
          </w:p>
        </w:tc>
        <w:tc>
          <w:tcPr>
            <w:tcW w:w="1621" w:type="dxa"/>
            <w:vAlign w:val="center"/>
          </w:tcPr>
          <w:p>
            <w:pPr>
              <w:pStyle w:val="26"/>
              <w:rPr>
                <w:kern w:val="2"/>
                <w:szCs w:val="21"/>
                <w:lang w:val="en-US" w:eastAsia="zh-CN"/>
              </w:rPr>
            </w:pPr>
            <w:r>
              <w:rPr>
                <w:kern w:val="2"/>
                <w:szCs w:val="21"/>
                <w:lang w:val="en-US" w:eastAsia="zh-CN"/>
              </w:rPr>
              <w:t>t/a</w:t>
            </w:r>
          </w:p>
        </w:tc>
        <w:tc>
          <w:tcPr>
            <w:tcW w:w="2208" w:type="dxa"/>
            <w:vAlign w:val="center"/>
          </w:tcPr>
          <w:p>
            <w:pPr>
              <w:pStyle w:val="26"/>
              <w:rPr>
                <w:kern w:val="2"/>
                <w:szCs w:val="21"/>
                <w:lang w:val="en-US" w:eastAsia="zh-CN"/>
              </w:rPr>
            </w:pPr>
            <w:r>
              <w:rPr>
                <w:rFonts w:hint="eastAsia"/>
                <w:kern w:val="2"/>
                <w:szCs w:val="21"/>
                <w:lang w:val="en-US" w:eastAsia="zh-CN"/>
              </w:rPr>
              <w:t>4.295</w:t>
            </w:r>
          </w:p>
        </w:tc>
        <w:tc>
          <w:tcPr>
            <w:tcW w:w="1545"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59" w:hRule="atLeast"/>
          <w:jc w:val="center"/>
        </w:trPr>
        <w:tc>
          <w:tcPr>
            <w:tcW w:w="1136" w:type="dxa"/>
            <w:vMerge w:val="restart"/>
            <w:vAlign w:val="center"/>
          </w:tcPr>
          <w:p>
            <w:pPr>
              <w:pStyle w:val="26"/>
              <w:rPr>
                <w:kern w:val="2"/>
                <w:szCs w:val="21"/>
                <w:lang w:val="en-US" w:eastAsia="zh-CN"/>
              </w:rPr>
            </w:pPr>
            <w:r>
              <w:rPr>
                <w:rFonts w:hint="eastAsia"/>
                <w:kern w:val="2"/>
                <w:szCs w:val="21"/>
                <w:lang w:val="en-US" w:eastAsia="zh-CN"/>
              </w:rPr>
              <w:t>固体</w:t>
            </w:r>
          </w:p>
          <w:p>
            <w:pPr>
              <w:pStyle w:val="26"/>
              <w:rPr>
                <w:kern w:val="2"/>
                <w:szCs w:val="21"/>
                <w:lang w:val="en-US" w:eastAsia="zh-CN"/>
              </w:rPr>
            </w:pPr>
            <w:r>
              <w:rPr>
                <w:rFonts w:hint="eastAsia"/>
                <w:kern w:val="2"/>
                <w:szCs w:val="21"/>
                <w:lang w:val="en-US" w:eastAsia="zh-CN"/>
              </w:rPr>
              <w:t>废弃物</w:t>
            </w:r>
          </w:p>
        </w:tc>
        <w:tc>
          <w:tcPr>
            <w:tcW w:w="2062" w:type="dxa"/>
            <w:vMerge w:val="restart"/>
            <w:vAlign w:val="center"/>
          </w:tcPr>
          <w:p>
            <w:pPr>
              <w:pStyle w:val="26"/>
              <w:rPr>
                <w:kern w:val="2"/>
                <w:szCs w:val="21"/>
                <w:lang w:val="en-US" w:eastAsia="zh-CN"/>
              </w:rPr>
            </w:pPr>
            <w:r>
              <w:rPr>
                <w:rFonts w:hint="eastAsia"/>
                <w:kern w:val="2"/>
                <w:szCs w:val="21"/>
                <w:lang w:val="en-US" w:eastAsia="zh-CN"/>
              </w:rPr>
              <w:t>印染生产及包装</w:t>
            </w:r>
          </w:p>
        </w:tc>
        <w:tc>
          <w:tcPr>
            <w:tcW w:w="2757" w:type="dxa"/>
            <w:gridSpan w:val="2"/>
            <w:vAlign w:val="center"/>
          </w:tcPr>
          <w:p>
            <w:pPr>
              <w:pStyle w:val="26"/>
              <w:ind w:firstLine="0" w:firstLineChars="0"/>
              <w:rPr>
                <w:kern w:val="2"/>
                <w:szCs w:val="21"/>
                <w:lang w:val="en-US" w:eastAsia="zh-CN"/>
              </w:rPr>
            </w:pPr>
            <w:r>
              <w:rPr>
                <w:rFonts w:hint="eastAsia"/>
                <w:kern w:val="2"/>
                <w:szCs w:val="21"/>
                <w:lang w:val="en-US" w:eastAsia="zh-CN"/>
              </w:rPr>
              <w:t>煤渣</w:t>
            </w:r>
          </w:p>
        </w:tc>
        <w:tc>
          <w:tcPr>
            <w:tcW w:w="2208" w:type="dxa"/>
            <w:vAlign w:val="center"/>
          </w:tcPr>
          <w:p>
            <w:pPr>
              <w:pStyle w:val="26"/>
              <w:ind w:firstLine="0" w:firstLineChars="0"/>
              <w:rPr>
                <w:kern w:val="2"/>
                <w:szCs w:val="21"/>
                <w:lang w:val="en-US" w:eastAsia="zh-CN"/>
              </w:rPr>
            </w:pPr>
            <w:r>
              <w:rPr>
                <w:kern w:val="2"/>
                <w:szCs w:val="21"/>
                <w:lang w:val="en-US" w:eastAsia="zh-CN"/>
              </w:rPr>
              <w:t>240</w:t>
            </w:r>
          </w:p>
        </w:tc>
        <w:tc>
          <w:tcPr>
            <w:tcW w:w="1545" w:type="dxa"/>
            <w:vMerge w:val="restart"/>
            <w:vAlign w:val="center"/>
          </w:tcPr>
          <w:p>
            <w:pPr>
              <w:pStyle w:val="26"/>
              <w:rPr>
                <w:kern w:val="2"/>
                <w:szCs w:val="21"/>
                <w:lang w:val="en-US" w:eastAsia="zh-CN"/>
              </w:rPr>
            </w:pPr>
            <w:r>
              <w:rPr>
                <w:rFonts w:hint="eastAsia"/>
                <w:kern w:val="2"/>
                <w:szCs w:val="21"/>
                <w:lang w:val="en-US" w:eastAsia="zh-CN"/>
              </w:rPr>
              <w:t>印染生产区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61" w:hRule="atLeast"/>
          <w:jc w:val="center"/>
        </w:trPr>
        <w:tc>
          <w:tcPr>
            <w:tcW w:w="1136" w:type="dxa"/>
            <w:vMerge w:val="continue"/>
            <w:vAlign w:val="center"/>
          </w:tcPr>
          <w:p>
            <w:pPr>
              <w:pStyle w:val="26"/>
              <w:rPr>
                <w:kern w:val="2"/>
                <w:szCs w:val="21"/>
                <w:lang w:val="en-US" w:eastAsia="zh-CN"/>
              </w:rPr>
            </w:pPr>
          </w:p>
        </w:tc>
        <w:tc>
          <w:tcPr>
            <w:tcW w:w="2062" w:type="dxa"/>
            <w:vMerge w:val="continue"/>
            <w:vAlign w:val="center"/>
          </w:tcPr>
          <w:p>
            <w:pPr>
              <w:pStyle w:val="26"/>
              <w:rPr>
                <w:kern w:val="2"/>
                <w:szCs w:val="21"/>
                <w:lang w:val="en-US" w:eastAsia="zh-CN"/>
              </w:rPr>
            </w:pPr>
          </w:p>
        </w:tc>
        <w:tc>
          <w:tcPr>
            <w:tcW w:w="2757" w:type="dxa"/>
            <w:gridSpan w:val="2"/>
            <w:vAlign w:val="center"/>
          </w:tcPr>
          <w:p>
            <w:pPr>
              <w:pStyle w:val="26"/>
              <w:ind w:firstLine="0" w:firstLineChars="0"/>
              <w:rPr>
                <w:kern w:val="2"/>
                <w:szCs w:val="21"/>
                <w:lang w:val="en-US" w:eastAsia="zh-CN"/>
              </w:rPr>
            </w:pPr>
            <w:r>
              <w:rPr>
                <w:rFonts w:hint="eastAsia"/>
                <w:kern w:val="2"/>
                <w:szCs w:val="21"/>
                <w:lang w:val="en-US" w:eastAsia="zh-CN"/>
              </w:rPr>
              <w:t>普通废包装材料</w:t>
            </w:r>
            <w:r>
              <w:rPr>
                <w:kern w:val="2"/>
                <w:szCs w:val="21"/>
                <w:lang w:val="en-US" w:eastAsia="zh-CN"/>
              </w:rPr>
              <w:t>(t/a)</w:t>
            </w:r>
          </w:p>
        </w:tc>
        <w:tc>
          <w:tcPr>
            <w:tcW w:w="2208" w:type="dxa"/>
            <w:vAlign w:val="center"/>
          </w:tcPr>
          <w:p>
            <w:pPr>
              <w:pStyle w:val="26"/>
              <w:ind w:firstLine="0" w:firstLineChars="0"/>
              <w:rPr>
                <w:kern w:val="2"/>
                <w:szCs w:val="21"/>
                <w:lang w:val="en-US" w:eastAsia="zh-CN"/>
              </w:rPr>
            </w:pPr>
            <w:r>
              <w:rPr>
                <w:kern w:val="2"/>
                <w:szCs w:val="21"/>
                <w:lang w:val="en-US" w:eastAsia="zh-CN"/>
              </w:rPr>
              <w:t>4</w:t>
            </w:r>
          </w:p>
        </w:tc>
        <w:tc>
          <w:tcPr>
            <w:tcW w:w="1545"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61" w:hRule="atLeast"/>
          <w:jc w:val="center"/>
        </w:trPr>
        <w:tc>
          <w:tcPr>
            <w:tcW w:w="1136" w:type="dxa"/>
            <w:vMerge w:val="continue"/>
            <w:vAlign w:val="center"/>
          </w:tcPr>
          <w:p>
            <w:pPr>
              <w:pStyle w:val="26"/>
              <w:rPr>
                <w:kern w:val="2"/>
                <w:szCs w:val="21"/>
                <w:lang w:val="en-US" w:eastAsia="zh-CN"/>
              </w:rPr>
            </w:pPr>
          </w:p>
        </w:tc>
        <w:tc>
          <w:tcPr>
            <w:tcW w:w="2062" w:type="dxa"/>
            <w:vMerge w:val="continue"/>
            <w:vAlign w:val="center"/>
          </w:tcPr>
          <w:p>
            <w:pPr>
              <w:pStyle w:val="26"/>
              <w:rPr>
                <w:kern w:val="2"/>
                <w:szCs w:val="21"/>
                <w:lang w:val="en-US" w:eastAsia="zh-CN"/>
              </w:rPr>
            </w:pPr>
          </w:p>
        </w:tc>
        <w:tc>
          <w:tcPr>
            <w:tcW w:w="2757" w:type="dxa"/>
            <w:gridSpan w:val="2"/>
            <w:vAlign w:val="center"/>
          </w:tcPr>
          <w:p>
            <w:pPr>
              <w:pStyle w:val="26"/>
              <w:ind w:firstLine="0" w:firstLineChars="0"/>
              <w:rPr>
                <w:kern w:val="2"/>
                <w:szCs w:val="21"/>
                <w:lang w:val="en-US" w:eastAsia="zh-CN"/>
              </w:rPr>
            </w:pPr>
            <w:r>
              <w:rPr>
                <w:rFonts w:hint="eastAsia"/>
                <w:kern w:val="2"/>
                <w:szCs w:val="21"/>
                <w:lang w:val="en-US" w:eastAsia="zh-CN"/>
              </w:rPr>
              <w:t>含危化品废包装材料</w:t>
            </w:r>
            <w:r>
              <w:rPr>
                <w:kern w:val="2"/>
                <w:szCs w:val="21"/>
                <w:lang w:val="en-US" w:eastAsia="zh-CN"/>
              </w:rPr>
              <w:t>(t/a)</w:t>
            </w:r>
          </w:p>
        </w:tc>
        <w:tc>
          <w:tcPr>
            <w:tcW w:w="2208" w:type="dxa"/>
            <w:vAlign w:val="center"/>
          </w:tcPr>
          <w:p>
            <w:pPr>
              <w:pStyle w:val="26"/>
              <w:ind w:firstLine="0" w:firstLineChars="0"/>
              <w:rPr>
                <w:kern w:val="2"/>
                <w:szCs w:val="21"/>
                <w:lang w:val="en-US" w:eastAsia="zh-CN"/>
              </w:rPr>
            </w:pPr>
            <w:r>
              <w:rPr>
                <w:kern w:val="2"/>
                <w:szCs w:val="21"/>
                <w:lang w:val="en-US" w:eastAsia="zh-CN"/>
              </w:rPr>
              <w:t>0.2</w:t>
            </w:r>
          </w:p>
        </w:tc>
        <w:tc>
          <w:tcPr>
            <w:tcW w:w="1545"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5" w:hRule="atLeast"/>
          <w:jc w:val="center"/>
        </w:trPr>
        <w:tc>
          <w:tcPr>
            <w:tcW w:w="1136" w:type="dxa"/>
            <w:vMerge w:val="continue"/>
            <w:vAlign w:val="center"/>
          </w:tcPr>
          <w:p>
            <w:pPr>
              <w:pStyle w:val="26"/>
              <w:rPr>
                <w:kern w:val="2"/>
                <w:szCs w:val="21"/>
                <w:lang w:val="en-US" w:eastAsia="zh-CN"/>
              </w:rPr>
            </w:pPr>
          </w:p>
        </w:tc>
        <w:tc>
          <w:tcPr>
            <w:tcW w:w="2062" w:type="dxa"/>
            <w:vMerge w:val="restart"/>
            <w:vAlign w:val="center"/>
          </w:tcPr>
          <w:p>
            <w:pPr>
              <w:pStyle w:val="26"/>
              <w:rPr>
                <w:kern w:val="2"/>
                <w:szCs w:val="21"/>
                <w:lang w:val="en-US" w:eastAsia="zh-CN"/>
              </w:rPr>
            </w:pPr>
            <w:r>
              <w:rPr>
                <w:rFonts w:hint="eastAsia"/>
                <w:kern w:val="2"/>
                <w:szCs w:val="21"/>
                <w:lang w:val="en-US" w:eastAsia="zh-CN"/>
              </w:rPr>
              <w:t>纺纱生产</w:t>
            </w:r>
          </w:p>
        </w:tc>
        <w:tc>
          <w:tcPr>
            <w:tcW w:w="2757" w:type="dxa"/>
            <w:gridSpan w:val="2"/>
            <w:vAlign w:val="center"/>
          </w:tcPr>
          <w:p>
            <w:pPr>
              <w:pStyle w:val="26"/>
              <w:rPr>
                <w:kern w:val="2"/>
                <w:szCs w:val="21"/>
                <w:lang w:val="en-US" w:eastAsia="zh-CN"/>
              </w:rPr>
            </w:pPr>
            <w:r>
              <w:rPr>
                <w:rFonts w:hint="eastAsia"/>
                <w:kern w:val="2"/>
                <w:szCs w:val="21"/>
                <w:lang w:val="en-US" w:eastAsia="zh-CN"/>
              </w:rPr>
              <w:t>废弃原料</w:t>
            </w:r>
          </w:p>
        </w:tc>
        <w:tc>
          <w:tcPr>
            <w:tcW w:w="2208" w:type="dxa"/>
            <w:vAlign w:val="center"/>
          </w:tcPr>
          <w:p>
            <w:pPr>
              <w:pStyle w:val="26"/>
              <w:rPr>
                <w:kern w:val="2"/>
                <w:szCs w:val="21"/>
                <w:lang w:val="en-US" w:eastAsia="zh-CN"/>
              </w:rPr>
            </w:pPr>
            <w:r>
              <w:rPr>
                <w:rFonts w:hint="eastAsia"/>
                <w:kern w:val="2"/>
                <w:szCs w:val="21"/>
                <w:lang w:val="en-US" w:eastAsia="zh-CN"/>
              </w:rPr>
              <w:t>1</w:t>
            </w:r>
          </w:p>
        </w:tc>
        <w:tc>
          <w:tcPr>
            <w:tcW w:w="1545" w:type="dxa"/>
            <w:vMerge w:val="restart"/>
            <w:vAlign w:val="center"/>
          </w:tcPr>
          <w:p>
            <w:pPr>
              <w:pStyle w:val="26"/>
              <w:rPr>
                <w:kern w:val="2"/>
                <w:szCs w:val="21"/>
                <w:lang w:val="en-US" w:eastAsia="zh-CN"/>
              </w:rPr>
            </w:pPr>
            <w:r>
              <w:rPr>
                <w:rFonts w:hint="eastAsia"/>
                <w:kern w:val="2"/>
                <w:szCs w:val="21"/>
                <w:lang w:val="en-US" w:eastAsia="zh-CN"/>
              </w:rPr>
              <w:t>纺纱生产区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5" w:hRule="atLeast"/>
          <w:jc w:val="center"/>
        </w:trPr>
        <w:tc>
          <w:tcPr>
            <w:tcW w:w="1136" w:type="dxa"/>
            <w:vMerge w:val="continue"/>
            <w:vAlign w:val="center"/>
          </w:tcPr>
          <w:p>
            <w:pPr>
              <w:pStyle w:val="26"/>
              <w:rPr>
                <w:kern w:val="2"/>
                <w:szCs w:val="21"/>
                <w:lang w:val="en-US" w:eastAsia="zh-CN"/>
              </w:rPr>
            </w:pPr>
          </w:p>
        </w:tc>
        <w:tc>
          <w:tcPr>
            <w:tcW w:w="2062" w:type="dxa"/>
            <w:vMerge w:val="continue"/>
            <w:vAlign w:val="center"/>
          </w:tcPr>
          <w:p>
            <w:pPr>
              <w:pStyle w:val="26"/>
              <w:rPr>
                <w:kern w:val="2"/>
                <w:szCs w:val="21"/>
                <w:lang w:val="en-US" w:eastAsia="zh-CN"/>
              </w:rPr>
            </w:pPr>
          </w:p>
        </w:tc>
        <w:tc>
          <w:tcPr>
            <w:tcW w:w="2757" w:type="dxa"/>
            <w:gridSpan w:val="2"/>
            <w:vAlign w:val="center"/>
          </w:tcPr>
          <w:p>
            <w:pPr>
              <w:pStyle w:val="26"/>
              <w:rPr>
                <w:kern w:val="2"/>
                <w:szCs w:val="21"/>
                <w:lang w:val="en-US" w:eastAsia="zh-CN"/>
              </w:rPr>
            </w:pPr>
            <w:r>
              <w:rPr>
                <w:rFonts w:hint="eastAsia"/>
                <w:kern w:val="2"/>
                <w:szCs w:val="21"/>
                <w:lang w:val="en-US" w:eastAsia="zh-CN"/>
              </w:rPr>
              <w:t>杂质</w:t>
            </w:r>
          </w:p>
        </w:tc>
        <w:tc>
          <w:tcPr>
            <w:tcW w:w="2208" w:type="dxa"/>
            <w:vAlign w:val="center"/>
          </w:tcPr>
          <w:p>
            <w:pPr>
              <w:pStyle w:val="26"/>
              <w:rPr>
                <w:kern w:val="2"/>
                <w:szCs w:val="21"/>
                <w:lang w:val="en-US" w:eastAsia="zh-CN"/>
              </w:rPr>
            </w:pPr>
            <w:r>
              <w:rPr>
                <w:rFonts w:hint="eastAsia"/>
                <w:kern w:val="2"/>
                <w:szCs w:val="21"/>
                <w:lang w:val="en-US" w:eastAsia="zh-CN"/>
              </w:rPr>
              <w:t>2</w:t>
            </w:r>
          </w:p>
        </w:tc>
        <w:tc>
          <w:tcPr>
            <w:tcW w:w="1545"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5" w:hRule="atLeast"/>
          <w:jc w:val="center"/>
        </w:trPr>
        <w:tc>
          <w:tcPr>
            <w:tcW w:w="1136" w:type="dxa"/>
            <w:vMerge w:val="continue"/>
            <w:vAlign w:val="center"/>
          </w:tcPr>
          <w:p>
            <w:pPr>
              <w:pStyle w:val="26"/>
              <w:rPr>
                <w:kern w:val="2"/>
                <w:szCs w:val="21"/>
                <w:lang w:val="en-US" w:eastAsia="zh-CN"/>
              </w:rPr>
            </w:pPr>
          </w:p>
        </w:tc>
        <w:tc>
          <w:tcPr>
            <w:tcW w:w="2062" w:type="dxa"/>
            <w:vMerge w:val="continue"/>
            <w:vAlign w:val="center"/>
          </w:tcPr>
          <w:p>
            <w:pPr>
              <w:pStyle w:val="26"/>
              <w:rPr>
                <w:kern w:val="2"/>
                <w:szCs w:val="21"/>
                <w:lang w:val="en-US" w:eastAsia="zh-CN"/>
              </w:rPr>
            </w:pPr>
          </w:p>
        </w:tc>
        <w:tc>
          <w:tcPr>
            <w:tcW w:w="2757" w:type="dxa"/>
            <w:gridSpan w:val="2"/>
            <w:vAlign w:val="center"/>
          </w:tcPr>
          <w:p>
            <w:pPr>
              <w:pStyle w:val="26"/>
              <w:rPr>
                <w:kern w:val="2"/>
                <w:szCs w:val="21"/>
                <w:lang w:val="en-US" w:eastAsia="zh-CN"/>
              </w:rPr>
            </w:pPr>
            <w:r>
              <w:rPr>
                <w:rFonts w:hint="eastAsia"/>
                <w:kern w:val="2"/>
                <w:szCs w:val="21"/>
                <w:lang w:val="en-US" w:eastAsia="zh-CN"/>
              </w:rPr>
              <w:t>普通包装材料</w:t>
            </w:r>
          </w:p>
        </w:tc>
        <w:tc>
          <w:tcPr>
            <w:tcW w:w="2208" w:type="dxa"/>
            <w:vAlign w:val="center"/>
          </w:tcPr>
          <w:p>
            <w:pPr>
              <w:pStyle w:val="26"/>
              <w:rPr>
                <w:kern w:val="2"/>
                <w:szCs w:val="21"/>
                <w:lang w:val="en-US" w:eastAsia="zh-CN"/>
              </w:rPr>
            </w:pPr>
            <w:r>
              <w:rPr>
                <w:kern w:val="2"/>
                <w:szCs w:val="21"/>
                <w:lang w:val="en-US" w:eastAsia="zh-CN"/>
              </w:rPr>
              <w:t>1.0</w:t>
            </w:r>
          </w:p>
        </w:tc>
        <w:tc>
          <w:tcPr>
            <w:tcW w:w="1545"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5" w:hRule="atLeast"/>
          <w:jc w:val="center"/>
        </w:trPr>
        <w:tc>
          <w:tcPr>
            <w:tcW w:w="1136" w:type="dxa"/>
            <w:vMerge w:val="continue"/>
            <w:vAlign w:val="center"/>
          </w:tcPr>
          <w:p>
            <w:pPr>
              <w:pStyle w:val="26"/>
              <w:rPr>
                <w:kern w:val="2"/>
                <w:szCs w:val="21"/>
                <w:lang w:val="en-US" w:eastAsia="zh-CN"/>
              </w:rPr>
            </w:pPr>
          </w:p>
        </w:tc>
        <w:tc>
          <w:tcPr>
            <w:tcW w:w="2062" w:type="dxa"/>
            <w:vMerge w:val="restart"/>
            <w:vAlign w:val="center"/>
          </w:tcPr>
          <w:p>
            <w:pPr>
              <w:pStyle w:val="26"/>
              <w:rPr>
                <w:kern w:val="2"/>
                <w:szCs w:val="21"/>
                <w:lang w:val="en-US" w:eastAsia="zh-CN"/>
              </w:rPr>
            </w:pPr>
            <w:r>
              <w:rPr>
                <w:rFonts w:hint="eastAsia"/>
                <w:kern w:val="2"/>
                <w:szCs w:val="21"/>
                <w:lang w:val="en-US" w:eastAsia="zh-CN"/>
              </w:rPr>
              <w:t>织布车间</w:t>
            </w:r>
          </w:p>
        </w:tc>
        <w:tc>
          <w:tcPr>
            <w:tcW w:w="2757" w:type="dxa"/>
            <w:gridSpan w:val="2"/>
            <w:vAlign w:val="center"/>
          </w:tcPr>
          <w:p>
            <w:pPr>
              <w:pStyle w:val="26"/>
              <w:rPr>
                <w:kern w:val="2"/>
                <w:szCs w:val="21"/>
                <w:lang w:val="en-US" w:eastAsia="zh-CN"/>
              </w:rPr>
            </w:pPr>
            <w:r>
              <w:rPr>
                <w:rFonts w:hint="eastAsia"/>
                <w:kern w:val="2"/>
                <w:szCs w:val="21"/>
                <w:lang w:val="en-US" w:eastAsia="zh-CN"/>
              </w:rPr>
              <w:t>废弃棉线</w:t>
            </w:r>
          </w:p>
        </w:tc>
        <w:tc>
          <w:tcPr>
            <w:tcW w:w="2208" w:type="dxa"/>
            <w:vAlign w:val="center"/>
          </w:tcPr>
          <w:p>
            <w:pPr>
              <w:pStyle w:val="26"/>
              <w:rPr>
                <w:kern w:val="2"/>
                <w:szCs w:val="21"/>
                <w:lang w:val="en-US" w:eastAsia="zh-CN"/>
              </w:rPr>
            </w:pPr>
            <w:r>
              <w:rPr>
                <w:rFonts w:hint="eastAsia"/>
                <w:kern w:val="2"/>
                <w:szCs w:val="21"/>
                <w:lang w:val="en-US" w:eastAsia="zh-CN"/>
              </w:rPr>
              <w:t>16</w:t>
            </w:r>
          </w:p>
        </w:tc>
        <w:tc>
          <w:tcPr>
            <w:tcW w:w="1545"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5" w:hRule="atLeast"/>
          <w:jc w:val="center"/>
        </w:trPr>
        <w:tc>
          <w:tcPr>
            <w:tcW w:w="1136" w:type="dxa"/>
            <w:vMerge w:val="continue"/>
            <w:vAlign w:val="center"/>
          </w:tcPr>
          <w:p>
            <w:pPr>
              <w:pStyle w:val="26"/>
              <w:rPr>
                <w:kern w:val="2"/>
                <w:szCs w:val="21"/>
                <w:lang w:val="en-US" w:eastAsia="zh-CN"/>
              </w:rPr>
            </w:pPr>
          </w:p>
        </w:tc>
        <w:tc>
          <w:tcPr>
            <w:tcW w:w="2062" w:type="dxa"/>
            <w:vMerge w:val="continue"/>
            <w:vAlign w:val="center"/>
          </w:tcPr>
          <w:p>
            <w:pPr>
              <w:pStyle w:val="26"/>
              <w:rPr>
                <w:kern w:val="2"/>
                <w:szCs w:val="21"/>
                <w:lang w:val="en-US" w:eastAsia="zh-CN"/>
              </w:rPr>
            </w:pPr>
          </w:p>
        </w:tc>
        <w:tc>
          <w:tcPr>
            <w:tcW w:w="2757" w:type="dxa"/>
            <w:gridSpan w:val="2"/>
            <w:vAlign w:val="center"/>
          </w:tcPr>
          <w:p>
            <w:pPr>
              <w:pStyle w:val="26"/>
              <w:rPr>
                <w:kern w:val="2"/>
                <w:szCs w:val="21"/>
                <w:lang w:val="en-US" w:eastAsia="zh-CN"/>
              </w:rPr>
            </w:pPr>
            <w:r>
              <w:rPr>
                <w:rFonts w:hint="eastAsia"/>
                <w:kern w:val="2"/>
                <w:szCs w:val="21"/>
                <w:lang w:val="en-US" w:eastAsia="zh-CN"/>
              </w:rPr>
              <w:t>粉尘</w:t>
            </w:r>
          </w:p>
        </w:tc>
        <w:tc>
          <w:tcPr>
            <w:tcW w:w="2208" w:type="dxa"/>
            <w:vAlign w:val="center"/>
          </w:tcPr>
          <w:p>
            <w:pPr>
              <w:pStyle w:val="26"/>
              <w:rPr>
                <w:kern w:val="2"/>
                <w:szCs w:val="21"/>
                <w:lang w:val="en-US" w:eastAsia="zh-CN"/>
              </w:rPr>
            </w:pPr>
            <w:r>
              <w:rPr>
                <w:rFonts w:hint="eastAsia"/>
                <w:kern w:val="2"/>
                <w:szCs w:val="21"/>
                <w:lang w:val="en-US" w:eastAsia="zh-CN"/>
              </w:rPr>
              <w:t>2</w:t>
            </w:r>
          </w:p>
        </w:tc>
        <w:tc>
          <w:tcPr>
            <w:tcW w:w="1545"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Align w:val="center"/>
          </w:tcPr>
          <w:p>
            <w:pPr>
              <w:pStyle w:val="26"/>
              <w:rPr>
                <w:kern w:val="2"/>
                <w:szCs w:val="21"/>
                <w:lang w:val="en-US" w:eastAsia="zh-CN"/>
              </w:rPr>
            </w:pPr>
            <w:r>
              <w:rPr>
                <w:rFonts w:hint="eastAsia"/>
                <w:kern w:val="2"/>
                <w:szCs w:val="21"/>
                <w:lang w:val="en-US" w:eastAsia="zh-CN"/>
              </w:rPr>
              <w:t>生活</w:t>
            </w:r>
          </w:p>
        </w:tc>
        <w:tc>
          <w:tcPr>
            <w:tcW w:w="2757" w:type="dxa"/>
            <w:gridSpan w:val="2"/>
            <w:vAlign w:val="center"/>
          </w:tcPr>
          <w:p>
            <w:pPr>
              <w:pStyle w:val="26"/>
              <w:rPr>
                <w:kern w:val="2"/>
                <w:szCs w:val="21"/>
                <w:lang w:val="en-US" w:eastAsia="zh-CN"/>
              </w:rPr>
            </w:pPr>
            <w:r>
              <w:rPr>
                <w:rFonts w:hint="eastAsia"/>
                <w:kern w:val="2"/>
                <w:szCs w:val="21"/>
                <w:lang w:val="en-US" w:eastAsia="zh-CN"/>
              </w:rPr>
              <w:t>生活垃圾</w:t>
            </w:r>
            <w:r>
              <w:rPr>
                <w:kern w:val="2"/>
                <w:szCs w:val="21"/>
                <w:lang w:val="en-US" w:eastAsia="zh-CN"/>
              </w:rPr>
              <w:t>(t/a)</w:t>
            </w:r>
          </w:p>
        </w:tc>
        <w:tc>
          <w:tcPr>
            <w:tcW w:w="2208" w:type="dxa"/>
            <w:vAlign w:val="center"/>
          </w:tcPr>
          <w:p>
            <w:pPr>
              <w:pStyle w:val="26"/>
              <w:rPr>
                <w:kern w:val="2"/>
                <w:szCs w:val="21"/>
                <w:lang w:val="en-US" w:eastAsia="zh-CN"/>
              </w:rPr>
            </w:pPr>
            <w:r>
              <w:rPr>
                <w:rFonts w:hint="eastAsia"/>
                <w:kern w:val="2"/>
                <w:szCs w:val="21"/>
                <w:lang w:val="en-US" w:eastAsia="zh-CN"/>
              </w:rPr>
              <w:t>1350</w:t>
            </w:r>
          </w:p>
        </w:tc>
        <w:tc>
          <w:tcPr>
            <w:tcW w:w="1545"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Align w:val="center"/>
          </w:tcPr>
          <w:p>
            <w:pPr>
              <w:pStyle w:val="26"/>
              <w:rPr>
                <w:kern w:val="2"/>
                <w:szCs w:val="21"/>
                <w:lang w:val="en-US" w:eastAsia="zh-CN"/>
              </w:rPr>
            </w:pPr>
            <w:r>
              <w:rPr>
                <w:rFonts w:hint="eastAsia"/>
                <w:kern w:val="2"/>
                <w:szCs w:val="21"/>
                <w:lang w:val="en-US" w:eastAsia="zh-CN"/>
              </w:rPr>
              <w:t>厂区</w:t>
            </w:r>
          </w:p>
        </w:tc>
        <w:tc>
          <w:tcPr>
            <w:tcW w:w="2757" w:type="dxa"/>
            <w:gridSpan w:val="2"/>
            <w:vAlign w:val="center"/>
          </w:tcPr>
          <w:p>
            <w:pPr>
              <w:pStyle w:val="26"/>
              <w:rPr>
                <w:kern w:val="2"/>
                <w:szCs w:val="21"/>
                <w:lang w:val="en-US" w:eastAsia="zh-CN"/>
              </w:rPr>
            </w:pPr>
            <w:r>
              <w:rPr>
                <w:rFonts w:hint="eastAsia"/>
                <w:kern w:val="2"/>
                <w:szCs w:val="21"/>
                <w:lang w:val="en-US" w:eastAsia="zh-CN"/>
              </w:rPr>
              <w:t>废矿物油</w:t>
            </w:r>
            <w:r>
              <w:rPr>
                <w:kern w:val="2"/>
                <w:szCs w:val="21"/>
                <w:lang w:val="en-US" w:eastAsia="zh-CN"/>
              </w:rPr>
              <w:t>(t/a)</w:t>
            </w:r>
          </w:p>
        </w:tc>
        <w:tc>
          <w:tcPr>
            <w:tcW w:w="2208" w:type="dxa"/>
            <w:vAlign w:val="center"/>
          </w:tcPr>
          <w:p>
            <w:pPr>
              <w:pStyle w:val="26"/>
              <w:rPr>
                <w:kern w:val="2"/>
                <w:szCs w:val="21"/>
                <w:lang w:val="en-US" w:eastAsia="zh-CN"/>
              </w:rPr>
            </w:pPr>
            <w:r>
              <w:rPr>
                <w:kern w:val="2"/>
                <w:szCs w:val="21"/>
                <w:lang w:val="en-US" w:eastAsia="zh-CN"/>
              </w:rPr>
              <w:t>0.5</w:t>
            </w:r>
          </w:p>
        </w:tc>
        <w:tc>
          <w:tcPr>
            <w:tcW w:w="1545"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36" w:type="dxa"/>
            <w:vMerge w:val="continue"/>
            <w:vAlign w:val="center"/>
          </w:tcPr>
          <w:p>
            <w:pPr>
              <w:pStyle w:val="26"/>
              <w:rPr>
                <w:kern w:val="2"/>
                <w:szCs w:val="21"/>
                <w:lang w:val="en-US" w:eastAsia="zh-CN"/>
              </w:rPr>
            </w:pPr>
          </w:p>
        </w:tc>
        <w:tc>
          <w:tcPr>
            <w:tcW w:w="2062" w:type="dxa"/>
            <w:vAlign w:val="center"/>
          </w:tcPr>
          <w:p>
            <w:pPr>
              <w:pStyle w:val="26"/>
              <w:rPr>
                <w:kern w:val="2"/>
                <w:szCs w:val="21"/>
                <w:lang w:val="en-US" w:eastAsia="zh-CN"/>
              </w:rPr>
            </w:pPr>
            <w:r>
              <w:rPr>
                <w:rFonts w:hint="eastAsia"/>
                <w:kern w:val="2"/>
                <w:szCs w:val="21"/>
                <w:lang w:val="en-US" w:eastAsia="zh-CN"/>
              </w:rPr>
              <w:t>污水处理</w:t>
            </w:r>
          </w:p>
        </w:tc>
        <w:tc>
          <w:tcPr>
            <w:tcW w:w="2757" w:type="dxa"/>
            <w:gridSpan w:val="2"/>
            <w:vAlign w:val="center"/>
          </w:tcPr>
          <w:p>
            <w:pPr>
              <w:pStyle w:val="26"/>
              <w:rPr>
                <w:kern w:val="2"/>
                <w:szCs w:val="21"/>
                <w:lang w:val="en-US" w:eastAsia="zh-CN"/>
              </w:rPr>
            </w:pPr>
            <w:r>
              <w:rPr>
                <w:rFonts w:hint="eastAsia"/>
                <w:kern w:val="2"/>
                <w:szCs w:val="21"/>
                <w:lang w:val="en-US" w:eastAsia="zh-CN"/>
              </w:rPr>
              <w:t>污泥</w:t>
            </w:r>
            <w:r>
              <w:rPr>
                <w:kern w:val="2"/>
                <w:szCs w:val="21"/>
                <w:lang w:val="en-US" w:eastAsia="zh-CN"/>
              </w:rPr>
              <w:t>(t/a)</w:t>
            </w:r>
          </w:p>
        </w:tc>
        <w:tc>
          <w:tcPr>
            <w:tcW w:w="2208" w:type="dxa"/>
            <w:vAlign w:val="center"/>
          </w:tcPr>
          <w:p>
            <w:pPr>
              <w:pStyle w:val="26"/>
              <w:rPr>
                <w:kern w:val="2"/>
                <w:szCs w:val="21"/>
                <w:lang w:val="en-US" w:eastAsia="zh-CN"/>
              </w:rPr>
            </w:pPr>
            <w:r>
              <w:rPr>
                <w:kern w:val="2"/>
                <w:szCs w:val="21"/>
                <w:lang w:val="en-US" w:eastAsia="zh-CN"/>
              </w:rPr>
              <w:t>550</w:t>
            </w:r>
          </w:p>
        </w:tc>
        <w:tc>
          <w:tcPr>
            <w:tcW w:w="1545" w:type="dxa"/>
            <w:vAlign w:val="center"/>
          </w:tcPr>
          <w:p>
            <w:pPr>
              <w:pStyle w:val="26"/>
              <w:rPr>
                <w:kern w:val="2"/>
                <w:szCs w:val="21"/>
                <w:lang w:val="en-US" w:eastAsia="zh-CN"/>
              </w:rPr>
            </w:pPr>
            <w:r>
              <w:rPr>
                <w:rFonts w:hint="eastAsia"/>
                <w:kern w:val="2"/>
                <w:szCs w:val="21"/>
                <w:lang w:val="en-US" w:eastAsia="zh-CN"/>
              </w:rPr>
              <w:t>印染生产区</w:t>
            </w:r>
          </w:p>
        </w:tc>
      </w:tr>
    </w:tbl>
    <w:p>
      <w:pPr>
        <w:ind w:firstLine="480"/>
      </w:pPr>
    </w:p>
    <w:p>
      <w:pPr>
        <w:pStyle w:val="3"/>
      </w:pPr>
      <w:bookmarkStart w:id="21" w:name="_Toc13499"/>
      <w:r>
        <w:rPr>
          <w:rFonts w:hint="eastAsia"/>
        </w:rPr>
        <w:t>现有工程存在的主要问题及拟采取“以新带老”的措施</w:t>
      </w:r>
      <w:bookmarkEnd w:id="21"/>
    </w:p>
    <w:p>
      <w:pPr>
        <w:pStyle w:val="4"/>
        <w:rPr>
          <w:u w:val="single"/>
        </w:rPr>
      </w:pPr>
      <w:r>
        <w:rPr>
          <w:rFonts w:hint="eastAsia"/>
          <w:u w:val="single"/>
        </w:rPr>
        <w:t>存在的主要问题</w:t>
      </w:r>
    </w:p>
    <w:p>
      <w:pPr>
        <w:ind w:firstLine="480"/>
        <w:rPr>
          <w:u w:val="single"/>
        </w:rPr>
      </w:pPr>
      <w:r>
        <w:rPr>
          <w:rFonts w:hint="eastAsia"/>
          <w:u w:val="single"/>
        </w:rPr>
        <w:t>根据企业提供的资料和现场踏勘，现有厂区在以下问题：</w:t>
      </w:r>
    </w:p>
    <w:p>
      <w:pPr>
        <w:ind w:firstLine="480"/>
        <w:rPr>
          <w:u w:val="single"/>
        </w:rPr>
      </w:pPr>
      <w:r>
        <w:rPr>
          <w:rFonts w:hint="eastAsia"/>
          <w:u w:val="single"/>
        </w:rPr>
        <w:t>①印染生产设备老旧，属于《产业结构调整指导目录（</w:t>
      </w:r>
      <w:r>
        <w:rPr>
          <w:u w:val="single"/>
        </w:rPr>
        <w:t>2011</w:t>
      </w:r>
      <w:r>
        <w:rPr>
          <w:rFonts w:hint="eastAsia"/>
          <w:u w:val="single"/>
        </w:rPr>
        <w:t>年版）》中淘汰设备；</w:t>
      </w:r>
    </w:p>
    <w:p>
      <w:pPr>
        <w:ind w:firstLine="480"/>
        <w:rPr>
          <w:u w:val="single"/>
        </w:rPr>
      </w:pPr>
      <w:r>
        <w:rPr>
          <w:rFonts w:hint="eastAsia"/>
          <w:u w:val="single"/>
        </w:rPr>
        <w:t>②印染车间生产废水未进行回收利用，其印染车间单位产品新鲜水取水量为</w:t>
      </w:r>
      <w:r>
        <w:rPr>
          <w:u w:val="single"/>
        </w:rPr>
        <w:t>4.3</w:t>
      </w:r>
      <w:r>
        <w:rPr>
          <w:rFonts w:hint="eastAsia"/>
          <w:u w:val="single"/>
        </w:rPr>
        <w:t>吨水</w:t>
      </w:r>
      <w:r>
        <w:rPr>
          <w:u w:val="single"/>
        </w:rPr>
        <w:t>/</w:t>
      </w:r>
      <w:r>
        <w:rPr>
          <w:rFonts w:hint="eastAsia"/>
          <w:u w:val="single"/>
        </w:rPr>
        <w:t>百米，不满足《印染行业准入条件</w:t>
      </w:r>
      <w:r>
        <w:rPr>
          <w:u w:val="single"/>
        </w:rPr>
        <w:t>(2010</w:t>
      </w:r>
      <w:r>
        <w:rPr>
          <w:rFonts w:hint="eastAsia"/>
          <w:u w:val="single"/>
        </w:rPr>
        <w:t>年修订版》中规定的“棉、麻、化纤及混纺机织物印染的企业单位产品新鲜水取水量≤</w:t>
      </w:r>
      <w:r>
        <w:rPr>
          <w:u w:val="single"/>
        </w:rPr>
        <w:t>2</w:t>
      </w:r>
      <w:r>
        <w:rPr>
          <w:rFonts w:hint="eastAsia"/>
          <w:u w:val="single"/>
        </w:rPr>
        <w:t>吨水</w:t>
      </w:r>
      <w:r>
        <w:rPr>
          <w:u w:val="single"/>
        </w:rPr>
        <w:t>/</w:t>
      </w:r>
      <w:r>
        <w:rPr>
          <w:rFonts w:hint="eastAsia"/>
          <w:u w:val="single"/>
        </w:rPr>
        <w:t>百米”的要求；</w:t>
      </w:r>
    </w:p>
    <w:p>
      <w:pPr>
        <w:ind w:firstLine="480"/>
        <w:rPr>
          <w:u w:val="single"/>
        </w:rPr>
      </w:pPr>
      <w:r>
        <w:rPr>
          <w:rFonts w:hint="eastAsia"/>
          <w:u w:val="single"/>
        </w:rPr>
        <w:t>③印染车间生产废水直接排入污水处理站处理后排入湘江，不回收利用，与《印染行业准入条件（</w:t>
      </w:r>
      <w:r>
        <w:rPr>
          <w:u w:val="single"/>
        </w:rPr>
        <w:t>2010</w:t>
      </w:r>
      <w:r>
        <w:rPr>
          <w:rFonts w:hint="eastAsia"/>
          <w:u w:val="single"/>
        </w:rPr>
        <w:t>年修订）》中水重复利用率达到</w:t>
      </w:r>
      <w:r>
        <w:rPr>
          <w:u w:val="single"/>
        </w:rPr>
        <w:t>35%</w:t>
      </w:r>
      <w:r>
        <w:rPr>
          <w:rFonts w:hint="eastAsia"/>
          <w:u w:val="single"/>
        </w:rPr>
        <w:t>以上不符；</w:t>
      </w:r>
    </w:p>
    <w:p>
      <w:pPr>
        <w:ind w:firstLine="480"/>
        <w:rPr>
          <w:u w:val="single"/>
        </w:rPr>
      </w:pPr>
      <w:r>
        <w:rPr>
          <w:rFonts w:hint="eastAsia"/>
          <w:u w:val="single"/>
        </w:rPr>
        <w:t>④定型废气未进行收集直接外排；</w:t>
      </w:r>
    </w:p>
    <w:p>
      <w:pPr>
        <w:ind w:firstLine="480"/>
        <w:rPr>
          <w:u w:val="single"/>
        </w:rPr>
      </w:pPr>
      <w:r>
        <w:rPr>
          <w:rFonts w:hint="eastAsia"/>
          <w:u w:val="single"/>
        </w:rPr>
        <w:t>⑤根据污水处理站出口水质现状监测数据可知，污水处理站出口水中</w:t>
      </w:r>
      <w:r>
        <w:rPr>
          <w:u w:val="single"/>
        </w:rPr>
        <w:t>COD</w:t>
      </w:r>
      <w:r>
        <w:rPr>
          <w:rFonts w:hint="eastAsia"/>
          <w:u w:val="single"/>
        </w:rPr>
        <w:t>、</w:t>
      </w:r>
      <w:r>
        <w:rPr>
          <w:u w:val="single"/>
        </w:rPr>
        <w:t>pH</w:t>
      </w:r>
      <w:r>
        <w:rPr>
          <w:rFonts w:hint="eastAsia"/>
          <w:u w:val="single"/>
        </w:rPr>
        <w:t>、SS、氨氮均未达到《纺织染整工业水污染物排放标准》（</w:t>
      </w:r>
      <w:r>
        <w:rPr>
          <w:u w:val="single"/>
        </w:rPr>
        <w:t>GB4287-2012</w:t>
      </w:r>
      <w:r>
        <w:rPr>
          <w:rFonts w:hint="eastAsia"/>
          <w:u w:val="single"/>
        </w:rPr>
        <w:t>）中直接排放的标准限值；</w:t>
      </w:r>
    </w:p>
    <w:p>
      <w:pPr>
        <w:ind w:firstLine="480"/>
        <w:rPr>
          <w:u w:val="single"/>
        </w:rPr>
      </w:pPr>
      <w:r>
        <w:rPr>
          <w:rFonts w:hint="eastAsia"/>
          <w:u w:val="single"/>
        </w:rPr>
        <w:t>⑥现有厂区内有一台</w:t>
      </w:r>
      <w:r>
        <w:rPr>
          <w:u w:val="single"/>
        </w:rPr>
        <w:t>6.5t/h</w:t>
      </w:r>
      <w:r>
        <w:rPr>
          <w:rFonts w:hint="eastAsia"/>
          <w:u w:val="single"/>
        </w:rPr>
        <w:t>燃煤蒸汽锅炉、一台燃煤导热油炉，根据《岳阳市大气防治行动计划》实施方案“到</w:t>
      </w:r>
      <w:r>
        <w:rPr>
          <w:u w:val="single"/>
        </w:rPr>
        <w:t>2017</w:t>
      </w:r>
      <w:r>
        <w:rPr>
          <w:rFonts w:hint="eastAsia"/>
          <w:u w:val="single"/>
        </w:rPr>
        <w:t>年底，全市城市建成区，除必要保留的以外，基本淘汰</w:t>
      </w:r>
      <w:r>
        <w:rPr>
          <w:u w:val="single"/>
        </w:rPr>
        <w:t>10</w:t>
      </w:r>
      <w:r>
        <w:rPr>
          <w:rFonts w:hint="eastAsia"/>
          <w:u w:val="single"/>
        </w:rPr>
        <w:t>蒸吨及以下燃煤锅炉，禁止新建</w:t>
      </w:r>
      <w:r>
        <w:rPr>
          <w:u w:val="single"/>
        </w:rPr>
        <w:t>20</w:t>
      </w:r>
      <w:r>
        <w:rPr>
          <w:rFonts w:hint="eastAsia"/>
          <w:u w:val="single"/>
        </w:rPr>
        <w:t>蒸吨及以下燃煤锅炉；其他地区不再新建</w:t>
      </w:r>
      <w:r>
        <w:rPr>
          <w:u w:val="single"/>
        </w:rPr>
        <w:t>10</w:t>
      </w:r>
      <w:r>
        <w:rPr>
          <w:rFonts w:hint="eastAsia"/>
          <w:u w:val="single"/>
        </w:rPr>
        <w:t>蒸吨及以下燃煤锅炉。”，则该两台燃煤锅炉属于即将淘汰的锅炉；</w:t>
      </w:r>
    </w:p>
    <w:p>
      <w:pPr>
        <w:ind w:firstLine="480"/>
        <w:rPr>
          <w:u w:val="single"/>
        </w:rPr>
      </w:pPr>
      <w:r>
        <w:rPr>
          <w:rFonts w:hint="eastAsia"/>
          <w:u w:val="single"/>
        </w:rPr>
        <w:t>⑦根据对导热油锅炉排气筒出口现场检测结果可知，该锅炉废气中颗粒物超过了《锅炉大气污染物排放标准》（</w:t>
      </w:r>
      <w:r>
        <w:rPr>
          <w:u w:val="single"/>
        </w:rPr>
        <w:t>GB13271-2014</w:t>
      </w:r>
      <w:r>
        <w:rPr>
          <w:rFonts w:hint="eastAsia"/>
          <w:u w:val="single"/>
        </w:rPr>
        <w:t>）中燃煤锅炉标准限值；</w:t>
      </w:r>
    </w:p>
    <w:p>
      <w:pPr>
        <w:ind w:firstLine="480"/>
        <w:rPr>
          <w:u w:val="single"/>
        </w:rPr>
      </w:pPr>
      <w:r>
        <w:rPr>
          <w:rFonts w:hint="eastAsia"/>
          <w:u w:val="single"/>
        </w:rPr>
        <w:t>⑧厂区内未设置危废暂存间，现有工程固废中污泥和含有染料废包装物属于危废，未得到妥善处理。</w:t>
      </w:r>
    </w:p>
    <w:p>
      <w:pPr>
        <w:pStyle w:val="4"/>
      </w:pPr>
      <w:r>
        <w:rPr>
          <w:rFonts w:hint="eastAsia"/>
        </w:rPr>
        <w:t>拟采取“以新带老”的措施</w:t>
      </w:r>
    </w:p>
    <w:p>
      <w:pPr>
        <w:numPr>
          <w:ilvl w:val="0"/>
          <w:numId w:val="6"/>
        </w:numPr>
        <w:ind w:firstLine="480"/>
        <w:rPr>
          <w:u w:val="single"/>
        </w:rPr>
      </w:pPr>
      <w:r>
        <w:rPr>
          <w:rFonts w:hint="eastAsia"/>
          <w:u w:val="single"/>
        </w:rPr>
        <w:t>对于存在淘汰设备的问题采取的措施</w:t>
      </w:r>
    </w:p>
    <w:p>
      <w:pPr>
        <w:ind w:firstLine="480"/>
        <w:rPr>
          <w:u w:val="single"/>
        </w:rPr>
      </w:pPr>
      <w:r>
        <w:rPr>
          <w:rFonts w:hint="eastAsia"/>
          <w:u w:val="single"/>
        </w:rPr>
        <w:t>对于印染车间现有生产设备属于淘汰的设备进行淘汰，并新购置生产设备。禁止购置《产业结构调整指导目录（</w:t>
      </w:r>
      <w:r>
        <w:rPr>
          <w:u w:val="single"/>
        </w:rPr>
        <w:t>2011</w:t>
      </w:r>
      <w:r>
        <w:rPr>
          <w:rFonts w:hint="eastAsia"/>
          <w:u w:val="single"/>
        </w:rPr>
        <w:t>年版）》中规定的淘汰设备（如：未经改造的74型染整设备，蒸汽加热敞开无密闭的印染平洗槽，使用年限超过15年的国产和使用年限超过20年的进口印染前处理设备、拉幅和定形设备、圆网和平网印花机、连续染色机）。</w:t>
      </w:r>
    </w:p>
    <w:p>
      <w:pPr>
        <w:numPr>
          <w:ilvl w:val="0"/>
          <w:numId w:val="6"/>
        </w:numPr>
        <w:ind w:firstLine="480"/>
        <w:rPr>
          <w:u w:val="single"/>
        </w:rPr>
      </w:pPr>
      <w:r>
        <w:rPr>
          <w:rFonts w:hint="eastAsia"/>
          <w:u w:val="single"/>
        </w:rPr>
        <w:t>对定型废气未收集处理的问题采取的措施</w:t>
      </w:r>
    </w:p>
    <w:p>
      <w:pPr>
        <w:ind w:firstLine="480"/>
        <w:rPr>
          <w:u w:val="single"/>
        </w:rPr>
      </w:pPr>
      <w:r>
        <w:rPr>
          <w:rFonts w:hint="eastAsia"/>
          <w:u w:val="single"/>
        </w:rPr>
        <w:t>在定型机处安装集气罩，采用负压收集定型废气，定型废气采用高压静电定型废气处理系统进行处理达标后，再通过</w:t>
      </w:r>
      <w:r>
        <w:rPr>
          <w:u w:val="single"/>
        </w:rPr>
        <w:t>15m</w:t>
      </w:r>
      <w:r>
        <w:rPr>
          <w:rFonts w:hint="eastAsia"/>
          <w:u w:val="single"/>
        </w:rPr>
        <w:t>高的排气筒外排。</w:t>
      </w:r>
    </w:p>
    <w:p>
      <w:pPr>
        <w:numPr>
          <w:ilvl w:val="0"/>
          <w:numId w:val="6"/>
        </w:numPr>
        <w:ind w:firstLine="480"/>
        <w:rPr>
          <w:u w:val="single"/>
        </w:rPr>
      </w:pPr>
      <w:r>
        <w:rPr>
          <w:rFonts w:hint="eastAsia"/>
          <w:u w:val="single"/>
        </w:rPr>
        <w:t>对于锅炉进行以新带老的措施</w:t>
      </w:r>
    </w:p>
    <w:p>
      <w:pPr>
        <w:ind w:firstLine="480"/>
        <w:rPr>
          <w:u w:val="single"/>
        </w:rPr>
      </w:pPr>
      <w:r>
        <w:rPr>
          <w:rFonts w:hint="eastAsia"/>
          <w:u w:val="single"/>
        </w:rPr>
        <w:t>①对现有的燃煤锅炉进行改造，改造后，厂区内锅炉均采用成型生物质作为燃料。</w:t>
      </w:r>
    </w:p>
    <w:p>
      <w:pPr>
        <w:ind w:firstLine="480"/>
        <w:rPr>
          <w:u w:val="single"/>
        </w:rPr>
      </w:pPr>
      <w:r>
        <w:rPr>
          <w:rFonts w:hint="eastAsia"/>
          <w:u w:val="single"/>
        </w:rPr>
        <w:t>②新购</w:t>
      </w:r>
      <w:r>
        <w:rPr>
          <w:u w:val="single"/>
        </w:rPr>
        <w:t>1</w:t>
      </w:r>
      <w:r>
        <w:rPr>
          <w:rFonts w:hint="eastAsia"/>
          <w:u w:val="single"/>
        </w:rPr>
        <w:t>台</w:t>
      </w:r>
      <w:r>
        <w:rPr>
          <w:u w:val="single"/>
        </w:rPr>
        <w:t>10</w:t>
      </w:r>
      <w:r>
        <w:rPr>
          <w:rFonts w:hint="eastAsia"/>
          <w:u w:val="single"/>
        </w:rPr>
        <w:t>吨燃生物质蒸汽锅炉作为生产供汽使用，将现有的</w:t>
      </w:r>
      <w:r>
        <w:rPr>
          <w:u w:val="single"/>
        </w:rPr>
        <w:t>6.5</w:t>
      </w:r>
      <w:r>
        <w:rPr>
          <w:rFonts w:hint="eastAsia"/>
          <w:u w:val="single"/>
        </w:rPr>
        <w:t>吨蒸汽锅炉作为备用锅炉。</w:t>
      </w:r>
    </w:p>
    <w:p>
      <w:pPr>
        <w:ind w:firstLine="480"/>
        <w:rPr>
          <w:u w:val="single"/>
        </w:rPr>
      </w:pPr>
      <w:r>
        <w:rPr>
          <w:rFonts w:hint="eastAsia"/>
          <w:u w:val="single"/>
        </w:rPr>
        <w:t>③对燃油锅炉废气处理设施定期进行检查和维修，确保环保设施正常运行。</w:t>
      </w:r>
    </w:p>
    <w:p>
      <w:pPr>
        <w:numPr>
          <w:ilvl w:val="0"/>
          <w:numId w:val="6"/>
        </w:numPr>
        <w:ind w:firstLine="480"/>
        <w:rPr>
          <w:u w:val="single"/>
        </w:rPr>
      </w:pPr>
      <w:r>
        <w:rPr>
          <w:rFonts w:hint="eastAsia"/>
          <w:u w:val="single"/>
        </w:rPr>
        <w:t>污水排放不达标的问题拟采取的措施</w:t>
      </w:r>
    </w:p>
    <w:p>
      <w:pPr>
        <w:ind w:firstLine="480"/>
        <w:rPr>
          <w:u w:val="single"/>
        </w:rPr>
      </w:pPr>
      <w:r>
        <w:rPr>
          <w:rFonts w:hint="eastAsia"/>
          <w:u w:val="single"/>
        </w:rPr>
        <w:t>根据现状监测数据可知，污水处理站出口水质达到《纺织染整工业水污染物排放标准》（</w:t>
      </w:r>
      <w:r>
        <w:rPr>
          <w:u w:val="single"/>
        </w:rPr>
        <w:t>GB4287-2012</w:t>
      </w:r>
      <w:r>
        <w:rPr>
          <w:rFonts w:hint="eastAsia"/>
          <w:u w:val="single"/>
        </w:rPr>
        <w:t>）中间接排放的标准限值，因此，在厂区内新建污水管道与市政污水管网接通，将污水处理站处理后的废水排入市政污水管网进入营田镇污水处理厂进一步处理达标后排入湘江。</w:t>
      </w:r>
    </w:p>
    <w:p>
      <w:pPr>
        <w:numPr>
          <w:ilvl w:val="0"/>
          <w:numId w:val="6"/>
        </w:numPr>
        <w:ind w:firstLine="480"/>
        <w:rPr>
          <w:u w:val="single"/>
        </w:rPr>
      </w:pPr>
      <w:r>
        <w:rPr>
          <w:rFonts w:hint="eastAsia"/>
          <w:u w:val="single"/>
        </w:rPr>
        <w:t>废水回收利用问题拟采取的措施</w:t>
      </w:r>
    </w:p>
    <w:p>
      <w:pPr>
        <w:ind w:firstLine="480"/>
        <w:rPr>
          <w:u w:val="single"/>
        </w:rPr>
      </w:pPr>
      <w:r>
        <w:rPr>
          <w:rFonts w:hint="eastAsia"/>
          <w:u w:val="single"/>
        </w:rPr>
        <w:t>①新建废水回收装置，染色液进行回收重复利用；</w:t>
      </w:r>
    </w:p>
    <w:p>
      <w:pPr>
        <w:ind w:firstLine="480"/>
        <w:rPr>
          <w:u w:val="single"/>
        </w:rPr>
      </w:pPr>
      <w:r>
        <w:rPr>
          <w:rFonts w:hint="eastAsia"/>
          <w:u w:val="single"/>
        </w:rPr>
        <w:t>②对处理达标后的废水进行回收利用与染色工序。</w:t>
      </w:r>
    </w:p>
    <w:p>
      <w:pPr>
        <w:numPr>
          <w:ilvl w:val="0"/>
          <w:numId w:val="6"/>
        </w:numPr>
        <w:ind w:firstLine="480"/>
        <w:rPr>
          <w:u w:val="single"/>
        </w:rPr>
      </w:pPr>
      <w:r>
        <w:rPr>
          <w:rFonts w:hint="eastAsia"/>
          <w:u w:val="single"/>
        </w:rPr>
        <w:t>固废处理问题拟采取的措施</w:t>
      </w:r>
    </w:p>
    <w:p>
      <w:pPr>
        <w:ind w:firstLine="480"/>
        <w:rPr>
          <w:u w:val="single"/>
        </w:rPr>
      </w:pPr>
      <w:r>
        <w:rPr>
          <w:rFonts w:hint="eastAsia"/>
          <w:u w:val="single"/>
        </w:rPr>
        <w:t>①新建污泥暂存池，定期将污泥交由有资质单位处理；</w:t>
      </w:r>
    </w:p>
    <w:p>
      <w:pPr>
        <w:ind w:firstLine="480"/>
        <w:rPr>
          <w:u w:val="single"/>
        </w:rPr>
        <w:sectPr>
          <w:pgSz w:w="11906" w:h="16838"/>
          <w:pgMar w:top="1440" w:right="1417" w:bottom="1440" w:left="1417" w:header="851" w:footer="992" w:gutter="0"/>
          <w:cols w:space="0" w:num="1"/>
          <w:docGrid w:type="lines" w:linePitch="332" w:charSpace="0"/>
        </w:sectPr>
      </w:pPr>
      <w:r>
        <w:rPr>
          <w:rFonts w:hint="eastAsia"/>
          <w:u w:val="single"/>
        </w:rPr>
        <w:t>②新建危废暂存间，并对危废进行分类暂存，定期交由有资质单位处理。</w:t>
      </w:r>
    </w:p>
    <w:p>
      <w:pPr>
        <w:pStyle w:val="2"/>
      </w:pPr>
      <w:bookmarkStart w:id="22" w:name="_Toc18425"/>
      <w:r>
        <w:rPr>
          <w:rFonts w:hint="eastAsia"/>
        </w:rPr>
        <w:t>技改工程概况及工程分析</w:t>
      </w:r>
      <w:bookmarkEnd w:id="22"/>
    </w:p>
    <w:p>
      <w:pPr>
        <w:pStyle w:val="3"/>
      </w:pPr>
      <w:bookmarkStart w:id="23" w:name="_Toc22754"/>
      <w:r>
        <w:rPr>
          <w:rFonts w:hint="eastAsia"/>
        </w:rPr>
        <w:t>技改工程概况</w:t>
      </w:r>
      <w:bookmarkEnd w:id="23"/>
    </w:p>
    <w:p>
      <w:pPr>
        <w:ind w:firstLine="480"/>
      </w:pPr>
      <w:r>
        <w:rPr>
          <w:rFonts w:hint="eastAsia"/>
        </w:rPr>
        <w:t>项目名称：年印染1920万m/a</w:t>
      </w:r>
      <w:r>
        <w:rPr>
          <w:rFonts w:hint="eastAsia"/>
          <w:lang w:eastAsia="zh-CN"/>
        </w:rPr>
        <w:t>面料</w:t>
      </w:r>
      <w:r>
        <w:rPr>
          <w:rFonts w:hint="eastAsia"/>
        </w:rPr>
        <w:t>技改项目</w:t>
      </w:r>
    </w:p>
    <w:p>
      <w:pPr>
        <w:ind w:firstLine="480"/>
      </w:pPr>
      <w:r>
        <w:rPr>
          <w:rFonts w:hint="eastAsia"/>
        </w:rPr>
        <w:t>建设单位：湖南德科纺织印染有限公司</w:t>
      </w:r>
    </w:p>
    <w:p>
      <w:pPr>
        <w:ind w:firstLine="480"/>
      </w:pPr>
      <w:r>
        <w:rPr>
          <w:rFonts w:hint="eastAsia"/>
        </w:rPr>
        <w:t>建设地址：岳阳市汨罗市屈原管理区营田镇湖南德科纺织印染有限公司现有厂区内</w:t>
      </w:r>
    </w:p>
    <w:p>
      <w:pPr>
        <w:ind w:firstLine="480"/>
      </w:pPr>
      <w:r>
        <w:rPr>
          <w:rFonts w:hint="eastAsia"/>
        </w:rPr>
        <w:t>建设性质：技改</w:t>
      </w:r>
    </w:p>
    <w:p>
      <w:pPr>
        <w:ind w:firstLine="480"/>
      </w:pPr>
      <w:r>
        <w:rPr>
          <w:rFonts w:hint="eastAsia"/>
        </w:rPr>
        <w:t>总投资：</w:t>
      </w:r>
      <w:r>
        <w:t>7000</w:t>
      </w:r>
      <w:r>
        <w:rPr>
          <w:rFonts w:hint="eastAsia"/>
        </w:rPr>
        <w:t>万元，其中固定资产投资</w:t>
      </w:r>
      <w:r>
        <w:t>3600</w:t>
      </w:r>
      <w:r>
        <w:rPr>
          <w:rFonts w:hint="eastAsia"/>
        </w:rPr>
        <w:t>万元，流动资金</w:t>
      </w:r>
      <w:r>
        <w:t>3400</w:t>
      </w:r>
      <w:r>
        <w:rPr>
          <w:rFonts w:hint="eastAsia"/>
        </w:rPr>
        <w:t>万元。</w:t>
      </w:r>
    </w:p>
    <w:p>
      <w:pPr>
        <w:ind w:firstLine="480"/>
      </w:pPr>
      <w:r>
        <w:rPr>
          <w:rFonts w:hint="eastAsia"/>
        </w:rPr>
        <w:t>劳动制度：实行</w:t>
      </w:r>
      <w:r>
        <w:t>2</w:t>
      </w:r>
      <w:r>
        <w:rPr>
          <w:rFonts w:hint="eastAsia"/>
        </w:rPr>
        <w:t>班制生产、</w:t>
      </w:r>
      <w:r>
        <w:t>8</w:t>
      </w:r>
      <w:r>
        <w:rPr>
          <w:rFonts w:hint="eastAsia"/>
        </w:rPr>
        <w:t>小时</w:t>
      </w:r>
      <w:r>
        <w:t>/</w:t>
      </w:r>
      <w:r>
        <w:rPr>
          <w:rFonts w:hint="eastAsia"/>
        </w:rPr>
        <w:t>班、年工作日为</w:t>
      </w:r>
      <w:r>
        <w:t>300</w:t>
      </w:r>
      <w:r>
        <w:rPr>
          <w:rFonts w:hint="eastAsia"/>
        </w:rPr>
        <w:t>天。</w:t>
      </w:r>
    </w:p>
    <w:p>
      <w:pPr>
        <w:pStyle w:val="4"/>
        <w:rPr>
          <w:b w:val="0"/>
        </w:rPr>
      </w:pPr>
      <w:r>
        <w:rPr>
          <w:rFonts w:hint="eastAsia"/>
        </w:rPr>
        <w:t>技改内容</w:t>
      </w:r>
    </w:p>
    <w:p>
      <w:pPr>
        <w:ind w:firstLine="480"/>
      </w:pPr>
      <w:r>
        <w:rPr>
          <w:rFonts w:hint="eastAsia"/>
        </w:rPr>
        <w:t>根据企业提供资料和现场踏勘，本次技改主要内容如下：</w:t>
      </w:r>
    </w:p>
    <w:p>
      <w:pPr>
        <w:numPr>
          <w:ilvl w:val="0"/>
          <w:numId w:val="7"/>
        </w:numPr>
        <w:ind w:firstLine="480"/>
      </w:pPr>
      <w:r>
        <w:rPr>
          <w:rFonts w:hint="eastAsia"/>
        </w:rPr>
        <w:t>本次技改不对纺纱车间进行技术改造；</w:t>
      </w:r>
    </w:p>
    <w:p>
      <w:pPr>
        <w:numPr>
          <w:ilvl w:val="0"/>
          <w:numId w:val="7"/>
        </w:numPr>
        <w:ind w:firstLine="480"/>
      </w:pPr>
      <w:r>
        <w:rPr>
          <w:rFonts w:hint="eastAsia"/>
        </w:rPr>
        <w:t>技改后，织布车间不再进行生产。</w:t>
      </w:r>
    </w:p>
    <w:p>
      <w:pPr>
        <w:numPr>
          <w:ilvl w:val="0"/>
          <w:numId w:val="7"/>
        </w:numPr>
        <w:ind w:firstLine="480"/>
      </w:pPr>
      <w:r>
        <w:rPr>
          <w:rFonts w:hint="eastAsia"/>
        </w:rPr>
        <w:t>本次技改主要是对印染车间进行技术改造，具体情况：①淘汰现有的所有印染车间设备，新购置不属于淘汰设备的印染生产设备；②优化工艺，简化印染工艺生产流程，减少烧毛、煮练、丝光等工艺流程；③新建废水回收利用系统；改造污水处理设施；新建污水管道将污水处理站和市政污水管网链接，使得污水经厂区污水处理站处理后排入营田镇污水处理厂；④新建定型废气回收装置和处理系统；新增一台</w:t>
      </w:r>
      <w:r>
        <w:t>10</w:t>
      </w:r>
      <w:r>
        <w:rPr>
          <w:rFonts w:hint="eastAsia"/>
        </w:rPr>
        <w:t>吨燃生物质蒸汽锅炉；⑤对现有的</w:t>
      </w:r>
      <w:r>
        <w:t>6.5</w:t>
      </w:r>
      <w:r>
        <w:rPr>
          <w:rFonts w:hint="eastAsia"/>
        </w:rPr>
        <w:t>吨燃煤锅炉和燃煤导热油炉均改造成燃生物质锅炉；⑥新建危废暂存间。</w:t>
      </w:r>
    </w:p>
    <w:p>
      <w:pPr>
        <w:pStyle w:val="4"/>
      </w:pPr>
      <w:r>
        <w:rPr>
          <w:rFonts w:hint="eastAsia"/>
        </w:rPr>
        <w:t>技改后建设内容及规模</w:t>
      </w:r>
    </w:p>
    <w:p>
      <w:pPr>
        <w:ind w:firstLine="480"/>
      </w:pPr>
      <w:r>
        <w:rPr>
          <w:rFonts w:hint="eastAsia"/>
        </w:rPr>
        <w:t>本项目为技改项目，不新征地，主要对现有建筑物和构筑物进行改造，其建设内容及规模见表</w:t>
      </w:r>
      <w:r>
        <w:t>4.1-</w:t>
      </w:r>
      <w:r>
        <w:rPr>
          <w:rFonts w:hint="eastAsia"/>
        </w:rPr>
        <w:t>1，主要经济技术指标见表</w:t>
      </w:r>
      <w:r>
        <w:t>4.1-</w:t>
      </w:r>
      <w:r>
        <w:rPr>
          <w:rFonts w:hint="eastAsia"/>
        </w:rPr>
        <w:t>2。</w:t>
      </w:r>
    </w:p>
    <w:p>
      <w:pPr>
        <w:pStyle w:val="26"/>
        <w:rPr>
          <w:b/>
          <w:bCs/>
        </w:rPr>
      </w:pPr>
      <w:r>
        <w:rPr>
          <w:rFonts w:hint="eastAsia"/>
          <w:b/>
          <w:bCs/>
        </w:rPr>
        <w:t>表4.1-1 技改后建设内容及规模情况一览表</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658"/>
        <w:gridCol w:w="5404"/>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383" w:type="dxa"/>
            <w:vAlign w:val="center"/>
          </w:tcPr>
          <w:p>
            <w:pPr>
              <w:pStyle w:val="26"/>
              <w:rPr>
                <w:kern w:val="2"/>
                <w:szCs w:val="21"/>
                <w:lang w:val="en-US" w:eastAsia="zh-CN"/>
              </w:rPr>
            </w:pPr>
            <w:r>
              <w:rPr>
                <w:rFonts w:hint="eastAsia"/>
                <w:kern w:val="2"/>
                <w:szCs w:val="21"/>
                <w:lang w:val="en-US" w:eastAsia="zh-CN"/>
              </w:rPr>
              <w:t>类别</w:t>
            </w:r>
          </w:p>
        </w:tc>
        <w:tc>
          <w:tcPr>
            <w:tcW w:w="1658" w:type="dxa"/>
            <w:vAlign w:val="center"/>
          </w:tcPr>
          <w:p>
            <w:pPr>
              <w:pStyle w:val="26"/>
              <w:rPr>
                <w:kern w:val="2"/>
                <w:szCs w:val="21"/>
                <w:lang w:val="en-US" w:eastAsia="zh-CN"/>
              </w:rPr>
            </w:pPr>
            <w:r>
              <w:rPr>
                <w:rFonts w:hint="eastAsia"/>
                <w:kern w:val="2"/>
                <w:szCs w:val="21"/>
                <w:lang w:val="en-US" w:eastAsia="zh-CN"/>
              </w:rPr>
              <w:t>名称</w:t>
            </w:r>
          </w:p>
        </w:tc>
        <w:tc>
          <w:tcPr>
            <w:tcW w:w="5404" w:type="dxa"/>
            <w:vAlign w:val="center"/>
          </w:tcPr>
          <w:p>
            <w:pPr>
              <w:pStyle w:val="26"/>
              <w:rPr>
                <w:kern w:val="2"/>
                <w:szCs w:val="21"/>
                <w:lang w:val="en-US" w:eastAsia="zh-CN"/>
              </w:rPr>
            </w:pPr>
            <w:r>
              <w:rPr>
                <w:rFonts w:hint="eastAsia"/>
                <w:kern w:val="2"/>
                <w:szCs w:val="21"/>
                <w:lang w:val="en-US" w:eastAsia="zh-CN"/>
              </w:rPr>
              <w:t>建设内容</w:t>
            </w:r>
          </w:p>
        </w:tc>
        <w:tc>
          <w:tcPr>
            <w:tcW w:w="1409" w:type="dxa"/>
            <w:vAlign w:val="center"/>
          </w:tcPr>
          <w:p>
            <w:pPr>
              <w:pStyle w:val="26"/>
              <w:rPr>
                <w:kern w:val="2"/>
                <w:szCs w:val="21"/>
                <w:lang w:val="en-US" w:eastAsia="zh-CN"/>
              </w:rPr>
            </w:pPr>
            <w:r>
              <w:rPr>
                <w:rFonts w:hint="eastAsia"/>
                <w:kern w:val="2"/>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3" w:type="dxa"/>
            <w:vAlign w:val="center"/>
          </w:tcPr>
          <w:p>
            <w:pPr>
              <w:pStyle w:val="26"/>
              <w:rPr>
                <w:kern w:val="2"/>
                <w:szCs w:val="21"/>
                <w:lang w:val="en-US" w:eastAsia="zh-CN"/>
              </w:rPr>
            </w:pPr>
            <w:r>
              <w:rPr>
                <w:rFonts w:hint="eastAsia"/>
                <w:kern w:val="2"/>
                <w:szCs w:val="21"/>
                <w:lang w:val="en-US" w:eastAsia="zh-CN"/>
              </w:rPr>
              <w:t>主体工程</w:t>
            </w:r>
          </w:p>
        </w:tc>
        <w:tc>
          <w:tcPr>
            <w:tcW w:w="1658" w:type="dxa"/>
            <w:vAlign w:val="center"/>
          </w:tcPr>
          <w:p>
            <w:pPr>
              <w:pStyle w:val="26"/>
              <w:spacing w:line="240" w:lineRule="auto"/>
              <w:rPr>
                <w:kern w:val="2"/>
                <w:szCs w:val="21"/>
                <w:lang w:val="en-US" w:eastAsia="zh-CN"/>
              </w:rPr>
            </w:pPr>
            <w:r>
              <w:rPr>
                <w:rFonts w:hint="eastAsia"/>
                <w:kern w:val="2"/>
                <w:szCs w:val="21"/>
                <w:lang w:val="en-US" w:eastAsia="zh-CN"/>
              </w:rPr>
              <w:t>生产车间</w:t>
            </w:r>
          </w:p>
        </w:tc>
        <w:tc>
          <w:tcPr>
            <w:tcW w:w="5404" w:type="dxa"/>
            <w:vAlign w:val="center"/>
          </w:tcPr>
          <w:p>
            <w:pPr>
              <w:pStyle w:val="26"/>
              <w:spacing w:line="240" w:lineRule="auto"/>
              <w:rPr>
                <w:kern w:val="2"/>
                <w:szCs w:val="21"/>
                <w:lang w:val="en-US" w:eastAsia="zh-CN"/>
              </w:rPr>
            </w:pPr>
            <w:r>
              <w:rPr>
                <w:rFonts w:hint="eastAsia"/>
                <w:kern w:val="2"/>
                <w:szCs w:val="21"/>
                <w:lang w:val="en-US" w:eastAsia="zh-CN"/>
              </w:rPr>
              <w:t>共有2个生产车间，其中1个为纺纱车间、1个印染车间</w:t>
            </w:r>
          </w:p>
        </w:tc>
        <w:tc>
          <w:tcPr>
            <w:tcW w:w="1409" w:type="dxa"/>
            <w:vAlign w:val="center"/>
          </w:tcPr>
          <w:p>
            <w:pPr>
              <w:pStyle w:val="26"/>
              <w:rPr>
                <w:kern w:val="2"/>
                <w:szCs w:val="21"/>
                <w:lang w:val="en-US" w:eastAsia="zh-CN"/>
              </w:rPr>
            </w:pPr>
            <w:r>
              <w:rPr>
                <w:rFonts w:hint="eastAsia"/>
                <w:kern w:val="2"/>
                <w:szCs w:val="21"/>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restart"/>
            <w:vAlign w:val="center"/>
          </w:tcPr>
          <w:p>
            <w:pPr>
              <w:pStyle w:val="26"/>
              <w:rPr>
                <w:kern w:val="2"/>
                <w:szCs w:val="21"/>
                <w:lang w:val="en-US" w:eastAsia="zh-CN"/>
              </w:rPr>
            </w:pPr>
            <w:r>
              <w:rPr>
                <w:rFonts w:hint="eastAsia"/>
                <w:kern w:val="2"/>
                <w:szCs w:val="21"/>
                <w:lang w:val="en-US" w:eastAsia="zh-CN"/>
              </w:rPr>
              <w:t>辅助工程</w:t>
            </w:r>
          </w:p>
        </w:tc>
        <w:tc>
          <w:tcPr>
            <w:tcW w:w="1658" w:type="dxa"/>
            <w:vAlign w:val="center"/>
          </w:tcPr>
          <w:p>
            <w:pPr>
              <w:pStyle w:val="26"/>
              <w:rPr>
                <w:kern w:val="2"/>
                <w:szCs w:val="21"/>
                <w:lang w:val="en-US" w:eastAsia="zh-CN"/>
              </w:rPr>
            </w:pPr>
            <w:r>
              <w:rPr>
                <w:rFonts w:hint="eastAsia"/>
                <w:kern w:val="2"/>
                <w:szCs w:val="21"/>
                <w:lang w:val="en-US" w:eastAsia="zh-CN"/>
              </w:rPr>
              <w:t>办公楼</w:t>
            </w:r>
          </w:p>
        </w:tc>
        <w:tc>
          <w:tcPr>
            <w:tcW w:w="5404" w:type="dxa"/>
            <w:vAlign w:val="center"/>
          </w:tcPr>
          <w:p>
            <w:pPr>
              <w:pStyle w:val="26"/>
              <w:spacing w:line="240" w:lineRule="auto"/>
              <w:rPr>
                <w:kern w:val="2"/>
                <w:szCs w:val="21"/>
                <w:lang w:val="en-US" w:eastAsia="zh-CN"/>
              </w:rPr>
            </w:pPr>
            <w:r>
              <w:rPr>
                <w:rFonts w:hint="eastAsia"/>
                <w:kern w:val="2"/>
                <w:szCs w:val="21"/>
                <w:lang w:val="en-US" w:eastAsia="zh-CN"/>
              </w:rPr>
              <w:t>共有2栋办公楼，其中1栋位于场地东部为综合办公楼、1栋位于印染车间东侧的办公楼为印染生产区办公楼</w:t>
            </w:r>
          </w:p>
        </w:tc>
        <w:tc>
          <w:tcPr>
            <w:tcW w:w="1409" w:type="dxa"/>
            <w:vAlign w:val="center"/>
          </w:tcPr>
          <w:p>
            <w:pPr>
              <w:pStyle w:val="26"/>
              <w:rPr>
                <w:kern w:val="2"/>
                <w:szCs w:val="21"/>
                <w:lang w:val="en-US" w:eastAsia="zh-CN"/>
              </w:rPr>
            </w:pPr>
            <w:r>
              <w:rPr>
                <w:rFonts w:hint="eastAsia"/>
                <w:kern w:val="2"/>
                <w:szCs w:val="21"/>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vAlign w:val="center"/>
          </w:tcPr>
          <w:p>
            <w:pPr>
              <w:pStyle w:val="26"/>
              <w:rPr>
                <w:kern w:val="2"/>
                <w:szCs w:val="21"/>
                <w:lang w:val="en-US" w:eastAsia="zh-CN"/>
              </w:rPr>
            </w:pPr>
          </w:p>
        </w:tc>
        <w:tc>
          <w:tcPr>
            <w:tcW w:w="1658" w:type="dxa"/>
            <w:vAlign w:val="center"/>
          </w:tcPr>
          <w:p>
            <w:pPr>
              <w:pStyle w:val="26"/>
              <w:rPr>
                <w:kern w:val="2"/>
                <w:szCs w:val="21"/>
                <w:lang w:val="en-US" w:eastAsia="zh-CN"/>
              </w:rPr>
            </w:pPr>
            <w:r>
              <w:rPr>
                <w:rFonts w:hint="eastAsia"/>
                <w:kern w:val="2"/>
                <w:szCs w:val="21"/>
                <w:lang w:val="en-US" w:eastAsia="zh-CN"/>
              </w:rPr>
              <w:t>锅炉房</w:t>
            </w:r>
          </w:p>
        </w:tc>
        <w:tc>
          <w:tcPr>
            <w:tcW w:w="5404" w:type="dxa"/>
            <w:vAlign w:val="center"/>
          </w:tcPr>
          <w:p>
            <w:pPr>
              <w:pStyle w:val="26"/>
              <w:spacing w:line="240" w:lineRule="auto"/>
              <w:rPr>
                <w:kern w:val="2"/>
                <w:szCs w:val="21"/>
                <w:lang w:val="en-US" w:eastAsia="zh-CN"/>
              </w:rPr>
            </w:pPr>
            <w:r>
              <w:rPr>
                <w:rFonts w:hint="eastAsia"/>
                <w:kern w:val="2"/>
                <w:szCs w:val="21"/>
                <w:lang w:val="en-US" w:eastAsia="zh-CN"/>
              </w:rPr>
              <w:t>设有3台燃生物质锅炉，其中1台为6.5t/h蒸汽锅炉、1台10t/h蒸汽锅炉、1台4吨导热油锅炉</w:t>
            </w:r>
          </w:p>
        </w:tc>
        <w:tc>
          <w:tcPr>
            <w:tcW w:w="1409" w:type="dxa"/>
            <w:vAlign w:val="center"/>
          </w:tcPr>
          <w:p>
            <w:pPr>
              <w:pStyle w:val="26"/>
              <w:spacing w:line="240" w:lineRule="auto"/>
              <w:rPr>
                <w:kern w:val="2"/>
                <w:szCs w:val="21"/>
                <w:lang w:val="en-US" w:eastAsia="zh-CN"/>
              </w:rPr>
            </w:pPr>
            <w:r>
              <w:rPr>
                <w:rFonts w:hint="eastAsia"/>
                <w:kern w:val="2"/>
                <w:szCs w:val="21"/>
                <w:lang w:val="en-US" w:eastAsia="zh-CN"/>
              </w:rPr>
              <w:t>6.5t/h蒸汽锅炉、4吨导热油锅炉利旧、新建10t/h蒸汽锅炉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restart"/>
            <w:vAlign w:val="center"/>
          </w:tcPr>
          <w:p>
            <w:pPr>
              <w:pStyle w:val="26"/>
              <w:rPr>
                <w:kern w:val="2"/>
                <w:szCs w:val="21"/>
                <w:lang w:val="en-US" w:eastAsia="zh-CN"/>
              </w:rPr>
            </w:pPr>
            <w:r>
              <w:rPr>
                <w:rFonts w:hint="eastAsia"/>
                <w:kern w:val="2"/>
                <w:szCs w:val="21"/>
                <w:lang w:val="en-US" w:eastAsia="zh-CN"/>
              </w:rPr>
              <w:t>公用工程</w:t>
            </w:r>
          </w:p>
        </w:tc>
        <w:tc>
          <w:tcPr>
            <w:tcW w:w="1658" w:type="dxa"/>
            <w:vAlign w:val="center"/>
          </w:tcPr>
          <w:p>
            <w:pPr>
              <w:pStyle w:val="26"/>
              <w:rPr>
                <w:kern w:val="2"/>
                <w:szCs w:val="21"/>
                <w:lang w:val="en-US" w:eastAsia="zh-CN"/>
              </w:rPr>
            </w:pPr>
            <w:r>
              <w:rPr>
                <w:rFonts w:hint="eastAsia"/>
                <w:kern w:val="2"/>
                <w:szCs w:val="21"/>
                <w:lang w:val="en-US" w:eastAsia="zh-CN"/>
              </w:rPr>
              <w:t>给水</w:t>
            </w:r>
          </w:p>
        </w:tc>
        <w:tc>
          <w:tcPr>
            <w:tcW w:w="5404" w:type="dxa"/>
            <w:vAlign w:val="center"/>
          </w:tcPr>
          <w:p>
            <w:pPr>
              <w:pStyle w:val="26"/>
              <w:rPr>
                <w:kern w:val="2"/>
                <w:szCs w:val="21"/>
                <w:lang w:val="en-US" w:eastAsia="zh-CN"/>
              </w:rPr>
            </w:pPr>
            <w:r>
              <w:rPr>
                <w:rFonts w:hint="eastAsia"/>
                <w:kern w:val="2"/>
                <w:szCs w:val="21"/>
                <w:lang w:val="en-US" w:eastAsia="zh-CN"/>
              </w:rPr>
              <w:t>由湖南德科纺织印染有限公司现有给水管网供水</w:t>
            </w:r>
          </w:p>
        </w:tc>
        <w:tc>
          <w:tcPr>
            <w:tcW w:w="1409" w:type="dxa"/>
            <w:vAlign w:val="center"/>
          </w:tcPr>
          <w:p>
            <w:pPr>
              <w:pStyle w:val="26"/>
              <w:rPr>
                <w:kern w:val="2"/>
                <w:szCs w:val="21"/>
                <w:lang w:val="en-US" w:eastAsia="zh-CN"/>
              </w:rPr>
            </w:pPr>
            <w:r>
              <w:rPr>
                <w:rFonts w:hint="eastAsia"/>
                <w:kern w:val="2"/>
                <w:szCs w:val="21"/>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383" w:type="dxa"/>
            <w:vMerge w:val="continue"/>
            <w:vAlign w:val="center"/>
          </w:tcPr>
          <w:p>
            <w:pPr>
              <w:pStyle w:val="26"/>
              <w:rPr>
                <w:kern w:val="2"/>
                <w:szCs w:val="21"/>
                <w:lang w:val="en-US" w:eastAsia="zh-CN"/>
              </w:rPr>
            </w:pPr>
          </w:p>
        </w:tc>
        <w:tc>
          <w:tcPr>
            <w:tcW w:w="1658" w:type="dxa"/>
            <w:vMerge w:val="restart"/>
            <w:vAlign w:val="center"/>
          </w:tcPr>
          <w:p>
            <w:pPr>
              <w:pStyle w:val="26"/>
              <w:rPr>
                <w:kern w:val="2"/>
                <w:szCs w:val="21"/>
                <w:lang w:val="en-US" w:eastAsia="zh-CN"/>
              </w:rPr>
            </w:pPr>
            <w:r>
              <w:rPr>
                <w:rFonts w:hint="eastAsia"/>
                <w:kern w:val="2"/>
                <w:szCs w:val="21"/>
                <w:lang w:val="en-US" w:eastAsia="zh-CN"/>
              </w:rPr>
              <w:t>排水</w:t>
            </w:r>
          </w:p>
        </w:tc>
        <w:tc>
          <w:tcPr>
            <w:tcW w:w="5404" w:type="dxa"/>
            <w:vAlign w:val="center"/>
          </w:tcPr>
          <w:p>
            <w:pPr>
              <w:pStyle w:val="26"/>
              <w:spacing w:line="240" w:lineRule="auto"/>
              <w:jc w:val="both"/>
              <w:rPr>
                <w:kern w:val="2"/>
                <w:szCs w:val="21"/>
                <w:lang w:val="en-US" w:eastAsia="zh-CN"/>
              </w:rPr>
            </w:pPr>
            <w:r>
              <w:rPr>
                <w:rFonts w:hint="eastAsia"/>
                <w:kern w:val="2"/>
                <w:szCs w:val="21"/>
                <w:lang w:val="en-US" w:eastAsia="zh-CN"/>
              </w:rPr>
              <w:t>实行雨污分流，建有</w:t>
            </w:r>
            <w:r>
              <w:rPr>
                <w:kern w:val="2"/>
                <w:szCs w:val="21"/>
                <w:lang w:val="en-US" w:eastAsia="zh-CN"/>
              </w:rPr>
              <w:t>1</w:t>
            </w:r>
            <w:r>
              <w:rPr>
                <w:rFonts w:hint="eastAsia"/>
                <w:kern w:val="2"/>
                <w:szCs w:val="21"/>
                <w:lang w:val="en-US" w:eastAsia="zh-CN"/>
              </w:rPr>
              <w:t>套处理能力为</w:t>
            </w:r>
            <w:r>
              <w:rPr>
                <w:kern w:val="2"/>
                <w:szCs w:val="21"/>
                <w:lang w:val="en-US" w:eastAsia="zh-CN"/>
              </w:rPr>
              <w:t>2000t/d</w:t>
            </w:r>
            <w:r>
              <w:rPr>
                <w:rFonts w:hint="eastAsia"/>
                <w:kern w:val="2"/>
                <w:szCs w:val="21"/>
                <w:lang w:val="en-US" w:eastAsia="zh-CN"/>
              </w:rPr>
              <w:t>污水处理设施，雨水管网、污水管网</w:t>
            </w:r>
          </w:p>
        </w:tc>
        <w:tc>
          <w:tcPr>
            <w:tcW w:w="1409" w:type="dxa"/>
            <w:vAlign w:val="center"/>
          </w:tcPr>
          <w:p>
            <w:pPr>
              <w:pStyle w:val="26"/>
              <w:spacing w:line="240" w:lineRule="auto"/>
              <w:rPr>
                <w:kern w:val="2"/>
                <w:szCs w:val="21"/>
                <w:lang w:val="en-US" w:eastAsia="zh-CN"/>
              </w:rPr>
            </w:pPr>
            <w:r>
              <w:rPr>
                <w:rFonts w:hint="eastAsia"/>
                <w:kern w:val="2"/>
                <w:szCs w:val="21"/>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383" w:type="dxa"/>
            <w:vMerge w:val="continue"/>
            <w:vAlign w:val="center"/>
          </w:tcPr>
          <w:p>
            <w:pPr>
              <w:pStyle w:val="26"/>
              <w:spacing w:line="240" w:lineRule="auto"/>
              <w:jc w:val="both"/>
              <w:rPr>
                <w:kern w:val="2"/>
                <w:szCs w:val="21"/>
                <w:lang w:val="en-US" w:eastAsia="zh-CN"/>
              </w:rPr>
            </w:pPr>
          </w:p>
        </w:tc>
        <w:tc>
          <w:tcPr>
            <w:tcW w:w="1658" w:type="dxa"/>
            <w:vMerge w:val="continue"/>
            <w:vAlign w:val="center"/>
          </w:tcPr>
          <w:p>
            <w:pPr>
              <w:pStyle w:val="26"/>
              <w:spacing w:line="240" w:lineRule="auto"/>
              <w:jc w:val="both"/>
              <w:rPr>
                <w:kern w:val="2"/>
                <w:szCs w:val="21"/>
                <w:lang w:val="en-US" w:eastAsia="zh-CN"/>
              </w:rPr>
            </w:pPr>
          </w:p>
        </w:tc>
        <w:tc>
          <w:tcPr>
            <w:tcW w:w="5404" w:type="dxa"/>
            <w:vAlign w:val="center"/>
          </w:tcPr>
          <w:p>
            <w:pPr>
              <w:pStyle w:val="26"/>
              <w:spacing w:line="240" w:lineRule="auto"/>
              <w:jc w:val="both"/>
              <w:rPr>
                <w:kern w:val="2"/>
                <w:szCs w:val="21"/>
                <w:lang w:val="en-US" w:eastAsia="zh-CN"/>
              </w:rPr>
            </w:pPr>
            <w:r>
              <w:rPr>
                <w:rFonts w:hint="eastAsia"/>
                <w:kern w:val="2"/>
                <w:szCs w:val="21"/>
                <w:lang w:val="en-US" w:eastAsia="zh-CN"/>
              </w:rPr>
              <w:t>新建一套废水回收装置，主要建设内容为</w:t>
            </w:r>
            <w:r>
              <w:rPr>
                <w:kern w:val="2"/>
                <w:szCs w:val="21"/>
                <w:lang w:val="en-US" w:eastAsia="zh-CN"/>
              </w:rPr>
              <w:t>1</w:t>
            </w:r>
            <w:r>
              <w:rPr>
                <w:rFonts w:hint="eastAsia"/>
                <w:kern w:val="2"/>
                <w:szCs w:val="21"/>
                <w:lang w:val="en-US" w:eastAsia="zh-CN"/>
              </w:rPr>
              <w:t>个</w:t>
            </w:r>
            <w:r>
              <w:rPr>
                <w:kern w:val="2"/>
                <w:szCs w:val="21"/>
                <w:lang w:val="en-US" w:eastAsia="zh-CN"/>
              </w:rPr>
              <w:t>50m</w:t>
            </w:r>
            <w:r>
              <w:rPr>
                <w:kern w:val="2"/>
                <w:szCs w:val="21"/>
                <w:vertAlign w:val="superscript"/>
                <w:lang w:val="en-US" w:eastAsia="zh-CN"/>
              </w:rPr>
              <w:t>3</w:t>
            </w:r>
            <w:r>
              <w:rPr>
                <w:rFonts w:hint="eastAsia"/>
                <w:kern w:val="2"/>
                <w:szCs w:val="21"/>
                <w:lang w:val="en-US" w:eastAsia="zh-CN"/>
              </w:rPr>
              <w:t>冷却水回收池，</w:t>
            </w:r>
            <w:r>
              <w:rPr>
                <w:kern w:val="2"/>
                <w:szCs w:val="21"/>
                <w:lang w:val="en-US" w:eastAsia="zh-CN"/>
              </w:rPr>
              <w:t>1</w:t>
            </w:r>
            <w:r>
              <w:rPr>
                <w:rFonts w:hint="eastAsia"/>
                <w:kern w:val="2"/>
                <w:szCs w:val="21"/>
                <w:lang w:val="en-US" w:eastAsia="zh-CN"/>
              </w:rPr>
              <w:t>个</w:t>
            </w:r>
            <w:r>
              <w:rPr>
                <w:kern w:val="2"/>
                <w:szCs w:val="21"/>
                <w:lang w:val="en-US" w:eastAsia="zh-CN"/>
              </w:rPr>
              <w:t>24m</w:t>
            </w:r>
            <w:r>
              <w:rPr>
                <w:kern w:val="2"/>
                <w:szCs w:val="21"/>
                <w:vertAlign w:val="superscript"/>
                <w:lang w:val="en-US" w:eastAsia="zh-CN"/>
              </w:rPr>
              <w:t>3</w:t>
            </w:r>
            <w:r>
              <w:rPr>
                <w:rFonts w:hint="eastAsia"/>
                <w:kern w:val="2"/>
                <w:szCs w:val="21"/>
                <w:lang w:val="en-US" w:eastAsia="zh-CN"/>
              </w:rPr>
              <w:t>染液回收池，</w:t>
            </w:r>
            <w:r>
              <w:rPr>
                <w:kern w:val="2"/>
                <w:szCs w:val="21"/>
                <w:lang w:val="en-US" w:eastAsia="zh-CN"/>
              </w:rPr>
              <w:t>1</w:t>
            </w:r>
            <w:r>
              <w:rPr>
                <w:rFonts w:hint="eastAsia"/>
                <w:kern w:val="2"/>
                <w:szCs w:val="21"/>
                <w:lang w:val="en-US" w:eastAsia="zh-CN"/>
              </w:rPr>
              <w:t>个</w:t>
            </w:r>
            <w:r>
              <w:rPr>
                <w:kern w:val="2"/>
                <w:szCs w:val="21"/>
                <w:lang w:val="en-US" w:eastAsia="zh-CN"/>
              </w:rPr>
              <w:t>32m</w:t>
            </w:r>
            <w:r>
              <w:rPr>
                <w:kern w:val="2"/>
                <w:szCs w:val="21"/>
                <w:vertAlign w:val="superscript"/>
                <w:lang w:val="en-US" w:eastAsia="zh-CN"/>
              </w:rPr>
              <w:t>3</w:t>
            </w:r>
            <w:r>
              <w:rPr>
                <w:rFonts w:hint="eastAsia"/>
                <w:kern w:val="2"/>
                <w:szCs w:val="21"/>
                <w:lang w:val="en-US" w:eastAsia="zh-CN"/>
              </w:rPr>
              <w:t>、</w:t>
            </w:r>
            <w:r>
              <w:rPr>
                <w:kern w:val="2"/>
                <w:szCs w:val="21"/>
                <w:lang w:val="en-US" w:eastAsia="zh-CN"/>
              </w:rPr>
              <w:t>1</w:t>
            </w:r>
            <w:r>
              <w:rPr>
                <w:rFonts w:hint="eastAsia"/>
                <w:kern w:val="2"/>
                <w:szCs w:val="21"/>
                <w:lang w:val="en-US" w:eastAsia="zh-CN"/>
              </w:rPr>
              <w:t>个</w:t>
            </w:r>
            <w:r>
              <w:rPr>
                <w:kern w:val="2"/>
                <w:szCs w:val="21"/>
                <w:lang w:val="en-US" w:eastAsia="zh-CN"/>
              </w:rPr>
              <w:t>864m</w:t>
            </w:r>
            <w:r>
              <w:rPr>
                <w:kern w:val="2"/>
                <w:szCs w:val="21"/>
                <w:vertAlign w:val="superscript"/>
                <w:lang w:val="en-US" w:eastAsia="zh-CN"/>
              </w:rPr>
              <w:t>3</w:t>
            </w:r>
            <w:r>
              <w:rPr>
                <w:rFonts w:hint="eastAsia"/>
                <w:kern w:val="2"/>
                <w:szCs w:val="21"/>
                <w:lang w:val="en-US" w:eastAsia="zh-CN"/>
              </w:rPr>
              <w:t>的废水重复利用回收池，</w:t>
            </w:r>
            <w:r>
              <w:rPr>
                <w:kern w:val="2"/>
                <w:szCs w:val="21"/>
                <w:lang w:val="en-US" w:eastAsia="zh-CN"/>
              </w:rPr>
              <w:t>2</w:t>
            </w:r>
            <w:r>
              <w:rPr>
                <w:rFonts w:hint="eastAsia"/>
                <w:kern w:val="2"/>
                <w:szCs w:val="21"/>
                <w:lang w:val="en-US" w:eastAsia="zh-CN"/>
              </w:rPr>
              <w:t>个废水重复利用回收罐，</w:t>
            </w:r>
            <w:r>
              <w:rPr>
                <w:kern w:val="2"/>
                <w:szCs w:val="21"/>
                <w:lang w:val="en-US" w:eastAsia="zh-CN"/>
              </w:rPr>
              <w:t>1</w:t>
            </w:r>
            <w:r>
              <w:rPr>
                <w:rFonts w:hint="eastAsia"/>
                <w:kern w:val="2"/>
                <w:szCs w:val="21"/>
                <w:lang w:val="en-US" w:eastAsia="zh-CN"/>
              </w:rPr>
              <w:t>个染色废水回收罐，</w:t>
            </w:r>
            <w:r>
              <w:rPr>
                <w:kern w:val="2"/>
                <w:szCs w:val="21"/>
                <w:lang w:val="en-US" w:eastAsia="zh-CN"/>
              </w:rPr>
              <w:t>1</w:t>
            </w:r>
            <w:r>
              <w:rPr>
                <w:rFonts w:hint="eastAsia"/>
                <w:kern w:val="2"/>
                <w:szCs w:val="21"/>
                <w:lang w:val="en-US" w:eastAsia="zh-CN"/>
              </w:rPr>
              <w:t>个清水罐</w:t>
            </w:r>
          </w:p>
        </w:tc>
        <w:tc>
          <w:tcPr>
            <w:tcW w:w="1409" w:type="dxa"/>
            <w:vAlign w:val="center"/>
          </w:tcPr>
          <w:p>
            <w:pPr>
              <w:pStyle w:val="26"/>
              <w:spacing w:line="240" w:lineRule="auto"/>
              <w:rPr>
                <w:kern w:val="2"/>
                <w:szCs w:val="21"/>
                <w:lang w:val="en-US" w:eastAsia="zh-CN"/>
              </w:rPr>
            </w:pPr>
            <w:r>
              <w:rPr>
                <w:rFonts w:hint="eastAsia"/>
                <w:kern w:val="2"/>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383" w:type="dxa"/>
            <w:vMerge w:val="continue"/>
            <w:vAlign w:val="center"/>
          </w:tcPr>
          <w:p>
            <w:pPr>
              <w:pStyle w:val="26"/>
              <w:spacing w:line="240" w:lineRule="auto"/>
              <w:jc w:val="both"/>
              <w:rPr>
                <w:kern w:val="2"/>
                <w:szCs w:val="21"/>
                <w:lang w:val="en-US" w:eastAsia="zh-CN"/>
              </w:rPr>
            </w:pPr>
          </w:p>
        </w:tc>
        <w:tc>
          <w:tcPr>
            <w:tcW w:w="1658" w:type="dxa"/>
            <w:vMerge w:val="continue"/>
            <w:vAlign w:val="center"/>
          </w:tcPr>
          <w:p>
            <w:pPr>
              <w:pStyle w:val="26"/>
              <w:spacing w:line="240" w:lineRule="auto"/>
              <w:jc w:val="both"/>
              <w:rPr>
                <w:kern w:val="2"/>
                <w:szCs w:val="21"/>
                <w:lang w:val="en-US" w:eastAsia="zh-CN"/>
              </w:rPr>
            </w:pPr>
          </w:p>
        </w:tc>
        <w:tc>
          <w:tcPr>
            <w:tcW w:w="5404" w:type="dxa"/>
            <w:vAlign w:val="center"/>
          </w:tcPr>
          <w:p>
            <w:pPr>
              <w:pStyle w:val="26"/>
              <w:spacing w:line="240" w:lineRule="auto"/>
              <w:jc w:val="both"/>
              <w:rPr>
                <w:kern w:val="2"/>
                <w:szCs w:val="21"/>
                <w:lang w:val="en-US" w:eastAsia="zh-CN"/>
              </w:rPr>
            </w:pPr>
            <w:r>
              <w:rPr>
                <w:rFonts w:hint="eastAsia"/>
                <w:kern w:val="2"/>
                <w:szCs w:val="21"/>
                <w:lang w:val="en-US" w:eastAsia="zh-CN"/>
              </w:rPr>
              <w:t>新建污水管道，将污水处理站尾水排入市政污水管网</w:t>
            </w:r>
          </w:p>
        </w:tc>
        <w:tc>
          <w:tcPr>
            <w:tcW w:w="1409" w:type="dxa"/>
            <w:vAlign w:val="center"/>
          </w:tcPr>
          <w:p>
            <w:pPr>
              <w:pStyle w:val="26"/>
              <w:spacing w:line="240" w:lineRule="auto"/>
              <w:rPr>
                <w:kern w:val="2"/>
                <w:szCs w:val="21"/>
                <w:lang w:val="en-US" w:eastAsia="zh-CN"/>
              </w:rPr>
            </w:pPr>
            <w:r>
              <w:rPr>
                <w:rFonts w:hint="eastAsia"/>
                <w:kern w:val="2"/>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vAlign w:val="center"/>
          </w:tcPr>
          <w:p>
            <w:pPr>
              <w:pStyle w:val="26"/>
              <w:rPr>
                <w:kern w:val="2"/>
                <w:szCs w:val="21"/>
                <w:lang w:val="en-US" w:eastAsia="zh-CN"/>
              </w:rPr>
            </w:pPr>
          </w:p>
        </w:tc>
        <w:tc>
          <w:tcPr>
            <w:tcW w:w="1658" w:type="dxa"/>
            <w:vAlign w:val="center"/>
          </w:tcPr>
          <w:p>
            <w:pPr>
              <w:pStyle w:val="26"/>
              <w:rPr>
                <w:kern w:val="2"/>
                <w:szCs w:val="21"/>
                <w:lang w:val="en-US" w:eastAsia="zh-CN"/>
              </w:rPr>
            </w:pPr>
            <w:r>
              <w:rPr>
                <w:rFonts w:hint="eastAsia"/>
                <w:kern w:val="2"/>
                <w:szCs w:val="21"/>
                <w:lang w:val="en-US" w:eastAsia="zh-CN"/>
              </w:rPr>
              <w:t>供电</w:t>
            </w:r>
          </w:p>
        </w:tc>
        <w:tc>
          <w:tcPr>
            <w:tcW w:w="5404" w:type="dxa"/>
            <w:vAlign w:val="center"/>
          </w:tcPr>
          <w:p>
            <w:pPr>
              <w:pStyle w:val="26"/>
              <w:rPr>
                <w:kern w:val="2"/>
                <w:szCs w:val="21"/>
                <w:lang w:val="en-US" w:eastAsia="zh-CN"/>
              </w:rPr>
            </w:pPr>
            <w:r>
              <w:rPr>
                <w:rFonts w:hint="eastAsia"/>
                <w:kern w:val="2"/>
                <w:szCs w:val="21"/>
                <w:lang w:val="en-US" w:eastAsia="zh-CN"/>
              </w:rPr>
              <w:t>由市政供电管网供电</w:t>
            </w:r>
          </w:p>
        </w:tc>
        <w:tc>
          <w:tcPr>
            <w:tcW w:w="1409" w:type="dxa"/>
            <w:vAlign w:val="center"/>
          </w:tcPr>
          <w:p>
            <w:pPr>
              <w:pStyle w:val="26"/>
              <w:rPr>
                <w:kern w:val="2"/>
                <w:szCs w:val="21"/>
                <w:lang w:val="en-US" w:eastAsia="zh-CN"/>
              </w:rPr>
            </w:pPr>
            <w:r>
              <w:rPr>
                <w:rFonts w:hint="eastAsia"/>
                <w:kern w:val="2"/>
                <w:szCs w:val="21"/>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383" w:type="dxa"/>
            <w:vMerge w:val="continue"/>
            <w:vAlign w:val="center"/>
          </w:tcPr>
          <w:p>
            <w:pPr>
              <w:pStyle w:val="26"/>
              <w:rPr>
                <w:kern w:val="2"/>
                <w:szCs w:val="21"/>
                <w:lang w:val="en-US" w:eastAsia="zh-CN"/>
              </w:rPr>
            </w:pPr>
          </w:p>
        </w:tc>
        <w:tc>
          <w:tcPr>
            <w:tcW w:w="1658" w:type="dxa"/>
            <w:vMerge w:val="restart"/>
            <w:vAlign w:val="center"/>
          </w:tcPr>
          <w:p>
            <w:pPr>
              <w:pStyle w:val="26"/>
              <w:spacing w:line="240" w:lineRule="auto"/>
              <w:rPr>
                <w:kern w:val="2"/>
                <w:szCs w:val="21"/>
                <w:lang w:val="en-US" w:eastAsia="zh-CN"/>
              </w:rPr>
            </w:pPr>
            <w:r>
              <w:rPr>
                <w:rFonts w:hint="eastAsia"/>
                <w:kern w:val="2"/>
                <w:szCs w:val="21"/>
                <w:lang w:val="en-US" w:eastAsia="zh-CN"/>
              </w:rPr>
              <w:t>供热</w:t>
            </w:r>
          </w:p>
        </w:tc>
        <w:tc>
          <w:tcPr>
            <w:tcW w:w="5404" w:type="dxa"/>
            <w:vAlign w:val="center"/>
          </w:tcPr>
          <w:p>
            <w:pPr>
              <w:pStyle w:val="26"/>
              <w:jc w:val="both"/>
              <w:rPr>
                <w:kern w:val="2"/>
                <w:szCs w:val="21"/>
                <w:lang w:val="en-US" w:eastAsia="zh-CN"/>
              </w:rPr>
            </w:pPr>
            <w:r>
              <w:rPr>
                <w:rFonts w:hint="eastAsia"/>
                <w:kern w:val="2"/>
                <w:szCs w:val="21"/>
                <w:lang w:val="en-US" w:eastAsia="zh-CN"/>
              </w:rPr>
              <w:t>将原有</w:t>
            </w:r>
            <w:r>
              <w:rPr>
                <w:kern w:val="2"/>
                <w:szCs w:val="21"/>
                <w:lang w:val="en-US" w:eastAsia="zh-CN"/>
              </w:rPr>
              <w:t>6.5</w:t>
            </w:r>
            <w:r>
              <w:rPr>
                <w:rFonts w:hint="eastAsia"/>
                <w:kern w:val="2"/>
                <w:szCs w:val="21"/>
                <w:lang w:val="en-US" w:eastAsia="zh-CN"/>
              </w:rPr>
              <w:t>吨燃煤锅炉改造成燃生物质锅炉，作备用锅炉；</w:t>
            </w:r>
          </w:p>
        </w:tc>
        <w:tc>
          <w:tcPr>
            <w:tcW w:w="1409" w:type="dxa"/>
            <w:vAlign w:val="center"/>
          </w:tcPr>
          <w:p>
            <w:pPr>
              <w:pStyle w:val="26"/>
              <w:spacing w:line="240" w:lineRule="auto"/>
              <w:rPr>
                <w:kern w:val="2"/>
                <w:szCs w:val="21"/>
                <w:lang w:val="en-US" w:eastAsia="zh-CN"/>
              </w:rPr>
            </w:pPr>
            <w:r>
              <w:rPr>
                <w:rFonts w:hint="eastAsia"/>
                <w:kern w:val="2"/>
                <w:szCs w:val="21"/>
                <w:lang w:val="en-US"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383" w:type="dxa"/>
            <w:vMerge w:val="continue"/>
            <w:vAlign w:val="center"/>
          </w:tcPr>
          <w:p>
            <w:pPr>
              <w:pStyle w:val="26"/>
              <w:spacing w:line="240" w:lineRule="auto"/>
              <w:jc w:val="both"/>
              <w:rPr>
                <w:kern w:val="2"/>
                <w:szCs w:val="21"/>
                <w:lang w:val="en-US" w:eastAsia="zh-CN"/>
              </w:rPr>
            </w:pPr>
          </w:p>
        </w:tc>
        <w:tc>
          <w:tcPr>
            <w:tcW w:w="1658" w:type="dxa"/>
            <w:vMerge w:val="continue"/>
            <w:vAlign w:val="center"/>
          </w:tcPr>
          <w:p>
            <w:pPr>
              <w:pStyle w:val="26"/>
              <w:spacing w:line="240" w:lineRule="auto"/>
              <w:jc w:val="both"/>
              <w:rPr>
                <w:kern w:val="2"/>
                <w:szCs w:val="21"/>
                <w:lang w:val="en-US" w:eastAsia="zh-CN"/>
              </w:rPr>
            </w:pPr>
          </w:p>
        </w:tc>
        <w:tc>
          <w:tcPr>
            <w:tcW w:w="5404" w:type="dxa"/>
            <w:vAlign w:val="center"/>
          </w:tcPr>
          <w:p>
            <w:pPr>
              <w:pStyle w:val="26"/>
              <w:jc w:val="both"/>
              <w:rPr>
                <w:kern w:val="2"/>
                <w:szCs w:val="21"/>
                <w:lang w:val="en-US" w:eastAsia="zh-CN"/>
              </w:rPr>
            </w:pPr>
            <w:r>
              <w:rPr>
                <w:rFonts w:hint="eastAsia"/>
                <w:kern w:val="2"/>
                <w:szCs w:val="21"/>
                <w:lang w:val="en-US" w:eastAsia="zh-CN"/>
              </w:rPr>
              <w:t>新建</w:t>
            </w:r>
            <w:r>
              <w:rPr>
                <w:kern w:val="2"/>
                <w:szCs w:val="21"/>
                <w:lang w:val="en-US" w:eastAsia="zh-CN"/>
              </w:rPr>
              <w:t>1</w:t>
            </w:r>
            <w:r>
              <w:rPr>
                <w:rFonts w:hint="eastAsia"/>
                <w:kern w:val="2"/>
                <w:szCs w:val="21"/>
                <w:lang w:val="en-US" w:eastAsia="zh-CN"/>
              </w:rPr>
              <w:t>台</w:t>
            </w:r>
            <w:r>
              <w:rPr>
                <w:kern w:val="2"/>
                <w:szCs w:val="21"/>
                <w:lang w:val="en-US" w:eastAsia="zh-CN"/>
              </w:rPr>
              <w:t>10</w:t>
            </w:r>
            <w:r>
              <w:rPr>
                <w:rFonts w:hint="eastAsia"/>
                <w:kern w:val="2"/>
                <w:szCs w:val="21"/>
                <w:lang w:val="en-US" w:eastAsia="zh-CN"/>
              </w:rPr>
              <w:t>吨燃生物质锅炉供应生产所需蒸汽</w:t>
            </w:r>
          </w:p>
        </w:tc>
        <w:tc>
          <w:tcPr>
            <w:tcW w:w="1409" w:type="dxa"/>
            <w:vAlign w:val="center"/>
          </w:tcPr>
          <w:p>
            <w:pPr>
              <w:pStyle w:val="26"/>
              <w:spacing w:line="240" w:lineRule="auto"/>
              <w:rPr>
                <w:kern w:val="2"/>
                <w:szCs w:val="21"/>
                <w:lang w:val="en-US" w:eastAsia="zh-CN"/>
              </w:rPr>
            </w:pPr>
            <w:r>
              <w:rPr>
                <w:rFonts w:hint="eastAsia"/>
                <w:kern w:val="2"/>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383" w:type="dxa"/>
            <w:vMerge w:val="continue"/>
            <w:vAlign w:val="center"/>
          </w:tcPr>
          <w:p>
            <w:pPr>
              <w:pStyle w:val="26"/>
              <w:spacing w:line="240" w:lineRule="auto"/>
              <w:jc w:val="both"/>
              <w:rPr>
                <w:kern w:val="2"/>
                <w:szCs w:val="21"/>
                <w:lang w:val="en-US" w:eastAsia="zh-CN"/>
              </w:rPr>
            </w:pPr>
          </w:p>
        </w:tc>
        <w:tc>
          <w:tcPr>
            <w:tcW w:w="1658" w:type="dxa"/>
            <w:vMerge w:val="continue"/>
            <w:vAlign w:val="center"/>
          </w:tcPr>
          <w:p>
            <w:pPr>
              <w:pStyle w:val="26"/>
              <w:spacing w:line="240" w:lineRule="auto"/>
              <w:jc w:val="both"/>
              <w:rPr>
                <w:kern w:val="2"/>
                <w:szCs w:val="21"/>
                <w:lang w:val="en-US" w:eastAsia="zh-CN"/>
              </w:rPr>
            </w:pPr>
          </w:p>
        </w:tc>
        <w:tc>
          <w:tcPr>
            <w:tcW w:w="5404" w:type="dxa"/>
            <w:vAlign w:val="center"/>
          </w:tcPr>
          <w:p>
            <w:pPr>
              <w:pStyle w:val="26"/>
              <w:jc w:val="both"/>
              <w:rPr>
                <w:kern w:val="2"/>
                <w:szCs w:val="21"/>
                <w:lang w:val="en-US" w:eastAsia="zh-CN"/>
              </w:rPr>
            </w:pPr>
            <w:r>
              <w:rPr>
                <w:rFonts w:hint="eastAsia"/>
                <w:kern w:val="2"/>
                <w:szCs w:val="21"/>
                <w:lang w:val="en-US" w:eastAsia="zh-CN"/>
              </w:rPr>
              <w:t>将原有</w:t>
            </w:r>
            <w:r>
              <w:rPr>
                <w:kern w:val="2"/>
                <w:szCs w:val="21"/>
                <w:lang w:val="en-US" w:eastAsia="zh-CN"/>
              </w:rPr>
              <w:t>4</w:t>
            </w:r>
            <w:r>
              <w:rPr>
                <w:rFonts w:hint="eastAsia"/>
                <w:kern w:val="2"/>
                <w:szCs w:val="21"/>
                <w:lang w:val="en-US" w:eastAsia="zh-CN"/>
              </w:rPr>
              <w:t>吨导热油炉改造成燃生物质导热油锅炉</w:t>
            </w:r>
          </w:p>
        </w:tc>
        <w:tc>
          <w:tcPr>
            <w:tcW w:w="1409" w:type="dxa"/>
            <w:vAlign w:val="center"/>
          </w:tcPr>
          <w:p>
            <w:pPr>
              <w:pStyle w:val="26"/>
              <w:spacing w:line="240" w:lineRule="auto"/>
              <w:rPr>
                <w:kern w:val="2"/>
                <w:szCs w:val="21"/>
                <w:lang w:val="en-US" w:eastAsia="zh-CN"/>
              </w:rPr>
            </w:pPr>
            <w:r>
              <w:rPr>
                <w:rFonts w:hint="eastAsia"/>
                <w:kern w:val="2"/>
                <w:szCs w:val="21"/>
                <w:lang w:val="en-US"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383" w:type="dxa"/>
            <w:vMerge w:val="restart"/>
            <w:vAlign w:val="center"/>
          </w:tcPr>
          <w:p>
            <w:pPr>
              <w:pStyle w:val="26"/>
              <w:rPr>
                <w:kern w:val="2"/>
                <w:szCs w:val="21"/>
                <w:lang w:val="en-US" w:eastAsia="zh-CN"/>
              </w:rPr>
            </w:pPr>
            <w:r>
              <w:rPr>
                <w:rFonts w:hint="eastAsia"/>
                <w:kern w:val="2"/>
                <w:szCs w:val="21"/>
                <w:lang w:val="en-US" w:eastAsia="zh-CN"/>
              </w:rPr>
              <w:t>环保工程</w:t>
            </w:r>
          </w:p>
        </w:tc>
        <w:tc>
          <w:tcPr>
            <w:tcW w:w="1658" w:type="dxa"/>
            <w:vMerge w:val="restart"/>
            <w:vAlign w:val="center"/>
          </w:tcPr>
          <w:p>
            <w:pPr>
              <w:pStyle w:val="26"/>
              <w:rPr>
                <w:kern w:val="2"/>
                <w:szCs w:val="21"/>
                <w:lang w:val="en-US" w:eastAsia="zh-CN"/>
              </w:rPr>
            </w:pPr>
            <w:r>
              <w:rPr>
                <w:rFonts w:hint="eastAsia"/>
                <w:kern w:val="2"/>
                <w:szCs w:val="21"/>
                <w:lang w:val="en-US" w:eastAsia="zh-CN"/>
              </w:rPr>
              <w:t>废水</w:t>
            </w:r>
          </w:p>
        </w:tc>
        <w:tc>
          <w:tcPr>
            <w:tcW w:w="5404" w:type="dxa"/>
            <w:vAlign w:val="center"/>
          </w:tcPr>
          <w:p>
            <w:pPr>
              <w:pStyle w:val="26"/>
              <w:rPr>
                <w:kern w:val="2"/>
                <w:szCs w:val="21"/>
                <w:lang w:val="en-US" w:eastAsia="zh-CN"/>
              </w:rPr>
            </w:pPr>
            <w:r>
              <w:rPr>
                <w:rFonts w:hint="eastAsia"/>
                <w:kern w:val="2"/>
                <w:szCs w:val="21"/>
                <w:lang w:val="en-US" w:eastAsia="zh-CN"/>
              </w:rPr>
              <w:t>污水处理站</w:t>
            </w:r>
          </w:p>
        </w:tc>
        <w:tc>
          <w:tcPr>
            <w:tcW w:w="1409" w:type="dxa"/>
            <w:vAlign w:val="center"/>
          </w:tcPr>
          <w:p>
            <w:pPr>
              <w:pStyle w:val="26"/>
              <w:rPr>
                <w:kern w:val="2"/>
                <w:szCs w:val="21"/>
                <w:lang w:val="en-US" w:eastAsia="zh-CN"/>
              </w:rPr>
            </w:pPr>
            <w:r>
              <w:rPr>
                <w:rFonts w:hint="eastAsia"/>
                <w:kern w:val="2"/>
                <w:szCs w:val="21"/>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383" w:type="dxa"/>
            <w:vMerge w:val="continue"/>
            <w:vAlign w:val="center"/>
          </w:tcPr>
          <w:p>
            <w:pPr>
              <w:pStyle w:val="26"/>
              <w:rPr>
                <w:kern w:val="2"/>
                <w:szCs w:val="21"/>
                <w:lang w:val="en-US" w:eastAsia="zh-CN"/>
              </w:rPr>
            </w:pPr>
          </w:p>
        </w:tc>
        <w:tc>
          <w:tcPr>
            <w:tcW w:w="1658" w:type="dxa"/>
            <w:vMerge w:val="continue"/>
            <w:vAlign w:val="center"/>
          </w:tcPr>
          <w:p>
            <w:pPr>
              <w:pStyle w:val="26"/>
              <w:rPr>
                <w:kern w:val="2"/>
                <w:szCs w:val="21"/>
                <w:lang w:val="en-US" w:eastAsia="zh-CN"/>
              </w:rPr>
            </w:pPr>
          </w:p>
        </w:tc>
        <w:tc>
          <w:tcPr>
            <w:tcW w:w="5404" w:type="dxa"/>
            <w:vAlign w:val="center"/>
          </w:tcPr>
          <w:p>
            <w:pPr>
              <w:pStyle w:val="26"/>
              <w:rPr>
                <w:kern w:val="2"/>
                <w:szCs w:val="21"/>
                <w:lang w:val="en-US" w:eastAsia="zh-CN"/>
              </w:rPr>
            </w:pPr>
            <w:r>
              <w:rPr>
                <w:rFonts w:hint="eastAsia"/>
                <w:kern w:val="2"/>
                <w:szCs w:val="21"/>
                <w:lang w:val="en-US" w:eastAsia="zh-CN"/>
              </w:rPr>
              <w:t>新建废水回收利用系统</w:t>
            </w:r>
          </w:p>
        </w:tc>
        <w:tc>
          <w:tcPr>
            <w:tcW w:w="1409" w:type="dxa"/>
            <w:vAlign w:val="center"/>
          </w:tcPr>
          <w:p>
            <w:pPr>
              <w:pStyle w:val="26"/>
              <w:rPr>
                <w:kern w:val="2"/>
                <w:szCs w:val="21"/>
                <w:lang w:val="en-US" w:eastAsia="zh-CN"/>
              </w:rPr>
            </w:pPr>
            <w:r>
              <w:rPr>
                <w:rFonts w:hint="eastAsia"/>
                <w:kern w:val="2"/>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383" w:type="dxa"/>
            <w:vMerge w:val="continue"/>
            <w:vAlign w:val="center"/>
          </w:tcPr>
          <w:p>
            <w:pPr>
              <w:pStyle w:val="26"/>
              <w:spacing w:line="240" w:lineRule="auto"/>
              <w:rPr>
                <w:kern w:val="2"/>
                <w:szCs w:val="21"/>
                <w:lang w:val="en-US" w:eastAsia="zh-CN"/>
              </w:rPr>
            </w:pPr>
          </w:p>
        </w:tc>
        <w:tc>
          <w:tcPr>
            <w:tcW w:w="1658" w:type="dxa"/>
            <w:vMerge w:val="continue"/>
            <w:vAlign w:val="center"/>
          </w:tcPr>
          <w:p>
            <w:pPr>
              <w:pStyle w:val="26"/>
              <w:spacing w:line="240" w:lineRule="auto"/>
              <w:rPr>
                <w:kern w:val="2"/>
                <w:szCs w:val="21"/>
                <w:lang w:val="en-US" w:eastAsia="zh-CN"/>
              </w:rPr>
            </w:pPr>
          </w:p>
        </w:tc>
        <w:tc>
          <w:tcPr>
            <w:tcW w:w="5404" w:type="dxa"/>
            <w:vAlign w:val="center"/>
          </w:tcPr>
          <w:p>
            <w:pPr>
              <w:pStyle w:val="26"/>
              <w:rPr>
                <w:kern w:val="2"/>
                <w:szCs w:val="21"/>
                <w:lang w:val="en-US" w:eastAsia="zh-CN"/>
              </w:rPr>
            </w:pPr>
            <w:r>
              <w:rPr>
                <w:rFonts w:hint="eastAsia"/>
                <w:kern w:val="2"/>
                <w:szCs w:val="21"/>
                <w:lang w:val="en-US" w:eastAsia="zh-CN"/>
              </w:rPr>
              <w:t>新建</w:t>
            </w:r>
            <w:r>
              <w:rPr>
                <w:kern w:val="2"/>
                <w:szCs w:val="21"/>
                <w:lang w:val="en-US" w:eastAsia="zh-CN"/>
              </w:rPr>
              <w:t>1000m</w:t>
            </w:r>
            <w:r>
              <w:rPr>
                <w:kern w:val="2"/>
                <w:szCs w:val="21"/>
                <w:vertAlign w:val="superscript"/>
                <w:lang w:val="en-US" w:eastAsia="zh-CN"/>
              </w:rPr>
              <w:t>3</w:t>
            </w:r>
            <w:r>
              <w:rPr>
                <w:rFonts w:hint="eastAsia"/>
                <w:kern w:val="2"/>
                <w:szCs w:val="21"/>
                <w:lang w:val="en-US" w:eastAsia="zh-CN"/>
              </w:rPr>
              <w:t>废水事故应急池</w:t>
            </w:r>
          </w:p>
        </w:tc>
        <w:tc>
          <w:tcPr>
            <w:tcW w:w="1409" w:type="dxa"/>
            <w:vAlign w:val="center"/>
          </w:tcPr>
          <w:p>
            <w:pPr>
              <w:pStyle w:val="26"/>
              <w:rPr>
                <w:kern w:val="2"/>
                <w:szCs w:val="21"/>
                <w:lang w:val="en-US" w:eastAsia="zh-CN"/>
              </w:rPr>
            </w:pPr>
            <w:r>
              <w:rPr>
                <w:rFonts w:hint="eastAsia"/>
                <w:kern w:val="2"/>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383" w:type="dxa"/>
            <w:vMerge w:val="continue"/>
            <w:vAlign w:val="center"/>
          </w:tcPr>
          <w:p>
            <w:pPr>
              <w:pStyle w:val="26"/>
              <w:rPr>
                <w:kern w:val="2"/>
                <w:szCs w:val="21"/>
                <w:lang w:val="en-US" w:eastAsia="zh-CN"/>
              </w:rPr>
            </w:pPr>
          </w:p>
        </w:tc>
        <w:tc>
          <w:tcPr>
            <w:tcW w:w="1658" w:type="dxa"/>
            <w:vMerge w:val="restart"/>
            <w:vAlign w:val="center"/>
          </w:tcPr>
          <w:p>
            <w:pPr>
              <w:pStyle w:val="26"/>
              <w:rPr>
                <w:kern w:val="2"/>
                <w:szCs w:val="21"/>
                <w:lang w:val="en-US" w:eastAsia="zh-CN"/>
              </w:rPr>
            </w:pPr>
            <w:r>
              <w:rPr>
                <w:rFonts w:hint="eastAsia"/>
                <w:kern w:val="2"/>
                <w:szCs w:val="21"/>
                <w:lang w:val="en-US" w:eastAsia="zh-CN"/>
              </w:rPr>
              <w:t>废气</w:t>
            </w:r>
          </w:p>
        </w:tc>
        <w:tc>
          <w:tcPr>
            <w:tcW w:w="5404" w:type="dxa"/>
            <w:vAlign w:val="center"/>
          </w:tcPr>
          <w:p>
            <w:pPr>
              <w:pStyle w:val="26"/>
              <w:rPr>
                <w:kern w:val="2"/>
                <w:szCs w:val="21"/>
                <w:lang w:val="en-US" w:eastAsia="zh-CN"/>
              </w:rPr>
            </w:pPr>
            <w:r>
              <w:rPr>
                <w:rFonts w:hint="eastAsia"/>
                <w:kern w:val="2"/>
                <w:szCs w:val="21"/>
                <w:lang w:val="en-US" w:eastAsia="zh-CN"/>
              </w:rPr>
              <w:t>对</w:t>
            </w:r>
            <w:r>
              <w:rPr>
                <w:kern w:val="2"/>
                <w:szCs w:val="21"/>
                <w:lang w:val="en-US" w:eastAsia="zh-CN"/>
              </w:rPr>
              <w:t>2</w:t>
            </w:r>
            <w:r>
              <w:rPr>
                <w:rFonts w:hint="eastAsia"/>
                <w:kern w:val="2"/>
                <w:szCs w:val="21"/>
                <w:lang w:val="en-US" w:eastAsia="zh-CN"/>
              </w:rPr>
              <w:t>台定型机分别新增一套定型废气处理装置</w:t>
            </w:r>
          </w:p>
        </w:tc>
        <w:tc>
          <w:tcPr>
            <w:tcW w:w="1409" w:type="dxa"/>
            <w:vAlign w:val="center"/>
          </w:tcPr>
          <w:p>
            <w:pPr>
              <w:pStyle w:val="26"/>
              <w:rPr>
                <w:kern w:val="2"/>
                <w:szCs w:val="21"/>
                <w:lang w:val="en-US" w:eastAsia="zh-CN"/>
              </w:rPr>
            </w:pPr>
            <w:r>
              <w:rPr>
                <w:rFonts w:hint="eastAsia"/>
                <w:kern w:val="2"/>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383" w:type="dxa"/>
            <w:vMerge w:val="continue"/>
            <w:vAlign w:val="center"/>
          </w:tcPr>
          <w:p>
            <w:pPr>
              <w:pStyle w:val="26"/>
              <w:rPr>
                <w:kern w:val="2"/>
                <w:szCs w:val="21"/>
                <w:lang w:val="en-US" w:eastAsia="zh-CN"/>
              </w:rPr>
            </w:pPr>
          </w:p>
        </w:tc>
        <w:tc>
          <w:tcPr>
            <w:tcW w:w="1658" w:type="dxa"/>
            <w:vMerge w:val="continue"/>
            <w:vAlign w:val="center"/>
          </w:tcPr>
          <w:p>
            <w:pPr>
              <w:pStyle w:val="26"/>
              <w:rPr>
                <w:kern w:val="2"/>
                <w:szCs w:val="21"/>
                <w:lang w:val="en-US" w:eastAsia="zh-CN"/>
              </w:rPr>
            </w:pPr>
          </w:p>
        </w:tc>
        <w:tc>
          <w:tcPr>
            <w:tcW w:w="5404" w:type="dxa"/>
            <w:vAlign w:val="center"/>
          </w:tcPr>
          <w:p>
            <w:pPr>
              <w:pStyle w:val="26"/>
              <w:rPr>
                <w:kern w:val="2"/>
                <w:szCs w:val="21"/>
                <w:lang w:val="en-US" w:eastAsia="zh-CN"/>
              </w:rPr>
            </w:pPr>
            <w:r>
              <w:rPr>
                <w:rFonts w:hint="eastAsia"/>
                <w:kern w:val="2"/>
                <w:szCs w:val="21"/>
                <w:lang w:val="en-US" w:eastAsia="zh-CN"/>
              </w:rPr>
              <w:t>新建厨房油烟净化装置</w:t>
            </w:r>
          </w:p>
        </w:tc>
        <w:tc>
          <w:tcPr>
            <w:tcW w:w="1409" w:type="dxa"/>
            <w:vAlign w:val="center"/>
          </w:tcPr>
          <w:p>
            <w:pPr>
              <w:pStyle w:val="26"/>
              <w:rPr>
                <w:kern w:val="2"/>
                <w:szCs w:val="21"/>
                <w:lang w:val="en-US" w:eastAsia="zh-CN"/>
              </w:rPr>
            </w:pPr>
            <w:r>
              <w:rPr>
                <w:rFonts w:hint="eastAsia"/>
                <w:kern w:val="2"/>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383" w:type="dxa"/>
            <w:vMerge w:val="continue"/>
            <w:vAlign w:val="center"/>
          </w:tcPr>
          <w:p>
            <w:pPr>
              <w:pStyle w:val="26"/>
              <w:spacing w:line="240" w:lineRule="auto"/>
              <w:rPr>
                <w:kern w:val="2"/>
                <w:szCs w:val="21"/>
                <w:lang w:val="en-US" w:eastAsia="zh-CN"/>
              </w:rPr>
            </w:pPr>
          </w:p>
        </w:tc>
        <w:tc>
          <w:tcPr>
            <w:tcW w:w="1658" w:type="dxa"/>
            <w:vMerge w:val="continue"/>
            <w:vAlign w:val="center"/>
          </w:tcPr>
          <w:p>
            <w:pPr>
              <w:pStyle w:val="26"/>
              <w:spacing w:line="240" w:lineRule="auto"/>
              <w:rPr>
                <w:kern w:val="2"/>
                <w:szCs w:val="21"/>
                <w:lang w:val="en-US" w:eastAsia="zh-CN"/>
              </w:rPr>
            </w:pPr>
          </w:p>
        </w:tc>
        <w:tc>
          <w:tcPr>
            <w:tcW w:w="5404" w:type="dxa"/>
            <w:vAlign w:val="center"/>
          </w:tcPr>
          <w:p>
            <w:pPr>
              <w:pStyle w:val="26"/>
              <w:rPr>
                <w:kern w:val="2"/>
                <w:szCs w:val="21"/>
                <w:lang w:val="en-US" w:eastAsia="zh-CN"/>
              </w:rPr>
            </w:pPr>
            <w:r>
              <w:rPr>
                <w:rFonts w:hint="eastAsia"/>
                <w:kern w:val="2"/>
                <w:szCs w:val="21"/>
                <w:lang w:val="en-US" w:eastAsia="zh-CN"/>
              </w:rPr>
              <w:t>新建一套布袋除尘装置处理</w:t>
            </w:r>
            <w:r>
              <w:rPr>
                <w:kern w:val="2"/>
                <w:szCs w:val="21"/>
                <w:lang w:val="en-US" w:eastAsia="zh-CN"/>
              </w:rPr>
              <w:t>10</w:t>
            </w:r>
            <w:r>
              <w:rPr>
                <w:rFonts w:hint="eastAsia"/>
                <w:kern w:val="2"/>
                <w:szCs w:val="21"/>
                <w:lang w:val="en-US" w:eastAsia="zh-CN"/>
              </w:rPr>
              <w:t>吨锅炉废气</w:t>
            </w:r>
          </w:p>
        </w:tc>
        <w:tc>
          <w:tcPr>
            <w:tcW w:w="1409" w:type="dxa"/>
            <w:vAlign w:val="center"/>
          </w:tcPr>
          <w:p>
            <w:pPr>
              <w:pStyle w:val="26"/>
              <w:rPr>
                <w:kern w:val="2"/>
                <w:szCs w:val="21"/>
                <w:lang w:val="en-US" w:eastAsia="zh-CN"/>
              </w:rPr>
            </w:pPr>
            <w:r>
              <w:rPr>
                <w:rFonts w:hint="eastAsia"/>
                <w:kern w:val="2"/>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383" w:type="dxa"/>
            <w:vMerge w:val="continue"/>
            <w:vAlign w:val="center"/>
          </w:tcPr>
          <w:p>
            <w:pPr>
              <w:pStyle w:val="26"/>
              <w:spacing w:line="240" w:lineRule="auto"/>
              <w:rPr>
                <w:kern w:val="2"/>
                <w:szCs w:val="21"/>
                <w:lang w:val="en-US" w:eastAsia="zh-CN"/>
              </w:rPr>
            </w:pPr>
          </w:p>
        </w:tc>
        <w:tc>
          <w:tcPr>
            <w:tcW w:w="1658" w:type="dxa"/>
            <w:vMerge w:val="continue"/>
            <w:vAlign w:val="center"/>
          </w:tcPr>
          <w:p>
            <w:pPr>
              <w:pStyle w:val="26"/>
              <w:spacing w:line="240" w:lineRule="auto"/>
              <w:rPr>
                <w:kern w:val="2"/>
                <w:szCs w:val="21"/>
                <w:lang w:val="en-US" w:eastAsia="zh-CN"/>
              </w:rPr>
            </w:pPr>
          </w:p>
        </w:tc>
        <w:tc>
          <w:tcPr>
            <w:tcW w:w="5404" w:type="dxa"/>
            <w:vAlign w:val="center"/>
          </w:tcPr>
          <w:p>
            <w:pPr>
              <w:pStyle w:val="26"/>
              <w:spacing w:line="240" w:lineRule="auto"/>
              <w:ind w:firstLine="0" w:firstLineChars="0"/>
              <w:rPr>
                <w:rFonts w:hint="eastAsia"/>
                <w:kern w:val="2"/>
                <w:szCs w:val="21"/>
                <w:lang w:val="en-US" w:eastAsia="zh-CN"/>
              </w:rPr>
            </w:pPr>
            <w:r>
              <w:rPr>
                <w:kern w:val="2"/>
                <w:szCs w:val="21"/>
                <w:lang w:val="en-US" w:eastAsia="zh-CN"/>
              </w:rPr>
              <w:t>6</w:t>
            </w:r>
            <w:r>
              <w:rPr>
                <w:rFonts w:hint="eastAsia"/>
                <w:kern w:val="2"/>
                <w:szCs w:val="21"/>
                <w:lang w:val="en-US" w:eastAsia="zh-CN"/>
              </w:rPr>
              <w:t>.5吨锅炉新增一套布袋除尘装置替代现有麻石水膜处理系统，麻石水膜除尘系统作为备用处理装置</w:t>
            </w:r>
          </w:p>
        </w:tc>
        <w:tc>
          <w:tcPr>
            <w:tcW w:w="1409" w:type="dxa"/>
            <w:vMerge w:val="restart"/>
            <w:vAlign w:val="center"/>
          </w:tcPr>
          <w:p>
            <w:pPr>
              <w:pStyle w:val="26"/>
              <w:ind w:firstLine="0" w:firstLineChars="0"/>
              <w:rPr>
                <w:rFonts w:hint="eastAsia"/>
                <w:kern w:val="2"/>
                <w:szCs w:val="21"/>
                <w:lang w:val="en-US" w:eastAsia="zh-CN"/>
              </w:rPr>
            </w:pPr>
            <w:r>
              <w:rPr>
                <w:rFonts w:hint="eastAsia"/>
                <w:kern w:val="2"/>
                <w:szCs w:val="21"/>
                <w:lang w:val="en-US" w:eastAsia="zh-CN"/>
              </w:rPr>
              <w:t>改造新增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383" w:type="dxa"/>
            <w:vMerge w:val="continue"/>
            <w:vAlign w:val="center"/>
          </w:tcPr>
          <w:p>
            <w:pPr>
              <w:pStyle w:val="26"/>
              <w:spacing w:line="240" w:lineRule="auto"/>
              <w:rPr>
                <w:kern w:val="2"/>
                <w:szCs w:val="21"/>
                <w:lang w:val="en-US" w:eastAsia="zh-CN"/>
              </w:rPr>
            </w:pPr>
          </w:p>
        </w:tc>
        <w:tc>
          <w:tcPr>
            <w:tcW w:w="1658" w:type="dxa"/>
            <w:vMerge w:val="continue"/>
            <w:vAlign w:val="center"/>
          </w:tcPr>
          <w:p>
            <w:pPr>
              <w:pStyle w:val="26"/>
              <w:spacing w:line="240" w:lineRule="auto"/>
              <w:rPr>
                <w:kern w:val="2"/>
                <w:szCs w:val="21"/>
                <w:lang w:val="en-US" w:eastAsia="zh-CN"/>
              </w:rPr>
            </w:pPr>
          </w:p>
        </w:tc>
        <w:tc>
          <w:tcPr>
            <w:tcW w:w="5404" w:type="dxa"/>
            <w:vAlign w:val="center"/>
          </w:tcPr>
          <w:p>
            <w:pPr>
              <w:pStyle w:val="26"/>
              <w:rPr>
                <w:kern w:val="2"/>
                <w:szCs w:val="21"/>
                <w:lang w:val="en-US" w:eastAsia="zh-CN"/>
              </w:rPr>
            </w:pPr>
            <w:r>
              <w:rPr>
                <w:rFonts w:hint="eastAsia"/>
                <w:kern w:val="2"/>
                <w:szCs w:val="21"/>
                <w:lang w:val="en-US" w:eastAsia="zh-CN"/>
              </w:rPr>
              <w:t>导热油炉新增一套布袋除尘装置替代现有水幕除尘系统</w:t>
            </w:r>
          </w:p>
        </w:tc>
        <w:tc>
          <w:tcPr>
            <w:tcW w:w="1409"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vAlign w:val="center"/>
          </w:tcPr>
          <w:p>
            <w:pPr>
              <w:pStyle w:val="26"/>
              <w:rPr>
                <w:kern w:val="2"/>
                <w:szCs w:val="21"/>
                <w:lang w:val="en-US" w:eastAsia="zh-CN"/>
              </w:rPr>
            </w:pPr>
          </w:p>
        </w:tc>
        <w:tc>
          <w:tcPr>
            <w:tcW w:w="1658" w:type="dxa"/>
            <w:vAlign w:val="center"/>
          </w:tcPr>
          <w:p>
            <w:pPr>
              <w:pStyle w:val="26"/>
              <w:rPr>
                <w:kern w:val="2"/>
                <w:szCs w:val="21"/>
                <w:lang w:val="en-US" w:eastAsia="zh-CN"/>
              </w:rPr>
            </w:pPr>
            <w:r>
              <w:rPr>
                <w:rFonts w:hint="eastAsia"/>
                <w:kern w:val="2"/>
                <w:szCs w:val="21"/>
                <w:lang w:val="en-US" w:eastAsia="zh-CN"/>
              </w:rPr>
              <w:t>固废</w:t>
            </w:r>
          </w:p>
        </w:tc>
        <w:tc>
          <w:tcPr>
            <w:tcW w:w="5404" w:type="dxa"/>
            <w:vAlign w:val="center"/>
          </w:tcPr>
          <w:p>
            <w:pPr>
              <w:pStyle w:val="26"/>
              <w:rPr>
                <w:kern w:val="2"/>
                <w:szCs w:val="21"/>
                <w:lang w:val="en-US" w:eastAsia="zh-CN"/>
              </w:rPr>
            </w:pPr>
            <w:r>
              <w:rPr>
                <w:rFonts w:hint="eastAsia"/>
                <w:kern w:val="2"/>
                <w:szCs w:val="21"/>
                <w:lang w:val="en-US" w:eastAsia="zh-CN"/>
              </w:rPr>
              <w:t>新建一间</w:t>
            </w:r>
            <w:r>
              <w:rPr>
                <w:kern w:val="2"/>
                <w:szCs w:val="21"/>
                <w:lang w:val="en-US" w:eastAsia="zh-CN"/>
              </w:rPr>
              <w:t>10m</w:t>
            </w:r>
            <w:r>
              <w:rPr>
                <w:kern w:val="2"/>
                <w:szCs w:val="21"/>
                <w:vertAlign w:val="superscript"/>
                <w:lang w:val="en-US" w:eastAsia="zh-CN"/>
              </w:rPr>
              <w:t>2</w:t>
            </w:r>
            <w:r>
              <w:rPr>
                <w:rFonts w:hint="eastAsia"/>
                <w:kern w:val="2"/>
                <w:szCs w:val="21"/>
                <w:lang w:val="en-US" w:eastAsia="zh-CN"/>
              </w:rPr>
              <w:t>的危废暂存间、规范污泥暂存池</w:t>
            </w:r>
          </w:p>
        </w:tc>
        <w:tc>
          <w:tcPr>
            <w:tcW w:w="1409" w:type="dxa"/>
            <w:vAlign w:val="center"/>
          </w:tcPr>
          <w:p>
            <w:pPr>
              <w:pStyle w:val="26"/>
              <w:rPr>
                <w:kern w:val="2"/>
                <w:szCs w:val="21"/>
                <w:lang w:val="en-US" w:eastAsia="zh-CN"/>
              </w:rPr>
            </w:pPr>
            <w:r>
              <w:rPr>
                <w:rFonts w:hint="eastAsia"/>
                <w:kern w:val="2"/>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vAlign w:val="center"/>
          </w:tcPr>
          <w:p>
            <w:pPr>
              <w:pStyle w:val="26"/>
              <w:rPr>
                <w:kern w:val="2"/>
                <w:szCs w:val="21"/>
                <w:lang w:val="en-US" w:eastAsia="zh-CN"/>
              </w:rPr>
            </w:pPr>
          </w:p>
        </w:tc>
        <w:tc>
          <w:tcPr>
            <w:tcW w:w="1658" w:type="dxa"/>
            <w:vAlign w:val="center"/>
          </w:tcPr>
          <w:p>
            <w:pPr>
              <w:pStyle w:val="26"/>
              <w:rPr>
                <w:kern w:val="2"/>
                <w:szCs w:val="21"/>
                <w:lang w:val="en-US" w:eastAsia="zh-CN"/>
              </w:rPr>
            </w:pPr>
            <w:r>
              <w:rPr>
                <w:rFonts w:hint="eastAsia"/>
                <w:kern w:val="2"/>
                <w:szCs w:val="21"/>
                <w:lang w:val="en-US" w:eastAsia="zh-CN"/>
              </w:rPr>
              <w:t>噪声</w:t>
            </w:r>
          </w:p>
        </w:tc>
        <w:tc>
          <w:tcPr>
            <w:tcW w:w="5404" w:type="dxa"/>
            <w:vAlign w:val="center"/>
          </w:tcPr>
          <w:p>
            <w:pPr>
              <w:pStyle w:val="26"/>
              <w:rPr>
                <w:kern w:val="2"/>
                <w:szCs w:val="21"/>
                <w:lang w:val="en-US" w:eastAsia="zh-CN"/>
              </w:rPr>
            </w:pPr>
            <w:r>
              <w:rPr>
                <w:rFonts w:hint="eastAsia"/>
                <w:kern w:val="2"/>
                <w:szCs w:val="21"/>
                <w:lang w:val="en-US" w:eastAsia="zh-CN"/>
              </w:rPr>
              <w:t>选择低噪声设备，进行隔声减振措施</w:t>
            </w:r>
          </w:p>
        </w:tc>
        <w:tc>
          <w:tcPr>
            <w:tcW w:w="1409" w:type="dxa"/>
            <w:vAlign w:val="center"/>
          </w:tcPr>
          <w:p>
            <w:pPr>
              <w:pStyle w:val="26"/>
              <w:rPr>
                <w:kern w:val="2"/>
                <w:szCs w:val="21"/>
                <w:lang w:val="en-US" w:eastAsia="zh-CN"/>
              </w:rPr>
            </w:pPr>
            <w:r>
              <w:rPr>
                <w:kern w:val="2"/>
                <w:szCs w:val="21"/>
                <w:lang w:val="en-US" w:eastAsia="zh-CN"/>
              </w:rPr>
              <w:t>/</w:t>
            </w:r>
          </w:p>
        </w:tc>
      </w:tr>
    </w:tbl>
    <w:p>
      <w:pPr>
        <w:pStyle w:val="26"/>
        <w:rPr>
          <w:rFonts w:hint="eastAsia"/>
          <w:b/>
          <w:bCs/>
        </w:rPr>
      </w:pPr>
    </w:p>
    <w:p>
      <w:pPr>
        <w:pStyle w:val="26"/>
        <w:rPr>
          <w:rFonts w:hint="eastAsia"/>
          <w:b/>
          <w:bCs/>
        </w:rPr>
      </w:pPr>
    </w:p>
    <w:p>
      <w:pPr>
        <w:pStyle w:val="26"/>
        <w:rPr>
          <w:rFonts w:hint="eastAsia"/>
          <w:b/>
          <w:bCs/>
        </w:rPr>
      </w:pPr>
    </w:p>
    <w:p>
      <w:pPr>
        <w:pStyle w:val="26"/>
        <w:rPr>
          <w:b/>
          <w:bCs/>
        </w:rPr>
      </w:pPr>
      <w:r>
        <w:rPr>
          <w:rFonts w:hint="eastAsia"/>
          <w:b/>
          <w:bCs/>
        </w:rPr>
        <w:t>表4.1-2 技改后主要经济技术指标一览表</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695"/>
        <w:gridCol w:w="1533"/>
        <w:gridCol w:w="1590"/>
        <w:gridCol w:w="4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732" w:type="dxa"/>
            <w:vAlign w:val="center"/>
          </w:tcPr>
          <w:p>
            <w:pPr>
              <w:pStyle w:val="26"/>
              <w:rPr>
                <w:kern w:val="2"/>
                <w:szCs w:val="21"/>
                <w:lang w:val="en-US" w:eastAsia="zh-CN"/>
              </w:rPr>
            </w:pPr>
            <w:r>
              <w:rPr>
                <w:rFonts w:hint="eastAsia"/>
                <w:kern w:val="2"/>
                <w:szCs w:val="21"/>
                <w:lang w:val="en-US" w:eastAsia="zh-CN"/>
              </w:rPr>
              <w:t>序号</w:t>
            </w:r>
          </w:p>
        </w:tc>
        <w:tc>
          <w:tcPr>
            <w:tcW w:w="1695" w:type="dxa"/>
            <w:vAlign w:val="center"/>
          </w:tcPr>
          <w:p>
            <w:pPr>
              <w:pStyle w:val="26"/>
              <w:rPr>
                <w:kern w:val="2"/>
                <w:szCs w:val="21"/>
                <w:lang w:val="en-US" w:eastAsia="zh-CN"/>
              </w:rPr>
            </w:pPr>
            <w:r>
              <w:rPr>
                <w:rFonts w:hint="eastAsia"/>
                <w:kern w:val="2"/>
                <w:szCs w:val="21"/>
                <w:lang w:val="en-US" w:eastAsia="zh-CN"/>
              </w:rPr>
              <w:t>名称</w:t>
            </w:r>
          </w:p>
        </w:tc>
        <w:tc>
          <w:tcPr>
            <w:tcW w:w="1533" w:type="dxa"/>
            <w:vAlign w:val="center"/>
          </w:tcPr>
          <w:p>
            <w:pPr>
              <w:pStyle w:val="26"/>
              <w:rPr>
                <w:kern w:val="2"/>
                <w:szCs w:val="21"/>
                <w:lang w:val="en-US" w:eastAsia="zh-CN"/>
              </w:rPr>
            </w:pPr>
            <w:r>
              <w:rPr>
                <w:rFonts w:hint="eastAsia"/>
                <w:kern w:val="2"/>
                <w:szCs w:val="21"/>
                <w:lang w:val="en-US" w:eastAsia="zh-CN"/>
              </w:rPr>
              <w:t>技改前</w:t>
            </w:r>
          </w:p>
        </w:tc>
        <w:tc>
          <w:tcPr>
            <w:tcW w:w="1590" w:type="dxa"/>
            <w:vAlign w:val="center"/>
          </w:tcPr>
          <w:p>
            <w:pPr>
              <w:pStyle w:val="26"/>
              <w:rPr>
                <w:kern w:val="2"/>
                <w:szCs w:val="21"/>
                <w:lang w:val="en-US" w:eastAsia="zh-CN"/>
              </w:rPr>
            </w:pPr>
            <w:r>
              <w:rPr>
                <w:rFonts w:hint="eastAsia"/>
                <w:kern w:val="2"/>
                <w:szCs w:val="21"/>
                <w:lang w:val="en-US" w:eastAsia="zh-CN"/>
              </w:rPr>
              <w:t>技改后</w:t>
            </w:r>
          </w:p>
        </w:tc>
        <w:tc>
          <w:tcPr>
            <w:tcW w:w="4304" w:type="dxa"/>
            <w:vAlign w:val="center"/>
          </w:tcPr>
          <w:p>
            <w:pPr>
              <w:pStyle w:val="26"/>
              <w:rPr>
                <w:kern w:val="2"/>
                <w:szCs w:val="21"/>
                <w:lang w:val="en-US" w:eastAsia="zh-CN"/>
              </w:rPr>
            </w:pPr>
            <w:r>
              <w:rPr>
                <w:rFonts w:hint="eastAsia"/>
                <w:kern w:val="2"/>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1</w:t>
            </w:r>
          </w:p>
        </w:tc>
        <w:tc>
          <w:tcPr>
            <w:tcW w:w="1695" w:type="dxa"/>
            <w:vAlign w:val="center"/>
          </w:tcPr>
          <w:p>
            <w:pPr>
              <w:pStyle w:val="26"/>
              <w:rPr>
                <w:kern w:val="2"/>
                <w:szCs w:val="21"/>
                <w:lang w:val="en-US" w:eastAsia="zh-CN"/>
              </w:rPr>
            </w:pPr>
            <w:r>
              <w:rPr>
                <w:rFonts w:hint="eastAsia"/>
                <w:kern w:val="2"/>
                <w:szCs w:val="21"/>
                <w:lang w:val="en-US" w:eastAsia="zh-CN"/>
              </w:rPr>
              <w:t>占地面积</w:t>
            </w:r>
          </w:p>
        </w:tc>
        <w:tc>
          <w:tcPr>
            <w:tcW w:w="1533" w:type="dxa"/>
            <w:vAlign w:val="center"/>
          </w:tcPr>
          <w:p>
            <w:pPr>
              <w:pStyle w:val="26"/>
              <w:rPr>
                <w:kern w:val="2"/>
                <w:szCs w:val="21"/>
                <w:lang w:val="en-US" w:eastAsia="zh-CN"/>
              </w:rPr>
            </w:pPr>
            <w:r>
              <w:rPr>
                <w:rFonts w:hint="eastAsia"/>
                <w:kern w:val="2"/>
                <w:szCs w:val="21"/>
                <w:lang w:val="en-US" w:eastAsia="zh-CN"/>
              </w:rPr>
              <w:t>15000</w:t>
            </w:r>
            <w:r>
              <w:rPr>
                <w:kern w:val="2"/>
                <w:szCs w:val="21"/>
                <w:lang w:val="en-US" w:eastAsia="zh-CN"/>
              </w:rPr>
              <w:t>m</w:t>
            </w:r>
            <w:r>
              <w:rPr>
                <w:kern w:val="2"/>
                <w:szCs w:val="21"/>
                <w:vertAlign w:val="superscript"/>
                <w:lang w:val="en-US" w:eastAsia="zh-CN"/>
              </w:rPr>
              <w:t>2</w:t>
            </w:r>
          </w:p>
        </w:tc>
        <w:tc>
          <w:tcPr>
            <w:tcW w:w="1590" w:type="dxa"/>
            <w:vAlign w:val="center"/>
          </w:tcPr>
          <w:p>
            <w:pPr>
              <w:pStyle w:val="26"/>
              <w:rPr>
                <w:kern w:val="2"/>
                <w:szCs w:val="21"/>
                <w:lang w:val="en-US" w:eastAsia="zh-CN"/>
              </w:rPr>
            </w:pPr>
            <w:r>
              <w:rPr>
                <w:rFonts w:hint="eastAsia"/>
                <w:kern w:val="2"/>
                <w:szCs w:val="21"/>
                <w:lang w:val="en-US" w:eastAsia="zh-CN"/>
              </w:rPr>
              <w:t>15000</w:t>
            </w:r>
            <w:r>
              <w:rPr>
                <w:kern w:val="2"/>
                <w:szCs w:val="21"/>
                <w:lang w:val="en-US" w:eastAsia="zh-CN"/>
              </w:rPr>
              <w:t>m</w:t>
            </w:r>
            <w:r>
              <w:rPr>
                <w:kern w:val="2"/>
                <w:szCs w:val="21"/>
                <w:vertAlign w:val="superscript"/>
                <w:lang w:val="en-US" w:eastAsia="zh-CN"/>
              </w:rPr>
              <w:t>2</w:t>
            </w:r>
          </w:p>
        </w:tc>
        <w:tc>
          <w:tcPr>
            <w:tcW w:w="4304"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2</w:t>
            </w:r>
          </w:p>
        </w:tc>
        <w:tc>
          <w:tcPr>
            <w:tcW w:w="1695" w:type="dxa"/>
            <w:vAlign w:val="center"/>
          </w:tcPr>
          <w:p>
            <w:pPr>
              <w:pStyle w:val="26"/>
              <w:rPr>
                <w:kern w:val="2"/>
                <w:szCs w:val="21"/>
                <w:lang w:val="en-US" w:eastAsia="zh-CN"/>
              </w:rPr>
            </w:pPr>
            <w:r>
              <w:rPr>
                <w:rFonts w:hint="eastAsia"/>
                <w:kern w:val="2"/>
                <w:szCs w:val="21"/>
                <w:lang w:val="en-US" w:eastAsia="zh-CN"/>
              </w:rPr>
              <w:t>总建筑面积</w:t>
            </w:r>
          </w:p>
        </w:tc>
        <w:tc>
          <w:tcPr>
            <w:tcW w:w="1533" w:type="dxa"/>
            <w:vAlign w:val="center"/>
          </w:tcPr>
          <w:p>
            <w:pPr>
              <w:pStyle w:val="26"/>
              <w:rPr>
                <w:kern w:val="2"/>
                <w:szCs w:val="21"/>
                <w:lang w:val="en-US" w:eastAsia="zh-CN"/>
              </w:rPr>
            </w:pPr>
            <w:r>
              <w:rPr>
                <w:rFonts w:hint="eastAsia"/>
                <w:kern w:val="2"/>
                <w:szCs w:val="21"/>
                <w:lang w:val="en-US" w:eastAsia="zh-CN"/>
              </w:rPr>
              <w:t>74185</w:t>
            </w:r>
            <w:r>
              <w:rPr>
                <w:kern w:val="2"/>
                <w:szCs w:val="21"/>
                <w:lang w:val="en-US" w:eastAsia="zh-CN"/>
              </w:rPr>
              <w:t>m</w:t>
            </w:r>
            <w:r>
              <w:rPr>
                <w:kern w:val="2"/>
                <w:szCs w:val="21"/>
                <w:vertAlign w:val="superscript"/>
                <w:lang w:val="en-US" w:eastAsia="zh-CN"/>
              </w:rPr>
              <w:t>2</w:t>
            </w:r>
          </w:p>
        </w:tc>
        <w:tc>
          <w:tcPr>
            <w:tcW w:w="1590" w:type="dxa"/>
            <w:vAlign w:val="center"/>
          </w:tcPr>
          <w:p>
            <w:pPr>
              <w:pStyle w:val="26"/>
              <w:rPr>
                <w:kern w:val="2"/>
                <w:szCs w:val="21"/>
                <w:lang w:val="en-US" w:eastAsia="zh-CN"/>
              </w:rPr>
            </w:pPr>
            <w:r>
              <w:rPr>
                <w:rFonts w:hint="eastAsia"/>
                <w:kern w:val="2"/>
                <w:szCs w:val="21"/>
                <w:lang w:val="en-US" w:eastAsia="zh-CN"/>
              </w:rPr>
              <w:t>34284</w:t>
            </w:r>
          </w:p>
        </w:tc>
        <w:tc>
          <w:tcPr>
            <w:tcW w:w="4304"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2.1</w:t>
            </w:r>
          </w:p>
        </w:tc>
        <w:tc>
          <w:tcPr>
            <w:tcW w:w="1695" w:type="dxa"/>
            <w:vAlign w:val="center"/>
          </w:tcPr>
          <w:p>
            <w:pPr>
              <w:pStyle w:val="26"/>
              <w:rPr>
                <w:kern w:val="2"/>
                <w:szCs w:val="21"/>
                <w:lang w:val="en-US" w:eastAsia="zh-CN"/>
              </w:rPr>
            </w:pPr>
            <w:r>
              <w:rPr>
                <w:rFonts w:hint="eastAsia"/>
                <w:kern w:val="2"/>
                <w:szCs w:val="21"/>
                <w:lang w:val="en-US" w:eastAsia="zh-CN"/>
              </w:rPr>
              <w:t>纺纱车间</w:t>
            </w:r>
          </w:p>
        </w:tc>
        <w:tc>
          <w:tcPr>
            <w:tcW w:w="1533" w:type="dxa"/>
            <w:vAlign w:val="center"/>
          </w:tcPr>
          <w:p>
            <w:pPr>
              <w:pStyle w:val="26"/>
              <w:rPr>
                <w:kern w:val="2"/>
                <w:szCs w:val="21"/>
                <w:lang w:val="en-US" w:eastAsia="zh-CN"/>
              </w:rPr>
            </w:pPr>
            <w:r>
              <w:rPr>
                <w:rFonts w:hint="eastAsia"/>
                <w:kern w:val="2"/>
                <w:szCs w:val="21"/>
                <w:lang w:val="en-US" w:eastAsia="zh-CN"/>
              </w:rPr>
              <w:t>23556</w:t>
            </w:r>
            <w:r>
              <w:rPr>
                <w:kern w:val="2"/>
                <w:szCs w:val="21"/>
                <w:lang w:val="en-US" w:eastAsia="zh-CN"/>
              </w:rPr>
              <w:t>m</w:t>
            </w:r>
            <w:r>
              <w:rPr>
                <w:kern w:val="2"/>
                <w:szCs w:val="21"/>
                <w:vertAlign w:val="superscript"/>
                <w:lang w:val="en-US" w:eastAsia="zh-CN"/>
              </w:rPr>
              <w:t>2</w:t>
            </w:r>
          </w:p>
        </w:tc>
        <w:tc>
          <w:tcPr>
            <w:tcW w:w="1590" w:type="dxa"/>
            <w:vAlign w:val="center"/>
          </w:tcPr>
          <w:p>
            <w:pPr>
              <w:pStyle w:val="26"/>
              <w:rPr>
                <w:kern w:val="2"/>
                <w:szCs w:val="21"/>
                <w:lang w:val="en-US" w:eastAsia="zh-CN"/>
              </w:rPr>
            </w:pPr>
            <w:r>
              <w:rPr>
                <w:rFonts w:hint="eastAsia"/>
                <w:kern w:val="2"/>
                <w:szCs w:val="21"/>
                <w:lang w:val="en-US" w:eastAsia="zh-CN"/>
              </w:rPr>
              <w:t>25556</w:t>
            </w:r>
            <w:r>
              <w:rPr>
                <w:kern w:val="2"/>
                <w:szCs w:val="21"/>
                <w:lang w:val="en-US" w:eastAsia="zh-CN"/>
              </w:rPr>
              <w:t>m</w:t>
            </w:r>
            <w:r>
              <w:rPr>
                <w:kern w:val="2"/>
                <w:szCs w:val="21"/>
                <w:vertAlign w:val="superscript"/>
                <w:lang w:val="en-US" w:eastAsia="zh-CN"/>
              </w:rPr>
              <w:t>2</w:t>
            </w:r>
          </w:p>
        </w:tc>
        <w:tc>
          <w:tcPr>
            <w:tcW w:w="4304" w:type="dxa"/>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2.2</w:t>
            </w:r>
          </w:p>
        </w:tc>
        <w:tc>
          <w:tcPr>
            <w:tcW w:w="1695" w:type="dxa"/>
            <w:vAlign w:val="center"/>
          </w:tcPr>
          <w:p>
            <w:pPr>
              <w:pStyle w:val="26"/>
              <w:rPr>
                <w:kern w:val="2"/>
                <w:szCs w:val="21"/>
                <w:lang w:val="en-US" w:eastAsia="zh-CN"/>
              </w:rPr>
            </w:pPr>
            <w:r>
              <w:rPr>
                <w:rFonts w:hint="eastAsia"/>
                <w:kern w:val="2"/>
                <w:szCs w:val="21"/>
                <w:lang w:val="en-US" w:eastAsia="zh-CN"/>
              </w:rPr>
              <w:t>印染车间</w:t>
            </w:r>
          </w:p>
        </w:tc>
        <w:tc>
          <w:tcPr>
            <w:tcW w:w="1533" w:type="dxa"/>
            <w:vAlign w:val="center"/>
          </w:tcPr>
          <w:p>
            <w:pPr>
              <w:pStyle w:val="26"/>
              <w:rPr>
                <w:kern w:val="2"/>
                <w:szCs w:val="21"/>
                <w:lang w:val="en-US" w:eastAsia="zh-CN"/>
              </w:rPr>
            </w:pPr>
            <w:r>
              <w:rPr>
                <w:rFonts w:hint="eastAsia"/>
                <w:kern w:val="2"/>
                <w:szCs w:val="21"/>
                <w:lang w:val="en-US" w:eastAsia="zh-CN"/>
              </w:rPr>
              <w:t>9744</w:t>
            </w:r>
            <w:r>
              <w:rPr>
                <w:kern w:val="2"/>
                <w:szCs w:val="21"/>
                <w:lang w:val="en-US" w:eastAsia="zh-CN"/>
              </w:rPr>
              <w:t>m</w:t>
            </w:r>
            <w:r>
              <w:rPr>
                <w:kern w:val="2"/>
                <w:szCs w:val="21"/>
                <w:vertAlign w:val="superscript"/>
                <w:lang w:val="en-US" w:eastAsia="zh-CN"/>
              </w:rPr>
              <w:t>2</w:t>
            </w:r>
          </w:p>
        </w:tc>
        <w:tc>
          <w:tcPr>
            <w:tcW w:w="1590" w:type="dxa"/>
            <w:vAlign w:val="center"/>
          </w:tcPr>
          <w:p>
            <w:pPr>
              <w:pStyle w:val="26"/>
              <w:rPr>
                <w:kern w:val="2"/>
                <w:szCs w:val="21"/>
                <w:lang w:val="en-US" w:eastAsia="zh-CN"/>
              </w:rPr>
            </w:pPr>
            <w:r>
              <w:rPr>
                <w:rFonts w:hint="eastAsia"/>
                <w:kern w:val="2"/>
                <w:szCs w:val="21"/>
                <w:lang w:val="en-US" w:eastAsia="zh-CN"/>
              </w:rPr>
              <w:t>9744</w:t>
            </w:r>
            <w:r>
              <w:rPr>
                <w:kern w:val="2"/>
                <w:szCs w:val="21"/>
                <w:lang w:val="en-US" w:eastAsia="zh-CN"/>
              </w:rPr>
              <w:t>m</w:t>
            </w:r>
            <w:r>
              <w:rPr>
                <w:kern w:val="2"/>
                <w:szCs w:val="21"/>
                <w:vertAlign w:val="superscript"/>
                <w:lang w:val="en-US" w:eastAsia="zh-CN"/>
              </w:rPr>
              <w:t>2</w:t>
            </w:r>
          </w:p>
        </w:tc>
        <w:tc>
          <w:tcPr>
            <w:tcW w:w="4304" w:type="dxa"/>
            <w:vAlign w:val="center"/>
          </w:tcPr>
          <w:p>
            <w:pPr>
              <w:pStyle w:val="26"/>
              <w:spacing w:line="240" w:lineRule="auto"/>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2.3</w:t>
            </w:r>
          </w:p>
        </w:tc>
        <w:tc>
          <w:tcPr>
            <w:tcW w:w="1695" w:type="dxa"/>
            <w:vAlign w:val="center"/>
          </w:tcPr>
          <w:p>
            <w:pPr>
              <w:pStyle w:val="26"/>
              <w:rPr>
                <w:kern w:val="2"/>
                <w:szCs w:val="21"/>
                <w:lang w:val="en-US" w:eastAsia="zh-CN"/>
              </w:rPr>
            </w:pPr>
            <w:r>
              <w:rPr>
                <w:rFonts w:hint="eastAsia"/>
                <w:kern w:val="2"/>
                <w:szCs w:val="21"/>
                <w:lang w:val="en-US" w:eastAsia="zh-CN"/>
              </w:rPr>
              <w:t>原第一织布车间</w:t>
            </w:r>
          </w:p>
        </w:tc>
        <w:tc>
          <w:tcPr>
            <w:tcW w:w="1533" w:type="dxa"/>
            <w:vAlign w:val="center"/>
          </w:tcPr>
          <w:p>
            <w:pPr>
              <w:pStyle w:val="26"/>
              <w:rPr>
                <w:kern w:val="2"/>
                <w:szCs w:val="21"/>
                <w:lang w:val="en-US" w:eastAsia="zh-CN"/>
              </w:rPr>
            </w:pPr>
            <w:r>
              <w:rPr>
                <w:kern w:val="2"/>
                <w:szCs w:val="21"/>
                <w:lang w:val="en-US" w:eastAsia="zh-CN"/>
              </w:rPr>
              <w:t>4950m</w:t>
            </w:r>
            <w:r>
              <w:rPr>
                <w:kern w:val="2"/>
                <w:szCs w:val="21"/>
                <w:vertAlign w:val="superscript"/>
                <w:lang w:val="en-US" w:eastAsia="zh-CN"/>
              </w:rPr>
              <w:t>2</w:t>
            </w:r>
          </w:p>
        </w:tc>
        <w:tc>
          <w:tcPr>
            <w:tcW w:w="1590" w:type="dxa"/>
            <w:vAlign w:val="center"/>
          </w:tcPr>
          <w:p>
            <w:pPr>
              <w:pStyle w:val="26"/>
              <w:rPr>
                <w:kern w:val="2"/>
                <w:szCs w:val="21"/>
                <w:lang w:val="en-US" w:eastAsia="zh-CN"/>
              </w:rPr>
            </w:pPr>
            <w:r>
              <w:rPr>
                <w:rFonts w:hint="eastAsia"/>
                <w:kern w:val="2"/>
                <w:szCs w:val="21"/>
                <w:lang w:val="en-US" w:eastAsia="zh-CN"/>
              </w:rPr>
              <w:t>/</w:t>
            </w:r>
          </w:p>
        </w:tc>
        <w:tc>
          <w:tcPr>
            <w:tcW w:w="4304" w:type="dxa"/>
            <w:vAlign w:val="center"/>
          </w:tcPr>
          <w:p>
            <w:pPr>
              <w:pStyle w:val="26"/>
              <w:spacing w:line="240" w:lineRule="auto"/>
              <w:rPr>
                <w:kern w:val="2"/>
                <w:szCs w:val="21"/>
                <w:lang w:val="en-US" w:eastAsia="zh-CN"/>
              </w:rPr>
            </w:pPr>
            <w:r>
              <w:rPr>
                <w:rFonts w:hint="eastAsia"/>
                <w:kern w:val="2"/>
                <w:szCs w:val="21"/>
                <w:lang w:val="en-US" w:eastAsia="zh-CN"/>
              </w:rPr>
              <w:t>租赁给其他公司作为生产车间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2.4</w:t>
            </w:r>
          </w:p>
        </w:tc>
        <w:tc>
          <w:tcPr>
            <w:tcW w:w="1695" w:type="dxa"/>
            <w:vAlign w:val="center"/>
          </w:tcPr>
          <w:p>
            <w:pPr>
              <w:pStyle w:val="26"/>
              <w:rPr>
                <w:kern w:val="2"/>
                <w:szCs w:val="21"/>
                <w:lang w:val="en-US" w:eastAsia="zh-CN"/>
              </w:rPr>
            </w:pPr>
            <w:r>
              <w:rPr>
                <w:rFonts w:hint="eastAsia"/>
                <w:kern w:val="2"/>
                <w:szCs w:val="21"/>
                <w:lang w:val="en-US" w:eastAsia="zh-CN"/>
              </w:rPr>
              <w:t>原第二织布车间</w:t>
            </w:r>
          </w:p>
        </w:tc>
        <w:tc>
          <w:tcPr>
            <w:tcW w:w="1533" w:type="dxa"/>
            <w:vAlign w:val="center"/>
          </w:tcPr>
          <w:p>
            <w:pPr>
              <w:pStyle w:val="26"/>
              <w:rPr>
                <w:kern w:val="2"/>
                <w:szCs w:val="21"/>
                <w:lang w:val="en-US" w:eastAsia="zh-CN"/>
              </w:rPr>
            </w:pPr>
            <w:r>
              <w:rPr>
                <w:kern w:val="2"/>
                <w:szCs w:val="21"/>
                <w:lang w:val="en-US" w:eastAsia="zh-CN"/>
              </w:rPr>
              <w:t>12600m</w:t>
            </w:r>
            <w:r>
              <w:rPr>
                <w:kern w:val="2"/>
                <w:szCs w:val="21"/>
                <w:vertAlign w:val="superscript"/>
                <w:lang w:val="en-US" w:eastAsia="zh-CN"/>
              </w:rPr>
              <w:t>2</w:t>
            </w:r>
          </w:p>
        </w:tc>
        <w:tc>
          <w:tcPr>
            <w:tcW w:w="1590" w:type="dxa"/>
            <w:vAlign w:val="center"/>
          </w:tcPr>
          <w:p>
            <w:pPr>
              <w:pStyle w:val="26"/>
              <w:rPr>
                <w:kern w:val="2"/>
                <w:szCs w:val="21"/>
                <w:lang w:val="en-US" w:eastAsia="zh-CN"/>
              </w:rPr>
            </w:pPr>
            <w:r>
              <w:rPr>
                <w:rFonts w:hint="eastAsia"/>
                <w:kern w:val="2"/>
                <w:szCs w:val="21"/>
                <w:lang w:val="en-US" w:eastAsia="zh-CN"/>
              </w:rPr>
              <w:t>/</w:t>
            </w:r>
          </w:p>
        </w:tc>
        <w:tc>
          <w:tcPr>
            <w:tcW w:w="4304" w:type="dxa"/>
            <w:vAlign w:val="center"/>
          </w:tcPr>
          <w:p>
            <w:pPr>
              <w:pStyle w:val="26"/>
              <w:spacing w:line="240" w:lineRule="auto"/>
              <w:rPr>
                <w:kern w:val="2"/>
                <w:szCs w:val="21"/>
                <w:lang w:val="en-US" w:eastAsia="zh-CN"/>
              </w:rPr>
            </w:pPr>
            <w:r>
              <w:rPr>
                <w:rFonts w:hint="eastAsia"/>
                <w:kern w:val="2"/>
                <w:szCs w:val="21"/>
                <w:lang w:val="en-US" w:eastAsia="zh-CN"/>
              </w:rPr>
              <w:t>租赁给其他公司作为生产车间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2.5</w:t>
            </w:r>
          </w:p>
        </w:tc>
        <w:tc>
          <w:tcPr>
            <w:tcW w:w="1695" w:type="dxa"/>
            <w:vAlign w:val="center"/>
          </w:tcPr>
          <w:p>
            <w:pPr>
              <w:pStyle w:val="26"/>
              <w:rPr>
                <w:kern w:val="2"/>
                <w:szCs w:val="21"/>
                <w:lang w:val="en-US" w:eastAsia="zh-CN"/>
              </w:rPr>
            </w:pPr>
            <w:r>
              <w:rPr>
                <w:rFonts w:hint="eastAsia"/>
                <w:kern w:val="2"/>
                <w:szCs w:val="21"/>
                <w:lang w:val="en-US" w:eastAsia="zh-CN"/>
              </w:rPr>
              <w:t>原原料仓库</w:t>
            </w:r>
          </w:p>
        </w:tc>
        <w:tc>
          <w:tcPr>
            <w:tcW w:w="1533" w:type="dxa"/>
            <w:vAlign w:val="center"/>
          </w:tcPr>
          <w:p>
            <w:pPr>
              <w:pStyle w:val="26"/>
              <w:rPr>
                <w:kern w:val="2"/>
                <w:szCs w:val="21"/>
                <w:lang w:val="en-US" w:eastAsia="zh-CN"/>
              </w:rPr>
            </w:pPr>
            <w:r>
              <w:rPr>
                <w:kern w:val="2"/>
                <w:szCs w:val="21"/>
                <w:lang w:val="en-US" w:eastAsia="zh-CN"/>
              </w:rPr>
              <w:t>9600m</w:t>
            </w:r>
            <w:r>
              <w:rPr>
                <w:kern w:val="2"/>
                <w:szCs w:val="21"/>
                <w:vertAlign w:val="superscript"/>
                <w:lang w:val="en-US" w:eastAsia="zh-CN"/>
              </w:rPr>
              <w:t>2</w:t>
            </w:r>
          </w:p>
        </w:tc>
        <w:tc>
          <w:tcPr>
            <w:tcW w:w="1590" w:type="dxa"/>
            <w:vAlign w:val="center"/>
          </w:tcPr>
          <w:p>
            <w:pPr>
              <w:pStyle w:val="26"/>
              <w:rPr>
                <w:kern w:val="2"/>
                <w:szCs w:val="21"/>
                <w:lang w:val="en-US" w:eastAsia="zh-CN"/>
              </w:rPr>
            </w:pPr>
            <w:r>
              <w:rPr>
                <w:rFonts w:hint="eastAsia"/>
                <w:kern w:val="2"/>
                <w:szCs w:val="21"/>
                <w:lang w:val="en-US" w:eastAsia="zh-CN"/>
              </w:rPr>
              <w:t>/</w:t>
            </w:r>
          </w:p>
        </w:tc>
        <w:tc>
          <w:tcPr>
            <w:tcW w:w="4304" w:type="dxa"/>
            <w:vAlign w:val="center"/>
          </w:tcPr>
          <w:p>
            <w:pPr>
              <w:pStyle w:val="26"/>
              <w:spacing w:line="240" w:lineRule="auto"/>
              <w:rPr>
                <w:kern w:val="2"/>
                <w:szCs w:val="21"/>
                <w:lang w:val="en-US" w:eastAsia="zh-CN"/>
              </w:rPr>
            </w:pPr>
            <w:r>
              <w:rPr>
                <w:rFonts w:hint="eastAsia"/>
                <w:kern w:val="2"/>
                <w:szCs w:val="21"/>
                <w:lang w:val="en-US" w:eastAsia="zh-CN"/>
              </w:rPr>
              <w:t>租赁给其他公司作为生产车间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2.6</w:t>
            </w:r>
          </w:p>
        </w:tc>
        <w:tc>
          <w:tcPr>
            <w:tcW w:w="1695" w:type="dxa"/>
            <w:vAlign w:val="center"/>
          </w:tcPr>
          <w:p>
            <w:pPr>
              <w:pStyle w:val="26"/>
              <w:rPr>
                <w:kern w:val="2"/>
                <w:szCs w:val="21"/>
                <w:lang w:val="en-US" w:eastAsia="zh-CN"/>
              </w:rPr>
            </w:pPr>
            <w:r>
              <w:rPr>
                <w:rFonts w:hint="eastAsia"/>
                <w:kern w:val="2"/>
                <w:szCs w:val="21"/>
                <w:lang w:val="en-US" w:eastAsia="zh-CN"/>
              </w:rPr>
              <w:t>原五金仓库</w:t>
            </w:r>
          </w:p>
        </w:tc>
        <w:tc>
          <w:tcPr>
            <w:tcW w:w="1533" w:type="dxa"/>
            <w:vAlign w:val="center"/>
          </w:tcPr>
          <w:p>
            <w:pPr>
              <w:pStyle w:val="26"/>
              <w:rPr>
                <w:kern w:val="2"/>
                <w:szCs w:val="21"/>
                <w:lang w:val="en-US" w:eastAsia="zh-CN"/>
              </w:rPr>
            </w:pPr>
            <w:r>
              <w:rPr>
                <w:rFonts w:hint="eastAsia"/>
                <w:kern w:val="2"/>
                <w:szCs w:val="21"/>
                <w:lang w:val="en-US" w:eastAsia="zh-CN"/>
              </w:rPr>
              <w:t>2772</w:t>
            </w:r>
            <w:r>
              <w:rPr>
                <w:kern w:val="2"/>
                <w:szCs w:val="21"/>
                <w:lang w:val="en-US" w:eastAsia="zh-CN"/>
              </w:rPr>
              <w:t>m</w:t>
            </w:r>
            <w:r>
              <w:rPr>
                <w:kern w:val="2"/>
                <w:szCs w:val="21"/>
                <w:vertAlign w:val="superscript"/>
                <w:lang w:val="en-US" w:eastAsia="zh-CN"/>
              </w:rPr>
              <w:t>2</w:t>
            </w:r>
          </w:p>
        </w:tc>
        <w:tc>
          <w:tcPr>
            <w:tcW w:w="1590" w:type="dxa"/>
            <w:vAlign w:val="center"/>
          </w:tcPr>
          <w:p>
            <w:pPr>
              <w:pStyle w:val="26"/>
              <w:rPr>
                <w:kern w:val="2"/>
                <w:szCs w:val="21"/>
                <w:lang w:val="en-US" w:eastAsia="zh-CN"/>
              </w:rPr>
            </w:pPr>
            <w:r>
              <w:rPr>
                <w:rFonts w:hint="eastAsia"/>
                <w:kern w:val="2"/>
                <w:szCs w:val="21"/>
                <w:lang w:val="en-US" w:eastAsia="zh-CN"/>
              </w:rPr>
              <w:t>/</w:t>
            </w:r>
          </w:p>
        </w:tc>
        <w:tc>
          <w:tcPr>
            <w:tcW w:w="4304" w:type="dxa"/>
            <w:vAlign w:val="center"/>
          </w:tcPr>
          <w:p>
            <w:pPr>
              <w:pStyle w:val="26"/>
              <w:spacing w:line="240" w:lineRule="auto"/>
              <w:rPr>
                <w:kern w:val="2"/>
                <w:szCs w:val="21"/>
                <w:lang w:val="en-US" w:eastAsia="zh-CN"/>
              </w:rPr>
            </w:pPr>
            <w:r>
              <w:rPr>
                <w:rFonts w:hint="eastAsia"/>
                <w:kern w:val="2"/>
                <w:szCs w:val="21"/>
                <w:lang w:val="en-US" w:eastAsia="zh-CN"/>
              </w:rPr>
              <w:t>租赁给其他公司作为生产车间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2.7</w:t>
            </w:r>
          </w:p>
        </w:tc>
        <w:tc>
          <w:tcPr>
            <w:tcW w:w="1695" w:type="dxa"/>
            <w:vAlign w:val="center"/>
          </w:tcPr>
          <w:p>
            <w:pPr>
              <w:pStyle w:val="26"/>
              <w:rPr>
                <w:kern w:val="2"/>
                <w:szCs w:val="21"/>
                <w:lang w:val="en-US" w:eastAsia="zh-CN"/>
              </w:rPr>
            </w:pPr>
            <w:r>
              <w:rPr>
                <w:rFonts w:hint="eastAsia"/>
                <w:kern w:val="2"/>
                <w:szCs w:val="21"/>
                <w:lang w:val="en-US" w:eastAsia="zh-CN"/>
              </w:rPr>
              <w:t>原机修车间</w:t>
            </w:r>
          </w:p>
        </w:tc>
        <w:tc>
          <w:tcPr>
            <w:tcW w:w="1533" w:type="dxa"/>
            <w:vAlign w:val="center"/>
          </w:tcPr>
          <w:p>
            <w:pPr>
              <w:pStyle w:val="26"/>
              <w:rPr>
                <w:kern w:val="2"/>
                <w:szCs w:val="21"/>
                <w:lang w:val="en-US" w:eastAsia="zh-CN"/>
              </w:rPr>
            </w:pPr>
            <w:r>
              <w:rPr>
                <w:rFonts w:hint="eastAsia"/>
                <w:kern w:val="2"/>
                <w:szCs w:val="21"/>
                <w:lang w:val="en-US" w:eastAsia="zh-CN"/>
              </w:rPr>
              <w:t>4954</w:t>
            </w:r>
            <w:r>
              <w:rPr>
                <w:kern w:val="2"/>
                <w:szCs w:val="21"/>
                <w:lang w:val="en-US" w:eastAsia="zh-CN"/>
              </w:rPr>
              <w:t>m</w:t>
            </w:r>
            <w:r>
              <w:rPr>
                <w:kern w:val="2"/>
                <w:szCs w:val="21"/>
                <w:vertAlign w:val="superscript"/>
                <w:lang w:val="en-US" w:eastAsia="zh-CN"/>
              </w:rPr>
              <w:t>2</w:t>
            </w:r>
          </w:p>
        </w:tc>
        <w:tc>
          <w:tcPr>
            <w:tcW w:w="1590" w:type="dxa"/>
            <w:vAlign w:val="center"/>
          </w:tcPr>
          <w:p>
            <w:pPr>
              <w:pStyle w:val="26"/>
              <w:rPr>
                <w:kern w:val="2"/>
                <w:szCs w:val="21"/>
                <w:lang w:val="en-US" w:eastAsia="zh-CN"/>
              </w:rPr>
            </w:pPr>
            <w:r>
              <w:rPr>
                <w:rFonts w:hint="eastAsia"/>
                <w:kern w:val="2"/>
                <w:szCs w:val="21"/>
                <w:lang w:val="en-US" w:eastAsia="zh-CN"/>
              </w:rPr>
              <w:t>/</w:t>
            </w:r>
          </w:p>
        </w:tc>
        <w:tc>
          <w:tcPr>
            <w:tcW w:w="4304" w:type="dxa"/>
            <w:vAlign w:val="center"/>
          </w:tcPr>
          <w:p>
            <w:pPr>
              <w:pStyle w:val="26"/>
              <w:spacing w:line="240" w:lineRule="auto"/>
              <w:rPr>
                <w:kern w:val="2"/>
                <w:szCs w:val="21"/>
                <w:lang w:val="en-US" w:eastAsia="zh-CN"/>
              </w:rPr>
            </w:pPr>
            <w:r>
              <w:rPr>
                <w:rFonts w:hint="eastAsia"/>
                <w:kern w:val="2"/>
                <w:szCs w:val="21"/>
                <w:lang w:val="en-US" w:eastAsia="zh-CN"/>
              </w:rPr>
              <w:t>租赁给其他公司作为生产车间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2.8</w:t>
            </w:r>
          </w:p>
        </w:tc>
        <w:tc>
          <w:tcPr>
            <w:tcW w:w="1695" w:type="dxa"/>
            <w:vAlign w:val="center"/>
          </w:tcPr>
          <w:p>
            <w:pPr>
              <w:pStyle w:val="26"/>
              <w:rPr>
                <w:kern w:val="2"/>
                <w:szCs w:val="21"/>
                <w:lang w:val="en-US" w:eastAsia="zh-CN"/>
              </w:rPr>
            </w:pPr>
            <w:r>
              <w:rPr>
                <w:rFonts w:hint="eastAsia"/>
                <w:kern w:val="2"/>
                <w:szCs w:val="21"/>
                <w:lang w:val="en-US" w:eastAsia="zh-CN"/>
              </w:rPr>
              <w:t>原成品仓库</w:t>
            </w:r>
          </w:p>
        </w:tc>
        <w:tc>
          <w:tcPr>
            <w:tcW w:w="1533" w:type="dxa"/>
            <w:vAlign w:val="center"/>
          </w:tcPr>
          <w:p>
            <w:pPr>
              <w:pStyle w:val="26"/>
              <w:rPr>
                <w:kern w:val="2"/>
                <w:szCs w:val="21"/>
                <w:lang w:val="en-US" w:eastAsia="zh-CN"/>
              </w:rPr>
            </w:pPr>
            <w:r>
              <w:rPr>
                <w:rFonts w:hint="eastAsia"/>
                <w:kern w:val="2"/>
                <w:szCs w:val="21"/>
                <w:lang w:val="en-US" w:eastAsia="zh-CN"/>
              </w:rPr>
              <w:t>3025</w:t>
            </w:r>
            <w:r>
              <w:rPr>
                <w:kern w:val="2"/>
                <w:szCs w:val="21"/>
                <w:lang w:val="en-US" w:eastAsia="zh-CN"/>
              </w:rPr>
              <w:t>m</w:t>
            </w:r>
            <w:r>
              <w:rPr>
                <w:kern w:val="2"/>
                <w:szCs w:val="21"/>
                <w:vertAlign w:val="superscript"/>
                <w:lang w:val="en-US" w:eastAsia="zh-CN"/>
              </w:rPr>
              <w:t>2</w:t>
            </w:r>
          </w:p>
        </w:tc>
        <w:tc>
          <w:tcPr>
            <w:tcW w:w="1590" w:type="dxa"/>
            <w:vAlign w:val="center"/>
          </w:tcPr>
          <w:p>
            <w:pPr>
              <w:pStyle w:val="26"/>
              <w:rPr>
                <w:kern w:val="2"/>
                <w:szCs w:val="21"/>
                <w:lang w:val="en-US" w:eastAsia="zh-CN"/>
              </w:rPr>
            </w:pPr>
            <w:r>
              <w:rPr>
                <w:rFonts w:hint="eastAsia"/>
                <w:kern w:val="2"/>
                <w:szCs w:val="21"/>
                <w:lang w:val="en-US" w:eastAsia="zh-CN"/>
              </w:rPr>
              <w:t>/</w:t>
            </w:r>
          </w:p>
        </w:tc>
        <w:tc>
          <w:tcPr>
            <w:tcW w:w="4304" w:type="dxa"/>
            <w:vAlign w:val="center"/>
          </w:tcPr>
          <w:p>
            <w:pPr>
              <w:pStyle w:val="26"/>
              <w:spacing w:line="240" w:lineRule="auto"/>
              <w:rPr>
                <w:kern w:val="2"/>
                <w:szCs w:val="21"/>
                <w:lang w:val="en-US" w:eastAsia="zh-CN"/>
              </w:rPr>
            </w:pPr>
            <w:r>
              <w:rPr>
                <w:rFonts w:hint="eastAsia"/>
                <w:kern w:val="2"/>
                <w:szCs w:val="21"/>
                <w:lang w:val="en-US" w:eastAsia="zh-CN"/>
              </w:rPr>
              <w:t>租赁给其他公司作为生产车间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2.9</w:t>
            </w:r>
          </w:p>
        </w:tc>
        <w:tc>
          <w:tcPr>
            <w:tcW w:w="1695" w:type="dxa"/>
            <w:vAlign w:val="center"/>
          </w:tcPr>
          <w:p>
            <w:pPr>
              <w:pStyle w:val="26"/>
              <w:rPr>
                <w:kern w:val="2"/>
                <w:szCs w:val="21"/>
                <w:lang w:val="en-US" w:eastAsia="zh-CN"/>
              </w:rPr>
            </w:pPr>
            <w:r>
              <w:rPr>
                <w:rFonts w:hint="eastAsia"/>
                <w:kern w:val="2"/>
                <w:szCs w:val="21"/>
                <w:lang w:val="en-US" w:eastAsia="zh-CN"/>
              </w:rPr>
              <w:t>锅炉房</w:t>
            </w:r>
          </w:p>
        </w:tc>
        <w:tc>
          <w:tcPr>
            <w:tcW w:w="1533" w:type="dxa"/>
            <w:vAlign w:val="center"/>
          </w:tcPr>
          <w:p>
            <w:pPr>
              <w:pStyle w:val="26"/>
              <w:rPr>
                <w:kern w:val="2"/>
                <w:szCs w:val="21"/>
                <w:lang w:val="en-US" w:eastAsia="zh-CN"/>
              </w:rPr>
            </w:pPr>
            <w:r>
              <w:rPr>
                <w:kern w:val="2"/>
                <w:szCs w:val="21"/>
                <w:lang w:val="en-US" w:eastAsia="zh-CN"/>
              </w:rPr>
              <w:t>300m</w:t>
            </w:r>
            <w:r>
              <w:rPr>
                <w:kern w:val="2"/>
                <w:szCs w:val="21"/>
                <w:vertAlign w:val="superscript"/>
                <w:lang w:val="en-US" w:eastAsia="zh-CN"/>
              </w:rPr>
              <w:t>2</w:t>
            </w:r>
          </w:p>
        </w:tc>
        <w:tc>
          <w:tcPr>
            <w:tcW w:w="1590" w:type="dxa"/>
            <w:vAlign w:val="center"/>
          </w:tcPr>
          <w:p>
            <w:pPr>
              <w:pStyle w:val="26"/>
              <w:rPr>
                <w:kern w:val="2"/>
                <w:szCs w:val="21"/>
                <w:lang w:val="en-US" w:eastAsia="zh-CN"/>
              </w:rPr>
            </w:pPr>
            <w:r>
              <w:rPr>
                <w:kern w:val="2"/>
                <w:szCs w:val="21"/>
                <w:lang w:val="en-US" w:eastAsia="zh-CN"/>
              </w:rPr>
              <w:t>300m</w:t>
            </w:r>
            <w:r>
              <w:rPr>
                <w:kern w:val="2"/>
                <w:szCs w:val="21"/>
                <w:vertAlign w:val="superscript"/>
                <w:lang w:val="en-US" w:eastAsia="zh-CN"/>
              </w:rPr>
              <w:t>2</w:t>
            </w:r>
          </w:p>
        </w:tc>
        <w:tc>
          <w:tcPr>
            <w:tcW w:w="4304" w:type="dxa"/>
            <w:vAlign w:val="center"/>
          </w:tcPr>
          <w:p>
            <w:pPr>
              <w:pStyle w:val="26"/>
              <w:spacing w:line="240" w:lineRule="auto"/>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2.10</w:t>
            </w:r>
          </w:p>
        </w:tc>
        <w:tc>
          <w:tcPr>
            <w:tcW w:w="1695" w:type="dxa"/>
            <w:vAlign w:val="center"/>
          </w:tcPr>
          <w:p>
            <w:pPr>
              <w:pStyle w:val="26"/>
              <w:rPr>
                <w:kern w:val="2"/>
                <w:szCs w:val="21"/>
                <w:lang w:val="en-US" w:eastAsia="zh-CN"/>
              </w:rPr>
            </w:pPr>
            <w:r>
              <w:rPr>
                <w:rFonts w:hint="eastAsia"/>
                <w:kern w:val="2"/>
                <w:szCs w:val="21"/>
                <w:lang w:val="en-US" w:eastAsia="zh-CN"/>
              </w:rPr>
              <w:t>2#办公楼</w:t>
            </w:r>
          </w:p>
        </w:tc>
        <w:tc>
          <w:tcPr>
            <w:tcW w:w="1533" w:type="dxa"/>
            <w:vAlign w:val="center"/>
          </w:tcPr>
          <w:p>
            <w:pPr>
              <w:pStyle w:val="26"/>
              <w:rPr>
                <w:kern w:val="2"/>
                <w:szCs w:val="21"/>
                <w:lang w:val="en-US" w:eastAsia="zh-CN"/>
              </w:rPr>
            </w:pPr>
            <w:r>
              <w:rPr>
                <w:kern w:val="2"/>
                <w:szCs w:val="21"/>
                <w:lang w:val="en-US" w:eastAsia="zh-CN"/>
              </w:rPr>
              <w:t>684m</w:t>
            </w:r>
            <w:r>
              <w:rPr>
                <w:kern w:val="2"/>
                <w:szCs w:val="21"/>
                <w:vertAlign w:val="superscript"/>
                <w:lang w:val="en-US" w:eastAsia="zh-CN"/>
              </w:rPr>
              <w:t>2</w:t>
            </w:r>
          </w:p>
        </w:tc>
        <w:tc>
          <w:tcPr>
            <w:tcW w:w="1590" w:type="dxa"/>
            <w:vAlign w:val="center"/>
          </w:tcPr>
          <w:p>
            <w:pPr>
              <w:pStyle w:val="26"/>
              <w:rPr>
                <w:kern w:val="2"/>
                <w:szCs w:val="21"/>
                <w:lang w:val="en-US" w:eastAsia="zh-CN"/>
              </w:rPr>
            </w:pPr>
            <w:r>
              <w:rPr>
                <w:kern w:val="2"/>
                <w:szCs w:val="21"/>
                <w:lang w:val="en-US" w:eastAsia="zh-CN"/>
              </w:rPr>
              <w:t>684m</w:t>
            </w:r>
            <w:r>
              <w:rPr>
                <w:kern w:val="2"/>
                <w:szCs w:val="21"/>
                <w:vertAlign w:val="superscript"/>
                <w:lang w:val="en-US" w:eastAsia="zh-CN"/>
              </w:rPr>
              <w:t>2</w:t>
            </w:r>
          </w:p>
        </w:tc>
        <w:tc>
          <w:tcPr>
            <w:tcW w:w="4304" w:type="dxa"/>
            <w:vAlign w:val="center"/>
          </w:tcPr>
          <w:p>
            <w:pPr>
              <w:pStyle w:val="26"/>
              <w:spacing w:line="240" w:lineRule="auto"/>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2.11</w:t>
            </w:r>
          </w:p>
        </w:tc>
        <w:tc>
          <w:tcPr>
            <w:tcW w:w="1695" w:type="dxa"/>
            <w:vAlign w:val="center"/>
          </w:tcPr>
          <w:p>
            <w:pPr>
              <w:pStyle w:val="26"/>
              <w:rPr>
                <w:kern w:val="2"/>
                <w:szCs w:val="21"/>
                <w:lang w:val="en-US" w:eastAsia="zh-CN"/>
              </w:rPr>
            </w:pPr>
            <w:r>
              <w:rPr>
                <w:rFonts w:hint="eastAsia"/>
                <w:kern w:val="2"/>
                <w:szCs w:val="21"/>
                <w:lang w:val="en-US" w:eastAsia="zh-CN"/>
              </w:rPr>
              <w:t>1#办公楼</w:t>
            </w:r>
          </w:p>
        </w:tc>
        <w:tc>
          <w:tcPr>
            <w:tcW w:w="1533" w:type="dxa"/>
            <w:vAlign w:val="center"/>
          </w:tcPr>
          <w:p>
            <w:pPr>
              <w:pStyle w:val="26"/>
              <w:rPr>
                <w:kern w:val="2"/>
                <w:szCs w:val="21"/>
                <w:lang w:val="en-US" w:eastAsia="zh-CN"/>
              </w:rPr>
            </w:pPr>
            <w:r>
              <w:rPr>
                <w:rFonts w:hint="eastAsia"/>
                <w:kern w:val="2"/>
                <w:szCs w:val="21"/>
                <w:lang w:val="en-US" w:eastAsia="zh-CN"/>
              </w:rPr>
              <w:t>2000</w:t>
            </w:r>
            <w:r>
              <w:rPr>
                <w:kern w:val="2"/>
                <w:szCs w:val="21"/>
                <w:lang w:val="en-US" w:eastAsia="zh-CN"/>
              </w:rPr>
              <w:t>m</w:t>
            </w:r>
            <w:r>
              <w:rPr>
                <w:kern w:val="2"/>
                <w:szCs w:val="21"/>
                <w:vertAlign w:val="superscript"/>
                <w:lang w:val="en-US" w:eastAsia="zh-CN"/>
              </w:rPr>
              <w:t>2</w:t>
            </w:r>
          </w:p>
        </w:tc>
        <w:tc>
          <w:tcPr>
            <w:tcW w:w="1590" w:type="dxa"/>
            <w:vAlign w:val="center"/>
          </w:tcPr>
          <w:p>
            <w:pPr>
              <w:pStyle w:val="26"/>
              <w:rPr>
                <w:kern w:val="2"/>
                <w:szCs w:val="21"/>
                <w:lang w:val="en-US" w:eastAsia="zh-CN"/>
              </w:rPr>
            </w:pPr>
            <w:r>
              <w:rPr>
                <w:rFonts w:hint="eastAsia"/>
                <w:kern w:val="2"/>
                <w:szCs w:val="21"/>
                <w:lang w:val="en-US" w:eastAsia="zh-CN"/>
              </w:rPr>
              <w:t>2000</w:t>
            </w:r>
            <w:r>
              <w:rPr>
                <w:kern w:val="2"/>
                <w:szCs w:val="21"/>
                <w:lang w:val="en-US" w:eastAsia="zh-CN"/>
              </w:rPr>
              <w:t>m</w:t>
            </w:r>
            <w:r>
              <w:rPr>
                <w:kern w:val="2"/>
                <w:szCs w:val="21"/>
                <w:vertAlign w:val="superscript"/>
                <w:lang w:val="en-US" w:eastAsia="zh-CN"/>
              </w:rPr>
              <w:t>2</w:t>
            </w:r>
          </w:p>
        </w:tc>
        <w:tc>
          <w:tcPr>
            <w:tcW w:w="4304" w:type="dxa"/>
            <w:vAlign w:val="center"/>
          </w:tcPr>
          <w:p>
            <w:pPr>
              <w:pStyle w:val="26"/>
              <w:spacing w:line="240" w:lineRule="auto"/>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3</w:t>
            </w:r>
          </w:p>
        </w:tc>
        <w:tc>
          <w:tcPr>
            <w:tcW w:w="1695" w:type="dxa"/>
            <w:vAlign w:val="center"/>
          </w:tcPr>
          <w:p>
            <w:pPr>
              <w:pStyle w:val="26"/>
              <w:rPr>
                <w:kern w:val="2"/>
                <w:szCs w:val="21"/>
                <w:lang w:val="en-US" w:eastAsia="zh-CN"/>
              </w:rPr>
            </w:pPr>
            <w:r>
              <w:rPr>
                <w:rFonts w:hint="eastAsia"/>
                <w:kern w:val="2"/>
                <w:szCs w:val="21"/>
                <w:lang w:val="en-US" w:eastAsia="zh-CN"/>
              </w:rPr>
              <w:t>总投资</w:t>
            </w:r>
          </w:p>
        </w:tc>
        <w:tc>
          <w:tcPr>
            <w:tcW w:w="1533" w:type="dxa"/>
            <w:vAlign w:val="center"/>
          </w:tcPr>
          <w:p>
            <w:pPr>
              <w:pStyle w:val="26"/>
              <w:rPr>
                <w:kern w:val="2"/>
                <w:szCs w:val="21"/>
                <w:lang w:val="en-US" w:eastAsia="zh-CN"/>
              </w:rPr>
            </w:pPr>
            <w:r>
              <w:rPr>
                <w:rFonts w:hint="eastAsia"/>
                <w:kern w:val="2"/>
                <w:szCs w:val="21"/>
                <w:lang w:val="en-US" w:eastAsia="zh-CN"/>
              </w:rPr>
              <w:t>3000万元</w:t>
            </w:r>
          </w:p>
        </w:tc>
        <w:tc>
          <w:tcPr>
            <w:tcW w:w="1590" w:type="dxa"/>
            <w:vAlign w:val="center"/>
          </w:tcPr>
          <w:p>
            <w:pPr>
              <w:pStyle w:val="26"/>
              <w:rPr>
                <w:kern w:val="2"/>
                <w:szCs w:val="21"/>
                <w:lang w:val="en-US" w:eastAsia="zh-CN"/>
              </w:rPr>
            </w:pPr>
            <w:r>
              <w:rPr>
                <w:rFonts w:hint="eastAsia"/>
                <w:kern w:val="2"/>
                <w:szCs w:val="21"/>
                <w:lang w:val="en-US" w:eastAsia="zh-CN"/>
              </w:rPr>
              <w:t>10000万元</w:t>
            </w:r>
          </w:p>
        </w:tc>
        <w:tc>
          <w:tcPr>
            <w:tcW w:w="4304" w:type="dxa"/>
            <w:vAlign w:val="center"/>
          </w:tcPr>
          <w:p>
            <w:pPr>
              <w:pStyle w:val="26"/>
              <w:spacing w:line="240" w:lineRule="auto"/>
              <w:rPr>
                <w:kern w:val="2"/>
                <w:szCs w:val="21"/>
                <w:lang w:val="en-US" w:eastAsia="zh-CN"/>
              </w:rPr>
            </w:pPr>
            <w:r>
              <w:rPr>
                <w:rFonts w:hint="eastAsia"/>
                <w:kern w:val="2"/>
                <w:szCs w:val="21"/>
                <w:lang w:val="en-US" w:eastAsia="zh-CN"/>
              </w:rPr>
              <w:t>技改工程投资为7000万元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pStyle w:val="26"/>
              <w:rPr>
                <w:kern w:val="2"/>
                <w:szCs w:val="21"/>
                <w:lang w:val="en-US" w:eastAsia="zh-CN"/>
              </w:rPr>
            </w:pPr>
            <w:r>
              <w:rPr>
                <w:rFonts w:hint="eastAsia"/>
                <w:kern w:val="2"/>
                <w:szCs w:val="21"/>
                <w:lang w:val="en-US" w:eastAsia="zh-CN"/>
              </w:rPr>
              <w:t>4</w:t>
            </w:r>
          </w:p>
        </w:tc>
        <w:tc>
          <w:tcPr>
            <w:tcW w:w="1695" w:type="dxa"/>
            <w:vAlign w:val="center"/>
          </w:tcPr>
          <w:p>
            <w:pPr>
              <w:pStyle w:val="26"/>
              <w:rPr>
                <w:kern w:val="2"/>
                <w:szCs w:val="21"/>
                <w:lang w:val="en-US" w:eastAsia="zh-CN"/>
              </w:rPr>
            </w:pPr>
            <w:r>
              <w:rPr>
                <w:rFonts w:hint="eastAsia"/>
                <w:kern w:val="2"/>
                <w:szCs w:val="21"/>
                <w:lang w:val="en-US" w:eastAsia="zh-CN"/>
              </w:rPr>
              <w:t>劳动定员</w:t>
            </w:r>
          </w:p>
        </w:tc>
        <w:tc>
          <w:tcPr>
            <w:tcW w:w="1533" w:type="dxa"/>
            <w:vAlign w:val="center"/>
          </w:tcPr>
          <w:p>
            <w:pPr>
              <w:pStyle w:val="26"/>
              <w:rPr>
                <w:kern w:val="2"/>
                <w:szCs w:val="21"/>
                <w:lang w:val="en-US" w:eastAsia="zh-CN"/>
              </w:rPr>
            </w:pPr>
            <w:r>
              <w:rPr>
                <w:rFonts w:hint="eastAsia"/>
                <w:kern w:val="2"/>
                <w:szCs w:val="21"/>
                <w:lang w:val="en-US" w:eastAsia="zh-CN"/>
              </w:rPr>
              <w:t>4500人</w:t>
            </w:r>
          </w:p>
        </w:tc>
        <w:tc>
          <w:tcPr>
            <w:tcW w:w="1590" w:type="dxa"/>
            <w:vAlign w:val="center"/>
          </w:tcPr>
          <w:p>
            <w:pPr>
              <w:pStyle w:val="26"/>
              <w:rPr>
                <w:kern w:val="2"/>
                <w:szCs w:val="21"/>
                <w:lang w:val="en-US" w:eastAsia="zh-CN"/>
              </w:rPr>
            </w:pPr>
            <w:r>
              <w:rPr>
                <w:rFonts w:hint="eastAsia"/>
                <w:kern w:val="2"/>
                <w:szCs w:val="21"/>
                <w:lang w:val="en-US" w:eastAsia="zh-CN"/>
              </w:rPr>
              <w:t>2100人</w:t>
            </w:r>
          </w:p>
        </w:tc>
        <w:tc>
          <w:tcPr>
            <w:tcW w:w="4304" w:type="dxa"/>
            <w:vAlign w:val="center"/>
          </w:tcPr>
          <w:p>
            <w:pPr>
              <w:pStyle w:val="26"/>
              <w:spacing w:line="240" w:lineRule="auto"/>
              <w:rPr>
                <w:kern w:val="2"/>
                <w:szCs w:val="21"/>
                <w:lang w:val="en-US" w:eastAsia="zh-CN"/>
              </w:rPr>
            </w:pPr>
            <w:r>
              <w:rPr>
                <w:rFonts w:hint="eastAsia"/>
                <w:kern w:val="2"/>
                <w:szCs w:val="21"/>
                <w:lang w:val="en-US" w:eastAsia="zh-CN"/>
              </w:rPr>
              <w:t>技改后，印染车间100人、纺纱车间2000人</w:t>
            </w:r>
          </w:p>
        </w:tc>
      </w:tr>
    </w:tbl>
    <w:p>
      <w:pPr>
        <w:pStyle w:val="25"/>
      </w:pPr>
    </w:p>
    <w:p>
      <w:pPr>
        <w:pStyle w:val="4"/>
      </w:pPr>
      <w:r>
        <w:rPr>
          <w:rFonts w:hint="eastAsia"/>
        </w:rPr>
        <w:t>技改后产品方案</w:t>
      </w:r>
    </w:p>
    <w:p>
      <w:pPr>
        <w:ind w:firstLine="480"/>
      </w:pPr>
      <w:r>
        <w:rPr>
          <w:rFonts w:hint="eastAsia"/>
        </w:rPr>
        <w:t>本次技改后，厂区产品方案见表</w:t>
      </w:r>
      <w:r>
        <w:t>4.1-3</w:t>
      </w:r>
      <w:r>
        <w:rPr>
          <w:rFonts w:hint="eastAsia"/>
        </w:rPr>
        <w:t>，技改前后产品方案对比见表4.1-4。</w:t>
      </w:r>
    </w:p>
    <w:p>
      <w:pPr>
        <w:pStyle w:val="26"/>
        <w:rPr>
          <w:b/>
          <w:bCs/>
        </w:rPr>
      </w:pPr>
      <w:r>
        <w:rPr>
          <w:rFonts w:hint="eastAsia"/>
          <w:b/>
          <w:bCs/>
        </w:rPr>
        <w:t>表</w:t>
      </w:r>
      <w:r>
        <w:rPr>
          <w:b/>
          <w:bCs/>
        </w:rPr>
        <w:t xml:space="preserve">4.1-3 </w:t>
      </w:r>
      <w:r>
        <w:rPr>
          <w:rFonts w:hint="eastAsia"/>
          <w:b/>
          <w:bCs/>
        </w:rPr>
        <w:t>技改后产品方案一览表</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2537"/>
        <w:gridCol w:w="2010"/>
        <w:gridCol w:w="179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379" w:type="dxa"/>
            <w:vAlign w:val="center"/>
          </w:tcPr>
          <w:p>
            <w:pPr>
              <w:pStyle w:val="26"/>
              <w:rPr>
                <w:szCs w:val="21"/>
                <w:lang w:val="en-US" w:eastAsia="zh-CN"/>
              </w:rPr>
            </w:pPr>
            <w:r>
              <w:rPr>
                <w:rFonts w:hint="eastAsia"/>
                <w:szCs w:val="21"/>
                <w:lang w:val="en-US" w:eastAsia="zh-CN"/>
              </w:rPr>
              <w:t>序号</w:t>
            </w:r>
          </w:p>
        </w:tc>
        <w:tc>
          <w:tcPr>
            <w:tcW w:w="2537" w:type="dxa"/>
            <w:vAlign w:val="center"/>
          </w:tcPr>
          <w:p>
            <w:pPr>
              <w:pStyle w:val="26"/>
              <w:rPr>
                <w:szCs w:val="21"/>
                <w:lang w:val="en-US" w:eastAsia="zh-CN"/>
              </w:rPr>
            </w:pPr>
            <w:r>
              <w:rPr>
                <w:rFonts w:hint="eastAsia"/>
                <w:szCs w:val="21"/>
                <w:lang w:val="en-US" w:eastAsia="zh-CN"/>
              </w:rPr>
              <w:t>产品类别</w:t>
            </w:r>
          </w:p>
        </w:tc>
        <w:tc>
          <w:tcPr>
            <w:tcW w:w="2010" w:type="dxa"/>
            <w:vAlign w:val="center"/>
          </w:tcPr>
          <w:p>
            <w:pPr>
              <w:pStyle w:val="26"/>
              <w:rPr>
                <w:szCs w:val="21"/>
                <w:lang w:val="en-US" w:eastAsia="zh-CN"/>
              </w:rPr>
            </w:pPr>
            <w:r>
              <w:rPr>
                <w:rFonts w:hint="eastAsia"/>
                <w:szCs w:val="21"/>
                <w:lang w:val="en-US" w:eastAsia="zh-CN"/>
              </w:rPr>
              <w:t>产品方案（万m /a）</w:t>
            </w:r>
          </w:p>
        </w:tc>
        <w:tc>
          <w:tcPr>
            <w:tcW w:w="1799" w:type="dxa"/>
            <w:vAlign w:val="center"/>
          </w:tcPr>
          <w:p>
            <w:pPr>
              <w:pStyle w:val="26"/>
              <w:rPr>
                <w:szCs w:val="21"/>
                <w:lang w:val="en-US" w:eastAsia="zh-CN"/>
              </w:rPr>
            </w:pPr>
            <w:r>
              <w:rPr>
                <w:rFonts w:hint="eastAsia"/>
                <w:szCs w:val="21"/>
                <w:lang w:val="en-US" w:eastAsia="zh-CN"/>
              </w:rPr>
              <w:t>产品规格(mm)</w:t>
            </w:r>
          </w:p>
        </w:tc>
        <w:tc>
          <w:tcPr>
            <w:tcW w:w="2129" w:type="dxa"/>
            <w:vAlign w:val="center"/>
          </w:tcPr>
          <w:p>
            <w:pPr>
              <w:pStyle w:val="26"/>
              <w:rPr>
                <w:szCs w:val="21"/>
                <w:lang w:val="en-US" w:eastAsia="zh-CN"/>
              </w:rPr>
            </w:pPr>
            <w:r>
              <w:rPr>
                <w:rFonts w:hint="eastAsia"/>
                <w:szCs w:val="21"/>
                <w:lang w:val="en-US" w:eastAsia="zh-CN"/>
              </w:rPr>
              <w:t>平均克重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szCs w:val="21"/>
                <w:lang w:val="en-US" w:eastAsia="zh-CN"/>
              </w:rPr>
            </w:pPr>
            <w:r>
              <w:rPr>
                <w:rFonts w:hint="eastAsia"/>
                <w:szCs w:val="21"/>
                <w:lang w:val="en-US" w:eastAsia="zh-CN"/>
              </w:rPr>
              <w:t>1</w:t>
            </w:r>
          </w:p>
        </w:tc>
        <w:tc>
          <w:tcPr>
            <w:tcW w:w="2537" w:type="dxa"/>
            <w:vAlign w:val="center"/>
          </w:tcPr>
          <w:p>
            <w:pPr>
              <w:pStyle w:val="26"/>
              <w:rPr>
                <w:szCs w:val="21"/>
                <w:lang w:val="en-US" w:eastAsia="zh-CN"/>
              </w:rPr>
            </w:pPr>
            <w:r>
              <w:rPr>
                <w:rFonts w:hint="eastAsia"/>
                <w:szCs w:val="21"/>
                <w:lang w:val="en-US" w:eastAsia="zh-CN"/>
              </w:rPr>
              <w:t>锦棉染色布</w:t>
            </w:r>
          </w:p>
        </w:tc>
        <w:tc>
          <w:tcPr>
            <w:tcW w:w="2010" w:type="dxa"/>
            <w:vAlign w:val="center"/>
          </w:tcPr>
          <w:p>
            <w:pPr>
              <w:pStyle w:val="26"/>
              <w:rPr>
                <w:szCs w:val="21"/>
                <w:lang w:val="en-US" w:eastAsia="zh-CN"/>
              </w:rPr>
            </w:pPr>
            <w:r>
              <w:rPr>
                <w:rFonts w:hint="eastAsia"/>
                <w:szCs w:val="21"/>
                <w:lang w:val="en-US" w:eastAsia="zh-CN"/>
              </w:rPr>
              <w:t>1920</w:t>
            </w:r>
          </w:p>
        </w:tc>
        <w:tc>
          <w:tcPr>
            <w:tcW w:w="1799" w:type="dxa"/>
            <w:vAlign w:val="center"/>
          </w:tcPr>
          <w:p>
            <w:pPr>
              <w:pStyle w:val="26"/>
              <w:rPr>
                <w:szCs w:val="21"/>
                <w:lang w:val="en-US" w:eastAsia="zh-CN"/>
              </w:rPr>
            </w:pPr>
            <w:r>
              <w:rPr>
                <w:rFonts w:hint="eastAsia"/>
                <w:szCs w:val="21"/>
                <w:lang w:val="en-US" w:eastAsia="zh-CN"/>
              </w:rPr>
              <w:t>1500</w:t>
            </w:r>
          </w:p>
        </w:tc>
        <w:tc>
          <w:tcPr>
            <w:tcW w:w="2129" w:type="dxa"/>
            <w:vAlign w:val="center"/>
          </w:tcPr>
          <w:p>
            <w:pPr>
              <w:pStyle w:val="26"/>
              <w:rPr>
                <w:szCs w:val="21"/>
                <w:lang w:val="en-US" w:eastAsia="zh-CN"/>
              </w:rPr>
            </w:pPr>
            <w:r>
              <w:rPr>
                <w:rFonts w:hint="eastAsia"/>
                <w:szCs w:val="21"/>
                <w:lang w:val="en-US" w:eastAsia="zh-CN"/>
              </w:rPr>
              <w:t>250g/m</w:t>
            </w:r>
            <w:r>
              <w:rPr>
                <w:rFonts w:hint="eastAsia"/>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379" w:type="dxa"/>
            <w:vAlign w:val="center"/>
          </w:tcPr>
          <w:p>
            <w:pPr>
              <w:pStyle w:val="26"/>
              <w:rPr>
                <w:szCs w:val="21"/>
                <w:lang w:val="en-US" w:eastAsia="zh-CN"/>
              </w:rPr>
            </w:pPr>
            <w:r>
              <w:rPr>
                <w:rFonts w:hint="eastAsia"/>
                <w:szCs w:val="21"/>
                <w:lang w:val="en-US" w:eastAsia="zh-CN"/>
              </w:rPr>
              <w:t>2</w:t>
            </w:r>
          </w:p>
        </w:tc>
        <w:tc>
          <w:tcPr>
            <w:tcW w:w="2537" w:type="dxa"/>
            <w:vAlign w:val="center"/>
          </w:tcPr>
          <w:p>
            <w:pPr>
              <w:pStyle w:val="26"/>
              <w:rPr>
                <w:szCs w:val="21"/>
                <w:lang w:val="en-US" w:eastAsia="zh-CN"/>
              </w:rPr>
            </w:pPr>
            <w:r>
              <w:rPr>
                <w:rFonts w:hint="eastAsia"/>
                <w:kern w:val="2"/>
                <w:szCs w:val="21"/>
                <w:lang w:val="en-US" w:eastAsia="zh-CN"/>
              </w:rPr>
              <w:t>纺纱</w:t>
            </w:r>
          </w:p>
        </w:tc>
        <w:tc>
          <w:tcPr>
            <w:tcW w:w="2010" w:type="dxa"/>
            <w:vAlign w:val="center"/>
          </w:tcPr>
          <w:p>
            <w:pPr>
              <w:pStyle w:val="26"/>
              <w:rPr>
                <w:szCs w:val="21"/>
                <w:lang w:val="en-US" w:eastAsia="zh-CN"/>
              </w:rPr>
            </w:pPr>
            <w:r>
              <w:rPr>
                <w:kern w:val="2"/>
                <w:szCs w:val="21"/>
                <w:lang w:val="en-US" w:eastAsia="zh-CN"/>
              </w:rPr>
              <w:t>5</w:t>
            </w:r>
            <w:r>
              <w:rPr>
                <w:rFonts w:hint="eastAsia"/>
                <w:kern w:val="2"/>
                <w:szCs w:val="21"/>
                <w:lang w:val="en-US" w:eastAsia="zh-CN"/>
              </w:rPr>
              <w:t>万锭</w:t>
            </w:r>
            <w:r>
              <w:rPr>
                <w:kern w:val="2"/>
                <w:szCs w:val="21"/>
                <w:lang w:val="en-US" w:eastAsia="zh-CN"/>
              </w:rPr>
              <w:t>/a</w:t>
            </w:r>
          </w:p>
        </w:tc>
        <w:tc>
          <w:tcPr>
            <w:tcW w:w="1799" w:type="dxa"/>
            <w:vAlign w:val="center"/>
          </w:tcPr>
          <w:p>
            <w:pPr>
              <w:pStyle w:val="26"/>
              <w:rPr>
                <w:szCs w:val="21"/>
                <w:lang w:val="en-US" w:eastAsia="zh-CN"/>
              </w:rPr>
            </w:pPr>
            <w:r>
              <w:rPr>
                <w:rFonts w:hint="eastAsia"/>
                <w:szCs w:val="21"/>
                <w:lang w:val="en-US" w:eastAsia="zh-CN"/>
              </w:rPr>
              <w:t>/</w:t>
            </w:r>
          </w:p>
        </w:tc>
        <w:tc>
          <w:tcPr>
            <w:tcW w:w="2129" w:type="dxa"/>
            <w:vAlign w:val="center"/>
          </w:tcPr>
          <w:p>
            <w:pPr>
              <w:pStyle w:val="26"/>
              <w:rPr>
                <w:szCs w:val="21"/>
                <w:lang w:val="en-US" w:eastAsia="zh-CN"/>
              </w:rPr>
            </w:pPr>
            <w:r>
              <w:rPr>
                <w:rFonts w:hint="eastAsia"/>
                <w:szCs w:val="21"/>
                <w:lang w:val="en-US" w:eastAsia="zh-CN"/>
              </w:rPr>
              <w:t>/</w:t>
            </w:r>
          </w:p>
        </w:tc>
      </w:tr>
    </w:tbl>
    <w:p>
      <w:pPr>
        <w:pStyle w:val="26"/>
        <w:rPr>
          <w:rFonts w:hint="eastAsia"/>
          <w:b/>
          <w:bCs/>
          <w:u w:val="single"/>
        </w:rPr>
      </w:pPr>
    </w:p>
    <w:p>
      <w:pPr>
        <w:pStyle w:val="26"/>
        <w:rPr>
          <w:rFonts w:hint="eastAsia"/>
          <w:b/>
          <w:bCs/>
          <w:u w:val="single"/>
        </w:rPr>
      </w:pPr>
    </w:p>
    <w:p>
      <w:pPr>
        <w:pStyle w:val="26"/>
        <w:rPr>
          <w:rFonts w:hint="eastAsia"/>
          <w:b/>
          <w:bCs/>
          <w:u w:val="single"/>
        </w:rPr>
      </w:pPr>
    </w:p>
    <w:p>
      <w:pPr>
        <w:pStyle w:val="26"/>
        <w:rPr>
          <w:b/>
          <w:bCs/>
          <w:u w:val="single"/>
        </w:rPr>
      </w:pPr>
      <w:r>
        <w:rPr>
          <w:rFonts w:hint="eastAsia"/>
          <w:b/>
          <w:bCs/>
          <w:u w:val="single"/>
        </w:rPr>
        <w:t>表</w:t>
      </w:r>
      <w:r>
        <w:rPr>
          <w:b/>
          <w:bCs/>
          <w:u w:val="single"/>
        </w:rPr>
        <w:t>4.1-</w:t>
      </w:r>
      <w:r>
        <w:rPr>
          <w:rFonts w:hint="eastAsia"/>
          <w:b/>
          <w:bCs/>
          <w:u w:val="single"/>
        </w:rPr>
        <w:t>4 技改前后产品方案对比一览表</w:t>
      </w:r>
    </w:p>
    <w:tbl>
      <w:tblPr>
        <w:tblStyle w:val="23"/>
        <w:tblW w:w="9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476"/>
        <w:gridCol w:w="1479"/>
        <w:gridCol w:w="1335"/>
        <w:gridCol w:w="1320"/>
        <w:gridCol w:w="1058"/>
        <w:gridCol w:w="1136"/>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blHeader/>
          <w:jc w:val="center"/>
        </w:trPr>
        <w:tc>
          <w:tcPr>
            <w:tcW w:w="557" w:type="dxa"/>
            <w:vMerge w:val="restart"/>
            <w:vAlign w:val="center"/>
          </w:tcPr>
          <w:p>
            <w:pPr>
              <w:pStyle w:val="26"/>
              <w:rPr>
                <w:kern w:val="2"/>
                <w:szCs w:val="21"/>
                <w:u w:val="single"/>
                <w:lang w:val="en-US" w:eastAsia="zh-CN"/>
              </w:rPr>
            </w:pPr>
            <w:r>
              <w:rPr>
                <w:rFonts w:hint="eastAsia"/>
                <w:kern w:val="2"/>
                <w:szCs w:val="21"/>
                <w:u w:val="single"/>
                <w:lang w:val="en-US" w:eastAsia="zh-CN"/>
              </w:rPr>
              <w:t>序号</w:t>
            </w:r>
          </w:p>
        </w:tc>
        <w:tc>
          <w:tcPr>
            <w:tcW w:w="2955" w:type="dxa"/>
            <w:gridSpan w:val="2"/>
            <w:vAlign w:val="center"/>
          </w:tcPr>
          <w:p>
            <w:pPr>
              <w:pStyle w:val="26"/>
              <w:rPr>
                <w:kern w:val="2"/>
                <w:szCs w:val="21"/>
                <w:u w:val="single"/>
                <w:lang w:val="en-US" w:eastAsia="zh-CN"/>
              </w:rPr>
            </w:pPr>
            <w:r>
              <w:rPr>
                <w:rFonts w:hint="eastAsia"/>
                <w:kern w:val="2"/>
                <w:szCs w:val="21"/>
                <w:u w:val="single"/>
                <w:lang w:val="en-US" w:eastAsia="zh-CN"/>
              </w:rPr>
              <w:t>技改前</w:t>
            </w:r>
          </w:p>
        </w:tc>
        <w:tc>
          <w:tcPr>
            <w:tcW w:w="4849" w:type="dxa"/>
            <w:gridSpan w:val="4"/>
            <w:vAlign w:val="center"/>
          </w:tcPr>
          <w:p>
            <w:pPr>
              <w:pStyle w:val="26"/>
              <w:rPr>
                <w:kern w:val="2"/>
                <w:szCs w:val="21"/>
                <w:u w:val="single"/>
                <w:lang w:val="en-US" w:eastAsia="zh-CN"/>
              </w:rPr>
            </w:pPr>
            <w:r>
              <w:rPr>
                <w:rFonts w:hint="eastAsia"/>
                <w:kern w:val="2"/>
                <w:szCs w:val="21"/>
                <w:u w:val="single"/>
                <w:lang w:val="en-US" w:eastAsia="zh-CN"/>
              </w:rPr>
              <w:t>技改后</w:t>
            </w:r>
          </w:p>
        </w:tc>
        <w:tc>
          <w:tcPr>
            <w:tcW w:w="1406" w:type="dxa"/>
            <w:vMerge w:val="restart"/>
            <w:vAlign w:val="center"/>
          </w:tcPr>
          <w:p>
            <w:pPr>
              <w:pStyle w:val="26"/>
              <w:rPr>
                <w:kern w:val="2"/>
                <w:szCs w:val="21"/>
                <w:u w:val="single"/>
                <w:lang w:val="en-US" w:eastAsia="zh-CN"/>
              </w:rPr>
            </w:pPr>
            <w:r>
              <w:rPr>
                <w:rFonts w:hint="eastAsia"/>
                <w:kern w:val="2"/>
                <w:szCs w:val="21"/>
                <w:u w:val="single"/>
                <w:lang w:val="en-US" w:eastAsia="zh-CN"/>
              </w:rPr>
              <w:t>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blHeader/>
          <w:jc w:val="center"/>
        </w:trPr>
        <w:tc>
          <w:tcPr>
            <w:tcW w:w="557" w:type="dxa"/>
            <w:vMerge w:val="continue"/>
            <w:vAlign w:val="center"/>
          </w:tcPr>
          <w:p>
            <w:pPr>
              <w:pStyle w:val="26"/>
              <w:rPr>
                <w:kern w:val="2"/>
                <w:szCs w:val="21"/>
                <w:u w:val="single"/>
                <w:lang w:val="en-US" w:eastAsia="zh-CN"/>
              </w:rPr>
            </w:pPr>
          </w:p>
        </w:tc>
        <w:tc>
          <w:tcPr>
            <w:tcW w:w="1476" w:type="dxa"/>
            <w:vAlign w:val="center"/>
          </w:tcPr>
          <w:p>
            <w:pPr>
              <w:pStyle w:val="26"/>
              <w:rPr>
                <w:kern w:val="2"/>
                <w:szCs w:val="21"/>
                <w:u w:val="single"/>
                <w:lang w:val="en-US" w:eastAsia="zh-CN"/>
              </w:rPr>
            </w:pPr>
            <w:r>
              <w:rPr>
                <w:rFonts w:hint="eastAsia"/>
                <w:kern w:val="2"/>
                <w:szCs w:val="21"/>
                <w:u w:val="single"/>
                <w:lang w:val="en-US" w:eastAsia="zh-CN"/>
              </w:rPr>
              <w:t>产品名称</w:t>
            </w:r>
          </w:p>
        </w:tc>
        <w:tc>
          <w:tcPr>
            <w:tcW w:w="1479" w:type="dxa"/>
            <w:vAlign w:val="center"/>
          </w:tcPr>
          <w:p>
            <w:pPr>
              <w:pStyle w:val="26"/>
              <w:rPr>
                <w:kern w:val="2"/>
                <w:szCs w:val="21"/>
                <w:u w:val="single"/>
                <w:lang w:val="en-US" w:eastAsia="zh-CN"/>
              </w:rPr>
            </w:pPr>
            <w:r>
              <w:rPr>
                <w:rFonts w:hint="eastAsia"/>
                <w:kern w:val="2"/>
                <w:szCs w:val="21"/>
                <w:u w:val="single"/>
                <w:lang w:val="en-US" w:eastAsia="zh-CN"/>
              </w:rPr>
              <w:t>产品方案</w:t>
            </w:r>
          </w:p>
        </w:tc>
        <w:tc>
          <w:tcPr>
            <w:tcW w:w="1335" w:type="dxa"/>
            <w:vAlign w:val="center"/>
          </w:tcPr>
          <w:p>
            <w:pPr>
              <w:pStyle w:val="26"/>
              <w:rPr>
                <w:kern w:val="2"/>
                <w:szCs w:val="21"/>
                <w:u w:val="single"/>
                <w:lang w:val="en-US" w:eastAsia="zh-CN"/>
              </w:rPr>
            </w:pPr>
            <w:r>
              <w:rPr>
                <w:rFonts w:hint="eastAsia"/>
                <w:kern w:val="2"/>
                <w:szCs w:val="21"/>
                <w:u w:val="single"/>
                <w:lang w:val="en-US" w:eastAsia="zh-CN"/>
              </w:rPr>
              <w:t>产品名称</w:t>
            </w:r>
          </w:p>
        </w:tc>
        <w:tc>
          <w:tcPr>
            <w:tcW w:w="1320" w:type="dxa"/>
            <w:vAlign w:val="center"/>
          </w:tcPr>
          <w:p>
            <w:pPr>
              <w:pStyle w:val="26"/>
              <w:rPr>
                <w:kern w:val="2"/>
                <w:szCs w:val="21"/>
                <w:u w:val="single"/>
                <w:lang w:val="en-US" w:eastAsia="zh-CN"/>
              </w:rPr>
            </w:pPr>
            <w:r>
              <w:rPr>
                <w:rFonts w:hint="eastAsia"/>
                <w:kern w:val="2"/>
                <w:szCs w:val="21"/>
                <w:u w:val="single"/>
                <w:lang w:val="en-US" w:eastAsia="zh-CN"/>
              </w:rPr>
              <w:t>产品方案</w:t>
            </w:r>
          </w:p>
        </w:tc>
        <w:tc>
          <w:tcPr>
            <w:tcW w:w="1058" w:type="dxa"/>
            <w:vAlign w:val="center"/>
          </w:tcPr>
          <w:p>
            <w:pPr>
              <w:pStyle w:val="26"/>
              <w:rPr>
                <w:kern w:val="2"/>
                <w:szCs w:val="21"/>
                <w:u w:val="single"/>
                <w:lang w:val="en-US" w:eastAsia="zh-CN"/>
              </w:rPr>
            </w:pPr>
            <w:r>
              <w:rPr>
                <w:rFonts w:hint="eastAsia"/>
                <w:kern w:val="2"/>
                <w:szCs w:val="21"/>
                <w:u w:val="single"/>
                <w:lang w:val="en-US" w:eastAsia="zh-CN"/>
              </w:rPr>
              <w:t>产品规格</w:t>
            </w:r>
          </w:p>
        </w:tc>
        <w:tc>
          <w:tcPr>
            <w:tcW w:w="1136" w:type="dxa"/>
            <w:vAlign w:val="center"/>
          </w:tcPr>
          <w:p>
            <w:pPr>
              <w:pStyle w:val="26"/>
              <w:rPr>
                <w:kern w:val="2"/>
                <w:szCs w:val="21"/>
                <w:u w:val="single"/>
                <w:lang w:val="en-US" w:eastAsia="zh-CN"/>
              </w:rPr>
            </w:pPr>
            <w:r>
              <w:rPr>
                <w:rFonts w:hint="eastAsia"/>
                <w:kern w:val="2"/>
                <w:szCs w:val="21"/>
                <w:u w:val="single"/>
                <w:lang w:val="en-US" w:eastAsia="zh-CN"/>
              </w:rPr>
              <w:t>平均克重</w:t>
            </w:r>
          </w:p>
        </w:tc>
        <w:tc>
          <w:tcPr>
            <w:tcW w:w="1406" w:type="dxa"/>
            <w:vMerge w:val="continue"/>
            <w:vAlign w:val="center"/>
          </w:tcPr>
          <w:p>
            <w:pPr>
              <w:pStyle w:val="26"/>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557" w:type="dxa"/>
            <w:vAlign w:val="center"/>
          </w:tcPr>
          <w:p>
            <w:pPr>
              <w:pStyle w:val="26"/>
              <w:rPr>
                <w:kern w:val="2"/>
                <w:szCs w:val="21"/>
                <w:u w:val="single"/>
                <w:lang w:val="en-US" w:eastAsia="zh-CN"/>
              </w:rPr>
            </w:pPr>
            <w:r>
              <w:rPr>
                <w:kern w:val="2"/>
                <w:szCs w:val="21"/>
                <w:u w:val="single"/>
                <w:lang w:val="en-US" w:eastAsia="zh-CN"/>
              </w:rPr>
              <w:t>1</w:t>
            </w:r>
          </w:p>
        </w:tc>
        <w:tc>
          <w:tcPr>
            <w:tcW w:w="1476" w:type="dxa"/>
            <w:vAlign w:val="center"/>
          </w:tcPr>
          <w:p>
            <w:pPr>
              <w:pStyle w:val="26"/>
              <w:rPr>
                <w:kern w:val="2"/>
                <w:szCs w:val="21"/>
                <w:u w:val="single"/>
                <w:lang w:val="en-US" w:eastAsia="zh-CN"/>
              </w:rPr>
            </w:pPr>
            <w:r>
              <w:rPr>
                <w:rFonts w:hint="eastAsia"/>
                <w:kern w:val="2"/>
                <w:szCs w:val="21"/>
                <w:u w:val="single"/>
                <w:lang w:val="en-US" w:eastAsia="zh-CN"/>
              </w:rPr>
              <w:t>棉麻染色布</w:t>
            </w:r>
          </w:p>
        </w:tc>
        <w:tc>
          <w:tcPr>
            <w:tcW w:w="1479" w:type="dxa"/>
            <w:vAlign w:val="center"/>
          </w:tcPr>
          <w:p>
            <w:pPr>
              <w:pStyle w:val="26"/>
              <w:rPr>
                <w:kern w:val="2"/>
                <w:szCs w:val="21"/>
                <w:u w:val="single"/>
                <w:lang w:val="en-US" w:eastAsia="zh-CN"/>
              </w:rPr>
            </w:pPr>
            <w:r>
              <w:rPr>
                <w:kern w:val="2"/>
                <w:szCs w:val="21"/>
                <w:u w:val="single"/>
                <w:lang w:val="en-US" w:eastAsia="zh-CN"/>
              </w:rPr>
              <w:t>600</w:t>
            </w:r>
            <w:r>
              <w:rPr>
                <w:rFonts w:hint="eastAsia"/>
                <w:kern w:val="2"/>
                <w:szCs w:val="21"/>
                <w:u w:val="single"/>
                <w:lang w:val="en-US" w:eastAsia="zh-CN"/>
              </w:rPr>
              <w:t>万</w:t>
            </w:r>
            <w:r>
              <w:rPr>
                <w:kern w:val="2"/>
                <w:szCs w:val="21"/>
                <w:u w:val="single"/>
                <w:lang w:val="en-US" w:eastAsia="zh-CN"/>
              </w:rPr>
              <w:t>m /a</w:t>
            </w:r>
          </w:p>
        </w:tc>
        <w:tc>
          <w:tcPr>
            <w:tcW w:w="1335" w:type="dxa"/>
            <w:vAlign w:val="center"/>
          </w:tcPr>
          <w:p>
            <w:pPr>
              <w:pStyle w:val="26"/>
              <w:rPr>
                <w:kern w:val="2"/>
                <w:szCs w:val="21"/>
                <w:u w:val="single"/>
                <w:lang w:val="en-US" w:eastAsia="zh-CN"/>
              </w:rPr>
            </w:pPr>
            <w:r>
              <w:rPr>
                <w:rFonts w:hint="eastAsia"/>
                <w:kern w:val="2"/>
                <w:szCs w:val="21"/>
                <w:u w:val="single"/>
                <w:lang w:val="en-US" w:eastAsia="zh-CN"/>
              </w:rPr>
              <w:t>锦棉染色布</w:t>
            </w:r>
          </w:p>
        </w:tc>
        <w:tc>
          <w:tcPr>
            <w:tcW w:w="1320" w:type="dxa"/>
            <w:vAlign w:val="center"/>
          </w:tcPr>
          <w:p>
            <w:pPr>
              <w:pStyle w:val="26"/>
              <w:rPr>
                <w:kern w:val="2"/>
                <w:szCs w:val="21"/>
                <w:u w:val="single"/>
                <w:lang w:val="en-US" w:eastAsia="zh-CN"/>
              </w:rPr>
            </w:pPr>
            <w:r>
              <w:rPr>
                <w:rFonts w:hint="eastAsia"/>
                <w:kern w:val="2"/>
                <w:szCs w:val="21"/>
                <w:u w:val="single"/>
                <w:lang w:val="en-US" w:eastAsia="zh-CN"/>
              </w:rPr>
              <w:t>1920万</w:t>
            </w:r>
            <w:r>
              <w:rPr>
                <w:kern w:val="2"/>
                <w:szCs w:val="21"/>
                <w:u w:val="single"/>
                <w:lang w:val="en-US" w:eastAsia="zh-CN"/>
              </w:rPr>
              <w:t>m /a</w:t>
            </w:r>
          </w:p>
        </w:tc>
        <w:tc>
          <w:tcPr>
            <w:tcW w:w="1058" w:type="dxa"/>
            <w:vAlign w:val="center"/>
          </w:tcPr>
          <w:p>
            <w:pPr>
              <w:pStyle w:val="26"/>
              <w:rPr>
                <w:kern w:val="2"/>
                <w:szCs w:val="21"/>
                <w:u w:val="single"/>
                <w:lang w:val="en-US" w:eastAsia="zh-CN"/>
              </w:rPr>
            </w:pPr>
            <w:r>
              <w:rPr>
                <w:kern w:val="2"/>
                <w:szCs w:val="21"/>
                <w:u w:val="single"/>
                <w:lang w:val="en-US" w:eastAsia="zh-CN"/>
              </w:rPr>
              <w:t>1500mm</w:t>
            </w:r>
          </w:p>
        </w:tc>
        <w:tc>
          <w:tcPr>
            <w:tcW w:w="1136" w:type="dxa"/>
            <w:vAlign w:val="center"/>
          </w:tcPr>
          <w:p>
            <w:pPr>
              <w:pStyle w:val="26"/>
              <w:rPr>
                <w:kern w:val="2"/>
                <w:szCs w:val="21"/>
                <w:u w:val="single"/>
                <w:lang w:val="en-US" w:eastAsia="zh-CN"/>
              </w:rPr>
            </w:pPr>
            <w:r>
              <w:rPr>
                <w:kern w:val="2"/>
                <w:szCs w:val="21"/>
                <w:u w:val="single"/>
                <w:lang w:val="en-US" w:eastAsia="zh-CN"/>
              </w:rPr>
              <w:t>250g/m</w:t>
            </w:r>
            <w:r>
              <w:rPr>
                <w:kern w:val="2"/>
                <w:szCs w:val="21"/>
                <w:u w:val="single"/>
                <w:vertAlign w:val="superscript"/>
                <w:lang w:val="en-US" w:eastAsia="zh-CN"/>
              </w:rPr>
              <w:t>2</w:t>
            </w:r>
          </w:p>
        </w:tc>
        <w:tc>
          <w:tcPr>
            <w:tcW w:w="1406" w:type="dxa"/>
            <w:vAlign w:val="center"/>
          </w:tcPr>
          <w:p>
            <w:pPr>
              <w:pStyle w:val="26"/>
              <w:rPr>
                <w:kern w:val="2"/>
                <w:szCs w:val="21"/>
                <w:u w:val="single"/>
                <w:lang w:val="en-US" w:eastAsia="zh-CN"/>
              </w:rPr>
            </w:pPr>
            <w:r>
              <w:rPr>
                <w:rFonts w:hint="eastAsia"/>
                <w:kern w:val="2"/>
                <w:szCs w:val="21"/>
                <w:u w:val="single"/>
                <w:lang w:val="en-US" w:eastAsia="zh-CN"/>
              </w:rPr>
              <w:t>+1320万m/a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557" w:type="dxa"/>
            <w:vAlign w:val="center"/>
          </w:tcPr>
          <w:p>
            <w:pPr>
              <w:pStyle w:val="26"/>
              <w:rPr>
                <w:kern w:val="2"/>
                <w:szCs w:val="21"/>
                <w:u w:val="single"/>
                <w:lang w:val="en-US" w:eastAsia="zh-CN"/>
              </w:rPr>
            </w:pPr>
            <w:r>
              <w:rPr>
                <w:kern w:val="2"/>
                <w:szCs w:val="21"/>
                <w:u w:val="single"/>
                <w:lang w:val="en-US" w:eastAsia="zh-CN"/>
              </w:rPr>
              <w:t>2</w:t>
            </w:r>
          </w:p>
        </w:tc>
        <w:tc>
          <w:tcPr>
            <w:tcW w:w="1476" w:type="dxa"/>
            <w:vAlign w:val="center"/>
          </w:tcPr>
          <w:p>
            <w:pPr>
              <w:pStyle w:val="26"/>
              <w:rPr>
                <w:kern w:val="2"/>
                <w:szCs w:val="21"/>
                <w:u w:val="single"/>
                <w:lang w:val="en-US" w:eastAsia="zh-CN"/>
              </w:rPr>
            </w:pPr>
            <w:r>
              <w:rPr>
                <w:rFonts w:hint="eastAsia"/>
                <w:kern w:val="2"/>
                <w:szCs w:val="21"/>
                <w:u w:val="single"/>
                <w:lang w:val="en-US" w:eastAsia="zh-CN"/>
              </w:rPr>
              <w:t>纺纱</w:t>
            </w:r>
          </w:p>
        </w:tc>
        <w:tc>
          <w:tcPr>
            <w:tcW w:w="1479" w:type="dxa"/>
            <w:vAlign w:val="center"/>
          </w:tcPr>
          <w:p>
            <w:pPr>
              <w:pStyle w:val="26"/>
              <w:rPr>
                <w:kern w:val="2"/>
                <w:szCs w:val="21"/>
                <w:u w:val="single"/>
                <w:lang w:val="en-US" w:eastAsia="zh-CN"/>
              </w:rPr>
            </w:pPr>
            <w:r>
              <w:rPr>
                <w:kern w:val="2"/>
                <w:szCs w:val="21"/>
                <w:u w:val="single"/>
                <w:lang w:val="en-US" w:eastAsia="zh-CN"/>
              </w:rPr>
              <w:t>5</w:t>
            </w:r>
            <w:r>
              <w:rPr>
                <w:rFonts w:hint="eastAsia"/>
                <w:kern w:val="2"/>
                <w:szCs w:val="21"/>
                <w:u w:val="single"/>
                <w:lang w:val="en-US" w:eastAsia="zh-CN"/>
              </w:rPr>
              <w:t>万锭</w:t>
            </w:r>
            <w:r>
              <w:rPr>
                <w:kern w:val="2"/>
                <w:szCs w:val="21"/>
                <w:u w:val="single"/>
                <w:lang w:val="en-US" w:eastAsia="zh-CN"/>
              </w:rPr>
              <w:t>/a</w:t>
            </w:r>
          </w:p>
        </w:tc>
        <w:tc>
          <w:tcPr>
            <w:tcW w:w="1335" w:type="dxa"/>
            <w:vAlign w:val="center"/>
          </w:tcPr>
          <w:p>
            <w:pPr>
              <w:pStyle w:val="26"/>
              <w:rPr>
                <w:kern w:val="2"/>
                <w:szCs w:val="21"/>
                <w:u w:val="single"/>
                <w:lang w:val="en-US" w:eastAsia="zh-CN"/>
              </w:rPr>
            </w:pPr>
            <w:r>
              <w:rPr>
                <w:rFonts w:hint="eastAsia"/>
                <w:kern w:val="2"/>
                <w:szCs w:val="21"/>
                <w:u w:val="single"/>
                <w:lang w:val="en-US" w:eastAsia="zh-CN"/>
              </w:rPr>
              <w:t>纺纱</w:t>
            </w:r>
          </w:p>
        </w:tc>
        <w:tc>
          <w:tcPr>
            <w:tcW w:w="1320" w:type="dxa"/>
            <w:vAlign w:val="center"/>
          </w:tcPr>
          <w:p>
            <w:pPr>
              <w:pStyle w:val="26"/>
              <w:rPr>
                <w:kern w:val="2"/>
                <w:szCs w:val="21"/>
                <w:u w:val="single"/>
                <w:lang w:val="en-US" w:eastAsia="zh-CN"/>
              </w:rPr>
            </w:pPr>
            <w:r>
              <w:rPr>
                <w:kern w:val="2"/>
                <w:szCs w:val="21"/>
                <w:u w:val="single"/>
                <w:lang w:val="en-US" w:eastAsia="zh-CN"/>
              </w:rPr>
              <w:t>5</w:t>
            </w:r>
            <w:r>
              <w:rPr>
                <w:rFonts w:hint="eastAsia"/>
                <w:kern w:val="2"/>
                <w:szCs w:val="21"/>
                <w:u w:val="single"/>
                <w:lang w:val="en-US" w:eastAsia="zh-CN"/>
              </w:rPr>
              <w:t>万锭</w:t>
            </w:r>
            <w:r>
              <w:rPr>
                <w:kern w:val="2"/>
                <w:szCs w:val="21"/>
                <w:u w:val="single"/>
                <w:lang w:val="en-US" w:eastAsia="zh-CN"/>
              </w:rPr>
              <w:t>/a</w:t>
            </w:r>
          </w:p>
        </w:tc>
        <w:tc>
          <w:tcPr>
            <w:tcW w:w="1058" w:type="dxa"/>
            <w:vAlign w:val="center"/>
          </w:tcPr>
          <w:p>
            <w:pPr>
              <w:pStyle w:val="26"/>
              <w:rPr>
                <w:kern w:val="2"/>
                <w:szCs w:val="21"/>
                <w:u w:val="single"/>
                <w:lang w:val="en-US" w:eastAsia="zh-CN"/>
              </w:rPr>
            </w:pPr>
            <w:r>
              <w:rPr>
                <w:kern w:val="2"/>
                <w:szCs w:val="21"/>
                <w:u w:val="single"/>
                <w:lang w:val="en-US" w:eastAsia="zh-CN"/>
              </w:rPr>
              <w:t>/</w:t>
            </w:r>
          </w:p>
        </w:tc>
        <w:tc>
          <w:tcPr>
            <w:tcW w:w="1136" w:type="dxa"/>
            <w:vAlign w:val="center"/>
          </w:tcPr>
          <w:p>
            <w:pPr>
              <w:pStyle w:val="26"/>
              <w:rPr>
                <w:kern w:val="2"/>
                <w:szCs w:val="21"/>
                <w:u w:val="single"/>
                <w:lang w:val="en-US" w:eastAsia="zh-CN"/>
              </w:rPr>
            </w:pPr>
            <w:r>
              <w:rPr>
                <w:kern w:val="2"/>
                <w:szCs w:val="21"/>
                <w:u w:val="single"/>
                <w:lang w:val="en-US" w:eastAsia="zh-CN"/>
              </w:rPr>
              <w:t>/</w:t>
            </w:r>
          </w:p>
        </w:tc>
        <w:tc>
          <w:tcPr>
            <w:tcW w:w="1406" w:type="dxa"/>
            <w:vAlign w:val="center"/>
          </w:tcPr>
          <w:p>
            <w:pPr>
              <w:pStyle w:val="26"/>
              <w:rPr>
                <w:kern w:val="2"/>
                <w:szCs w:val="21"/>
                <w:u w:val="single"/>
                <w:lang w:val="en-US" w:eastAsia="zh-CN"/>
              </w:rPr>
            </w:pPr>
            <w:r>
              <w:rPr>
                <w:rFonts w:hint="eastAsia"/>
                <w:kern w:val="2"/>
                <w:szCs w:val="21"/>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557" w:type="dxa"/>
            <w:vAlign w:val="center"/>
          </w:tcPr>
          <w:p>
            <w:pPr>
              <w:pStyle w:val="26"/>
              <w:rPr>
                <w:kern w:val="2"/>
                <w:szCs w:val="21"/>
                <w:u w:val="single"/>
                <w:lang w:val="en-US" w:eastAsia="zh-CN"/>
              </w:rPr>
            </w:pPr>
            <w:r>
              <w:rPr>
                <w:rFonts w:hint="eastAsia"/>
                <w:kern w:val="2"/>
                <w:szCs w:val="21"/>
                <w:u w:val="single"/>
                <w:lang w:val="en-US" w:eastAsia="zh-CN"/>
              </w:rPr>
              <w:t>3</w:t>
            </w:r>
          </w:p>
        </w:tc>
        <w:tc>
          <w:tcPr>
            <w:tcW w:w="1476" w:type="dxa"/>
            <w:vAlign w:val="center"/>
          </w:tcPr>
          <w:p>
            <w:pPr>
              <w:pStyle w:val="26"/>
              <w:rPr>
                <w:kern w:val="2"/>
                <w:szCs w:val="21"/>
                <w:u w:val="single"/>
                <w:lang w:val="en-US" w:eastAsia="zh-CN"/>
              </w:rPr>
            </w:pPr>
            <w:r>
              <w:rPr>
                <w:rFonts w:hint="eastAsia"/>
                <w:kern w:val="2"/>
                <w:szCs w:val="21"/>
                <w:u w:val="single"/>
                <w:lang w:val="en-US" w:eastAsia="zh-CN"/>
              </w:rPr>
              <w:t>织布</w:t>
            </w:r>
          </w:p>
        </w:tc>
        <w:tc>
          <w:tcPr>
            <w:tcW w:w="1479" w:type="dxa"/>
            <w:vAlign w:val="center"/>
          </w:tcPr>
          <w:p>
            <w:pPr>
              <w:pStyle w:val="26"/>
              <w:rPr>
                <w:kern w:val="2"/>
                <w:szCs w:val="21"/>
                <w:u w:val="single"/>
                <w:lang w:val="en-US" w:eastAsia="zh-CN"/>
              </w:rPr>
            </w:pPr>
            <w:r>
              <w:rPr>
                <w:rFonts w:hint="eastAsia"/>
                <w:kern w:val="2"/>
                <w:szCs w:val="21"/>
                <w:u w:val="single"/>
                <w:lang w:val="en-US" w:eastAsia="zh-CN"/>
              </w:rPr>
              <w:t>600万</w:t>
            </w:r>
            <w:r>
              <w:rPr>
                <w:kern w:val="2"/>
                <w:szCs w:val="21"/>
                <w:u w:val="single"/>
                <w:lang w:val="en-US" w:eastAsia="zh-CN"/>
              </w:rPr>
              <w:t>m /a</w:t>
            </w:r>
          </w:p>
        </w:tc>
        <w:tc>
          <w:tcPr>
            <w:tcW w:w="1335" w:type="dxa"/>
            <w:vAlign w:val="center"/>
          </w:tcPr>
          <w:p>
            <w:pPr>
              <w:pStyle w:val="26"/>
              <w:rPr>
                <w:kern w:val="2"/>
                <w:szCs w:val="21"/>
                <w:u w:val="single"/>
                <w:lang w:val="en-US" w:eastAsia="zh-CN"/>
              </w:rPr>
            </w:pPr>
            <w:r>
              <w:rPr>
                <w:rFonts w:hint="eastAsia"/>
                <w:kern w:val="2"/>
                <w:szCs w:val="21"/>
                <w:u w:val="single"/>
                <w:lang w:val="en-US" w:eastAsia="zh-CN"/>
              </w:rPr>
              <w:t>/</w:t>
            </w:r>
          </w:p>
        </w:tc>
        <w:tc>
          <w:tcPr>
            <w:tcW w:w="1320" w:type="dxa"/>
            <w:vAlign w:val="center"/>
          </w:tcPr>
          <w:p>
            <w:pPr>
              <w:ind w:firstLine="480"/>
              <w:rPr>
                <w:u w:val="single"/>
              </w:rPr>
            </w:pPr>
            <w:r>
              <w:rPr>
                <w:rFonts w:hint="eastAsia"/>
                <w:u w:val="single"/>
              </w:rPr>
              <w:t>/</w:t>
            </w:r>
          </w:p>
        </w:tc>
        <w:tc>
          <w:tcPr>
            <w:tcW w:w="1058" w:type="dxa"/>
            <w:vAlign w:val="center"/>
          </w:tcPr>
          <w:p>
            <w:pPr>
              <w:ind w:firstLine="480"/>
              <w:rPr>
                <w:u w:val="single"/>
              </w:rPr>
            </w:pPr>
            <w:r>
              <w:rPr>
                <w:rFonts w:hint="eastAsia"/>
                <w:u w:val="single"/>
              </w:rPr>
              <w:t>/</w:t>
            </w:r>
          </w:p>
        </w:tc>
        <w:tc>
          <w:tcPr>
            <w:tcW w:w="1136" w:type="dxa"/>
            <w:vAlign w:val="center"/>
          </w:tcPr>
          <w:p>
            <w:pPr>
              <w:ind w:firstLine="480"/>
              <w:rPr>
                <w:u w:val="single"/>
              </w:rPr>
            </w:pPr>
            <w:r>
              <w:rPr>
                <w:rFonts w:hint="eastAsia"/>
                <w:u w:val="single"/>
              </w:rPr>
              <w:t>/</w:t>
            </w:r>
          </w:p>
        </w:tc>
        <w:tc>
          <w:tcPr>
            <w:tcW w:w="1406" w:type="dxa"/>
            <w:vAlign w:val="center"/>
          </w:tcPr>
          <w:p>
            <w:pPr>
              <w:pStyle w:val="26"/>
              <w:rPr>
                <w:kern w:val="2"/>
                <w:szCs w:val="21"/>
                <w:u w:val="single"/>
                <w:lang w:val="en-US" w:eastAsia="zh-CN"/>
              </w:rPr>
            </w:pPr>
            <w:r>
              <w:rPr>
                <w:rFonts w:hint="eastAsia"/>
                <w:kern w:val="2"/>
                <w:szCs w:val="21"/>
                <w:u w:val="single"/>
                <w:lang w:val="en-US" w:eastAsia="zh-CN"/>
              </w:rPr>
              <w:t>-600万</w:t>
            </w:r>
            <w:r>
              <w:rPr>
                <w:kern w:val="2"/>
                <w:szCs w:val="21"/>
                <w:u w:val="single"/>
                <w:lang w:val="en-US" w:eastAsia="zh-CN"/>
              </w:rPr>
              <w:t>m /a</w:t>
            </w:r>
          </w:p>
        </w:tc>
      </w:tr>
    </w:tbl>
    <w:p>
      <w:pPr>
        <w:pStyle w:val="4"/>
      </w:pPr>
      <w:r>
        <w:rPr>
          <w:rFonts w:hint="eastAsia"/>
        </w:rPr>
        <w:t>技改后主要原辅材料</w:t>
      </w:r>
    </w:p>
    <w:p>
      <w:pPr>
        <w:ind w:firstLine="480"/>
      </w:pPr>
      <w:r>
        <w:t>1</w:t>
      </w:r>
      <w:r>
        <w:rPr>
          <w:rFonts w:hint="eastAsia"/>
        </w:rPr>
        <w:t>、主要原辅材料消耗情况</w:t>
      </w:r>
    </w:p>
    <w:p>
      <w:pPr>
        <w:ind w:firstLine="480"/>
      </w:pPr>
      <w:r>
        <w:rPr>
          <w:rFonts w:hint="eastAsia"/>
        </w:rPr>
        <w:t>本次技改后，织布车间不再生产，无织布原辅材料；企业纺纱产品使用的原辅材料不发生变化；企业印染生产过程使用的主要原辅材料发生变化，与现有工程对比，减少了尿素、夜间、保险粉、消泡剂，增加了柔软剂、冰醋酸、皂化剂等，技改后主要原辅材料消耗情况见表</w:t>
      </w:r>
      <w:r>
        <w:t>4.1-</w:t>
      </w:r>
      <w:r>
        <w:rPr>
          <w:rFonts w:hint="eastAsia"/>
        </w:rPr>
        <w:t>5，技改前后主要原辅材料消耗情况见表4.1-6。</w:t>
      </w:r>
    </w:p>
    <w:p>
      <w:pPr>
        <w:pStyle w:val="26"/>
        <w:rPr>
          <w:b/>
          <w:bCs/>
          <w:u w:val="single"/>
        </w:rPr>
      </w:pPr>
      <w:r>
        <w:rPr>
          <w:rFonts w:hint="eastAsia"/>
          <w:b/>
          <w:bCs/>
          <w:u w:val="single"/>
        </w:rPr>
        <w:t>表</w:t>
      </w:r>
      <w:r>
        <w:rPr>
          <w:b/>
          <w:bCs/>
          <w:u w:val="single"/>
        </w:rPr>
        <w:t>4.1-</w:t>
      </w:r>
      <w:r>
        <w:rPr>
          <w:rFonts w:hint="eastAsia"/>
          <w:b/>
          <w:bCs/>
          <w:u w:val="single"/>
        </w:rPr>
        <w:t>5企业技改后印染生产过程主要原辅材料消耗一览表</w:t>
      </w:r>
    </w:p>
    <w:tbl>
      <w:tblPr>
        <w:tblStyle w:val="23"/>
        <w:tblW w:w="9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982"/>
        <w:gridCol w:w="1842"/>
        <w:gridCol w:w="1054"/>
        <w:gridCol w:w="2270"/>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blHeader/>
        </w:trPr>
        <w:tc>
          <w:tcPr>
            <w:tcW w:w="818" w:type="dxa"/>
            <w:vAlign w:val="center"/>
          </w:tcPr>
          <w:p>
            <w:pPr>
              <w:pStyle w:val="26"/>
              <w:rPr>
                <w:kern w:val="2"/>
                <w:szCs w:val="21"/>
                <w:u w:val="single"/>
                <w:lang w:val="en-US" w:eastAsia="zh-CN"/>
              </w:rPr>
            </w:pPr>
            <w:r>
              <w:rPr>
                <w:rFonts w:hint="eastAsia"/>
                <w:kern w:val="2"/>
                <w:szCs w:val="21"/>
                <w:u w:val="single"/>
                <w:lang w:val="en-US" w:eastAsia="zh-CN"/>
              </w:rPr>
              <w:t>序号</w:t>
            </w:r>
          </w:p>
        </w:tc>
        <w:tc>
          <w:tcPr>
            <w:tcW w:w="2824" w:type="dxa"/>
            <w:gridSpan w:val="2"/>
            <w:vAlign w:val="center"/>
          </w:tcPr>
          <w:p>
            <w:pPr>
              <w:pStyle w:val="26"/>
              <w:rPr>
                <w:kern w:val="2"/>
                <w:szCs w:val="21"/>
                <w:u w:val="single"/>
                <w:lang w:val="en-US" w:eastAsia="zh-CN"/>
              </w:rPr>
            </w:pPr>
            <w:r>
              <w:rPr>
                <w:rFonts w:hint="eastAsia"/>
                <w:kern w:val="2"/>
                <w:szCs w:val="21"/>
                <w:u w:val="single"/>
                <w:lang w:val="en-US" w:eastAsia="zh-CN"/>
              </w:rPr>
              <w:t>原辅材料名称</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单位</w:t>
            </w:r>
          </w:p>
        </w:tc>
        <w:tc>
          <w:tcPr>
            <w:tcW w:w="2270" w:type="dxa"/>
            <w:vAlign w:val="center"/>
          </w:tcPr>
          <w:p>
            <w:pPr>
              <w:pStyle w:val="26"/>
              <w:rPr>
                <w:kern w:val="2"/>
                <w:szCs w:val="21"/>
                <w:u w:val="single"/>
                <w:lang w:val="en-US" w:eastAsia="zh-CN"/>
              </w:rPr>
            </w:pPr>
            <w:r>
              <w:rPr>
                <w:rFonts w:hint="eastAsia"/>
                <w:kern w:val="2"/>
                <w:szCs w:val="21"/>
                <w:u w:val="single"/>
                <w:lang w:val="en-US" w:eastAsia="zh-CN"/>
              </w:rPr>
              <w:t>消耗量</w:t>
            </w:r>
          </w:p>
        </w:tc>
        <w:tc>
          <w:tcPr>
            <w:tcW w:w="2844" w:type="dxa"/>
            <w:vAlign w:val="center"/>
          </w:tcPr>
          <w:p>
            <w:pPr>
              <w:pStyle w:val="26"/>
              <w:rPr>
                <w:kern w:val="2"/>
                <w:szCs w:val="21"/>
                <w:u w:val="single"/>
                <w:lang w:val="en-US" w:eastAsia="zh-CN"/>
              </w:rPr>
            </w:pPr>
            <w:r>
              <w:rPr>
                <w:rFonts w:hint="eastAsia"/>
                <w:kern w:val="2"/>
                <w:szCs w:val="21"/>
                <w:u w:val="singl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810" w:type="dxa"/>
            <w:gridSpan w:val="6"/>
            <w:vAlign w:val="center"/>
          </w:tcPr>
          <w:p>
            <w:pPr>
              <w:pStyle w:val="26"/>
              <w:rPr>
                <w:kern w:val="2"/>
                <w:szCs w:val="21"/>
                <w:u w:val="single"/>
                <w:lang w:val="en-US" w:eastAsia="zh-CN"/>
              </w:rPr>
            </w:pPr>
            <w:r>
              <w:rPr>
                <w:rFonts w:hint="eastAsia"/>
                <w:kern w:val="2"/>
                <w:szCs w:val="21"/>
                <w:u w:val="single"/>
                <w:lang w:val="en-US" w:eastAsia="zh-CN"/>
              </w:rPr>
              <w:t>一、印染车间主要原辅材料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18" w:type="dxa"/>
            <w:vMerge w:val="restart"/>
            <w:vAlign w:val="center"/>
          </w:tcPr>
          <w:p>
            <w:pPr>
              <w:pStyle w:val="26"/>
              <w:rPr>
                <w:kern w:val="2"/>
                <w:szCs w:val="21"/>
                <w:u w:val="single"/>
                <w:lang w:val="en-US" w:eastAsia="zh-CN"/>
              </w:rPr>
            </w:pPr>
            <w:r>
              <w:rPr>
                <w:kern w:val="2"/>
                <w:szCs w:val="21"/>
                <w:u w:val="single"/>
                <w:lang w:val="en-US" w:eastAsia="zh-CN"/>
              </w:rPr>
              <w:t>1</w:t>
            </w:r>
          </w:p>
        </w:tc>
        <w:tc>
          <w:tcPr>
            <w:tcW w:w="982" w:type="dxa"/>
            <w:vMerge w:val="restart"/>
            <w:vAlign w:val="center"/>
          </w:tcPr>
          <w:p>
            <w:pPr>
              <w:pStyle w:val="26"/>
              <w:rPr>
                <w:kern w:val="2"/>
                <w:szCs w:val="21"/>
                <w:u w:val="single"/>
                <w:lang w:val="en-US" w:eastAsia="zh-CN"/>
              </w:rPr>
            </w:pPr>
            <w:r>
              <w:rPr>
                <w:rFonts w:hint="eastAsia"/>
                <w:kern w:val="2"/>
                <w:szCs w:val="21"/>
                <w:u w:val="single"/>
                <w:lang w:val="en-US" w:eastAsia="zh-CN"/>
              </w:rPr>
              <w:t>坯布</w:t>
            </w:r>
          </w:p>
        </w:tc>
        <w:tc>
          <w:tcPr>
            <w:tcW w:w="1842" w:type="dxa"/>
            <w:vAlign w:val="center"/>
          </w:tcPr>
          <w:p>
            <w:pPr>
              <w:pStyle w:val="26"/>
              <w:rPr>
                <w:kern w:val="2"/>
                <w:szCs w:val="21"/>
                <w:u w:val="single"/>
                <w:lang w:val="en-US" w:eastAsia="zh-CN"/>
              </w:rPr>
            </w:pPr>
            <w:r>
              <w:rPr>
                <w:kern w:val="2"/>
                <w:szCs w:val="21"/>
                <w:u w:val="single"/>
                <w:lang w:val="en-US" w:eastAsia="zh-CN"/>
              </w:rPr>
              <w:t>10</w:t>
            </w:r>
            <w:r>
              <w:rPr>
                <w:rFonts w:hint="eastAsia"/>
                <w:kern w:val="2"/>
                <w:szCs w:val="21"/>
                <w:u w:val="single"/>
                <w:lang w:val="en-US" w:eastAsia="zh-CN"/>
              </w:rPr>
              <w:t>支变斜</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rPr>
                <w:kern w:val="2"/>
                <w:szCs w:val="21"/>
                <w:u w:val="single"/>
                <w:lang w:val="en-US" w:eastAsia="zh-CN"/>
              </w:rPr>
            </w:pPr>
            <w:r>
              <w:rPr>
                <w:rFonts w:hint="eastAsia"/>
                <w:kern w:val="2"/>
                <w:szCs w:val="21"/>
                <w:u w:val="single"/>
                <w:lang w:val="en-US" w:eastAsia="zh-CN"/>
              </w:rPr>
              <w:t>32</w:t>
            </w:r>
            <w:r>
              <w:rPr>
                <w:kern w:val="2"/>
                <w:szCs w:val="21"/>
                <w:u w:val="single"/>
                <w:lang w:val="en-US" w:eastAsia="zh-CN"/>
              </w:rPr>
              <w:t>0</w:t>
            </w:r>
            <w:r>
              <w:rPr>
                <w:rFonts w:hint="eastAsia"/>
                <w:kern w:val="2"/>
                <w:szCs w:val="21"/>
                <w:u w:val="single"/>
                <w:lang w:val="en-US" w:eastAsia="zh-CN"/>
              </w:rPr>
              <w:t>万</w:t>
            </w:r>
            <w:r>
              <w:rPr>
                <w:kern w:val="2"/>
                <w:szCs w:val="21"/>
                <w:u w:val="single"/>
                <w:lang w:val="en-US" w:eastAsia="zh-CN"/>
              </w:rPr>
              <w:t>m/a</w:t>
            </w:r>
          </w:p>
        </w:tc>
        <w:tc>
          <w:tcPr>
            <w:tcW w:w="2844" w:type="dxa"/>
            <w:vMerge w:val="restart"/>
            <w:vAlign w:val="center"/>
          </w:tcPr>
          <w:p>
            <w:pPr>
              <w:pStyle w:val="26"/>
              <w:spacing w:line="240" w:lineRule="auto"/>
              <w:rPr>
                <w:kern w:val="2"/>
                <w:szCs w:val="21"/>
                <w:u w:val="single"/>
                <w:lang w:val="en-US" w:eastAsia="zh-CN"/>
              </w:rPr>
            </w:pPr>
            <w:r>
              <w:rPr>
                <w:rFonts w:hint="eastAsia"/>
                <w:kern w:val="2"/>
                <w:szCs w:val="21"/>
                <w:u w:val="single"/>
                <w:lang w:val="en-US" w:eastAsia="zh-CN"/>
              </w:rPr>
              <w:t>坯布类型发生变化，用量不发生变化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18" w:type="dxa"/>
            <w:vMerge w:val="continue"/>
            <w:vAlign w:val="center"/>
          </w:tcPr>
          <w:p>
            <w:pPr>
              <w:pStyle w:val="26"/>
              <w:rPr>
                <w:kern w:val="2"/>
                <w:szCs w:val="21"/>
                <w:u w:val="single"/>
                <w:lang w:val="en-US" w:eastAsia="zh-CN"/>
              </w:rPr>
            </w:pPr>
          </w:p>
        </w:tc>
        <w:tc>
          <w:tcPr>
            <w:tcW w:w="982" w:type="dxa"/>
            <w:vMerge w:val="continue"/>
            <w:vAlign w:val="center"/>
          </w:tcPr>
          <w:p>
            <w:pPr>
              <w:pStyle w:val="26"/>
              <w:rPr>
                <w:kern w:val="2"/>
                <w:szCs w:val="21"/>
                <w:u w:val="single"/>
                <w:lang w:val="en-US" w:eastAsia="zh-CN"/>
              </w:rPr>
            </w:pPr>
          </w:p>
        </w:tc>
        <w:tc>
          <w:tcPr>
            <w:tcW w:w="1842" w:type="dxa"/>
            <w:vAlign w:val="center"/>
          </w:tcPr>
          <w:p>
            <w:pPr>
              <w:pStyle w:val="26"/>
              <w:rPr>
                <w:kern w:val="2"/>
                <w:szCs w:val="21"/>
                <w:u w:val="single"/>
                <w:lang w:val="en-US" w:eastAsia="zh-CN"/>
              </w:rPr>
            </w:pPr>
            <w:r>
              <w:rPr>
                <w:kern w:val="2"/>
                <w:szCs w:val="21"/>
                <w:u w:val="single"/>
                <w:lang w:val="en-US" w:eastAsia="zh-CN"/>
              </w:rPr>
              <w:t>10</w:t>
            </w:r>
            <w:r>
              <w:rPr>
                <w:rFonts w:hint="eastAsia"/>
                <w:kern w:val="2"/>
                <w:szCs w:val="21"/>
                <w:u w:val="single"/>
                <w:lang w:val="en-US" w:eastAsia="zh-CN"/>
              </w:rPr>
              <w:t>支富贵</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rPr>
                <w:kern w:val="2"/>
                <w:szCs w:val="21"/>
                <w:u w:val="single"/>
                <w:lang w:val="en-US" w:eastAsia="zh-CN"/>
              </w:rPr>
            </w:pPr>
            <w:r>
              <w:rPr>
                <w:rFonts w:hint="eastAsia"/>
                <w:kern w:val="2"/>
                <w:szCs w:val="21"/>
                <w:u w:val="single"/>
                <w:lang w:val="en-US" w:eastAsia="zh-CN"/>
              </w:rPr>
              <w:t>1600万</w:t>
            </w:r>
            <w:r>
              <w:rPr>
                <w:kern w:val="2"/>
                <w:szCs w:val="21"/>
                <w:u w:val="single"/>
                <w:lang w:val="en-US" w:eastAsia="zh-CN"/>
              </w:rPr>
              <w:t>m/a</w:t>
            </w:r>
          </w:p>
        </w:tc>
        <w:tc>
          <w:tcPr>
            <w:tcW w:w="2844" w:type="dxa"/>
            <w:vMerge w:val="continue"/>
            <w:vAlign w:val="center"/>
          </w:tcPr>
          <w:p>
            <w:pPr>
              <w:pStyle w:val="26"/>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18" w:type="dxa"/>
            <w:vAlign w:val="center"/>
          </w:tcPr>
          <w:p>
            <w:pPr>
              <w:pStyle w:val="26"/>
              <w:rPr>
                <w:kern w:val="2"/>
                <w:szCs w:val="21"/>
                <w:u w:val="single"/>
                <w:lang w:val="en-US" w:eastAsia="zh-CN"/>
              </w:rPr>
            </w:pPr>
            <w:r>
              <w:rPr>
                <w:kern w:val="2"/>
                <w:szCs w:val="21"/>
                <w:u w:val="single"/>
                <w:lang w:val="en-US" w:eastAsia="zh-CN"/>
              </w:rPr>
              <w:t>2</w:t>
            </w:r>
          </w:p>
        </w:tc>
        <w:tc>
          <w:tcPr>
            <w:tcW w:w="982" w:type="dxa"/>
            <w:vAlign w:val="center"/>
          </w:tcPr>
          <w:p>
            <w:pPr>
              <w:pStyle w:val="26"/>
              <w:rPr>
                <w:kern w:val="2"/>
                <w:szCs w:val="21"/>
                <w:u w:val="single"/>
                <w:lang w:val="en-US" w:eastAsia="zh-CN"/>
              </w:rPr>
            </w:pPr>
            <w:r>
              <w:rPr>
                <w:rFonts w:hint="eastAsia"/>
                <w:kern w:val="2"/>
                <w:szCs w:val="21"/>
                <w:u w:val="single"/>
                <w:lang w:val="en-US" w:eastAsia="zh-CN"/>
              </w:rPr>
              <w:t>染料</w:t>
            </w:r>
          </w:p>
        </w:tc>
        <w:tc>
          <w:tcPr>
            <w:tcW w:w="1842" w:type="dxa"/>
            <w:vAlign w:val="center"/>
          </w:tcPr>
          <w:p>
            <w:pPr>
              <w:pStyle w:val="26"/>
              <w:rPr>
                <w:kern w:val="2"/>
                <w:szCs w:val="21"/>
                <w:u w:val="single"/>
                <w:lang w:val="en-US" w:eastAsia="zh-CN"/>
              </w:rPr>
            </w:pPr>
            <w:r>
              <w:rPr>
                <w:rFonts w:hint="eastAsia"/>
                <w:kern w:val="2"/>
                <w:szCs w:val="21"/>
                <w:u w:val="single"/>
                <w:lang w:val="en-US" w:eastAsia="zh-CN"/>
              </w:rPr>
              <w:t>硫化黑</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rPr>
                <w:kern w:val="2"/>
                <w:szCs w:val="21"/>
                <w:u w:val="single"/>
                <w:lang w:val="en-US" w:eastAsia="zh-CN"/>
              </w:rPr>
            </w:pPr>
            <w:r>
              <w:rPr>
                <w:kern w:val="2"/>
                <w:szCs w:val="21"/>
                <w:u w:val="single"/>
                <w:lang w:val="en-US" w:eastAsia="zh-CN"/>
              </w:rPr>
              <w:t>25</w:t>
            </w:r>
          </w:p>
        </w:tc>
        <w:tc>
          <w:tcPr>
            <w:tcW w:w="2844" w:type="dxa"/>
            <w:vAlign w:val="center"/>
          </w:tcPr>
          <w:p>
            <w:pPr>
              <w:pStyle w:val="26"/>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18" w:type="dxa"/>
            <w:vMerge w:val="restart"/>
            <w:vAlign w:val="center"/>
          </w:tcPr>
          <w:p>
            <w:pPr>
              <w:pStyle w:val="26"/>
              <w:rPr>
                <w:kern w:val="2"/>
                <w:szCs w:val="21"/>
                <w:u w:val="single"/>
                <w:lang w:val="en-US" w:eastAsia="zh-CN"/>
              </w:rPr>
            </w:pPr>
            <w:r>
              <w:rPr>
                <w:kern w:val="2"/>
                <w:szCs w:val="21"/>
                <w:u w:val="single"/>
                <w:lang w:val="en-US" w:eastAsia="zh-CN"/>
              </w:rPr>
              <w:t>3</w:t>
            </w:r>
          </w:p>
        </w:tc>
        <w:tc>
          <w:tcPr>
            <w:tcW w:w="982" w:type="dxa"/>
            <w:vMerge w:val="restart"/>
            <w:vAlign w:val="center"/>
          </w:tcPr>
          <w:p>
            <w:pPr>
              <w:pStyle w:val="26"/>
              <w:rPr>
                <w:kern w:val="2"/>
                <w:szCs w:val="21"/>
                <w:u w:val="single"/>
                <w:lang w:val="en-US" w:eastAsia="zh-CN"/>
              </w:rPr>
            </w:pPr>
            <w:r>
              <w:rPr>
                <w:rFonts w:hint="eastAsia"/>
                <w:kern w:val="2"/>
                <w:szCs w:val="21"/>
                <w:u w:val="single"/>
                <w:lang w:val="en-US" w:eastAsia="zh-CN"/>
              </w:rPr>
              <w:t>助剂</w:t>
            </w:r>
          </w:p>
        </w:tc>
        <w:tc>
          <w:tcPr>
            <w:tcW w:w="1842" w:type="dxa"/>
            <w:vAlign w:val="center"/>
          </w:tcPr>
          <w:p>
            <w:pPr>
              <w:pStyle w:val="26"/>
              <w:rPr>
                <w:kern w:val="2"/>
                <w:szCs w:val="21"/>
                <w:u w:val="single"/>
                <w:lang w:val="en-US" w:eastAsia="zh-CN"/>
              </w:rPr>
            </w:pPr>
            <w:r>
              <w:rPr>
                <w:rFonts w:hint="eastAsia"/>
                <w:kern w:val="2"/>
                <w:szCs w:val="21"/>
                <w:u w:val="single"/>
                <w:lang w:val="en-US" w:eastAsia="zh-CN"/>
              </w:rPr>
              <w:t>硫化碱</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80</w:t>
            </w:r>
          </w:p>
        </w:tc>
        <w:tc>
          <w:tcPr>
            <w:tcW w:w="2844" w:type="dxa"/>
            <w:vAlign w:val="center"/>
          </w:tcPr>
          <w:p>
            <w:pPr>
              <w:pStyle w:val="26"/>
              <w:rPr>
                <w:kern w:val="2"/>
                <w:szCs w:val="21"/>
                <w:u w:val="single"/>
                <w:lang w:val="en-US" w:eastAsia="zh-CN"/>
              </w:rPr>
            </w:pPr>
            <w:r>
              <w:rPr>
                <w:rFonts w:hint="eastAsia"/>
                <w:kern w:val="2"/>
                <w:szCs w:val="21"/>
                <w:u w:val="single"/>
                <w:lang w:val="en-US" w:eastAsia="zh-CN"/>
              </w:rPr>
              <w:t>起到溶解还原硫化黑的作用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18" w:type="dxa"/>
            <w:vMerge w:val="continue"/>
            <w:vAlign w:val="center"/>
          </w:tcPr>
          <w:p>
            <w:pPr>
              <w:pStyle w:val="26"/>
              <w:rPr>
                <w:kern w:val="2"/>
                <w:szCs w:val="21"/>
                <w:u w:val="single"/>
                <w:lang w:val="en-US" w:eastAsia="zh-CN"/>
              </w:rPr>
            </w:pPr>
          </w:p>
        </w:tc>
        <w:tc>
          <w:tcPr>
            <w:tcW w:w="982" w:type="dxa"/>
            <w:vMerge w:val="continue"/>
            <w:vAlign w:val="center"/>
          </w:tcPr>
          <w:p>
            <w:pPr>
              <w:pStyle w:val="26"/>
              <w:rPr>
                <w:kern w:val="2"/>
                <w:szCs w:val="21"/>
                <w:u w:val="single"/>
                <w:lang w:val="en-US" w:eastAsia="zh-CN"/>
              </w:rPr>
            </w:pPr>
          </w:p>
        </w:tc>
        <w:tc>
          <w:tcPr>
            <w:tcW w:w="1842" w:type="dxa"/>
            <w:vAlign w:val="center"/>
          </w:tcPr>
          <w:p>
            <w:pPr>
              <w:pStyle w:val="26"/>
              <w:rPr>
                <w:kern w:val="2"/>
                <w:szCs w:val="21"/>
                <w:u w:val="single"/>
                <w:lang w:val="en-US" w:eastAsia="zh-CN"/>
              </w:rPr>
            </w:pPr>
            <w:r>
              <w:rPr>
                <w:rFonts w:hint="eastAsia"/>
                <w:kern w:val="2"/>
                <w:szCs w:val="21"/>
                <w:u w:val="single"/>
                <w:lang w:val="en-US" w:eastAsia="zh-CN"/>
              </w:rPr>
              <w:t>柔软剂</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6.4</w:t>
            </w:r>
          </w:p>
        </w:tc>
        <w:tc>
          <w:tcPr>
            <w:tcW w:w="2844" w:type="dxa"/>
            <w:vAlign w:val="center"/>
          </w:tcPr>
          <w:p>
            <w:pPr>
              <w:pStyle w:val="26"/>
              <w:rPr>
                <w:kern w:val="2"/>
                <w:szCs w:val="21"/>
                <w:u w:val="single"/>
                <w:lang w:val="en-US" w:eastAsia="zh-CN"/>
              </w:rPr>
            </w:pPr>
            <w:r>
              <w:rPr>
                <w:rFonts w:hint="eastAsia"/>
                <w:kern w:val="2"/>
                <w:szCs w:val="21"/>
                <w:u w:val="single"/>
                <w:lang w:val="en-US" w:eastAsia="zh-CN"/>
              </w:rPr>
              <w:t>增加布匹的柔软舒适感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18" w:type="dxa"/>
            <w:vMerge w:val="continue"/>
            <w:vAlign w:val="center"/>
          </w:tcPr>
          <w:p>
            <w:pPr>
              <w:pStyle w:val="26"/>
              <w:rPr>
                <w:kern w:val="2"/>
                <w:szCs w:val="21"/>
                <w:u w:val="single"/>
                <w:lang w:val="en-US" w:eastAsia="zh-CN"/>
              </w:rPr>
            </w:pPr>
          </w:p>
        </w:tc>
        <w:tc>
          <w:tcPr>
            <w:tcW w:w="982" w:type="dxa"/>
            <w:vMerge w:val="continue"/>
            <w:vAlign w:val="center"/>
          </w:tcPr>
          <w:p>
            <w:pPr>
              <w:pStyle w:val="26"/>
              <w:rPr>
                <w:kern w:val="2"/>
                <w:szCs w:val="21"/>
                <w:u w:val="single"/>
                <w:lang w:val="en-US" w:eastAsia="zh-CN"/>
              </w:rPr>
            </w:pPr>
          </w:p>
        </w:tc>
        <w:tc>
          <w:tcPr>
            <w:tcW w:w="1842" w:type="dxa"/>
            <w:vAlign w:val="center"/>
          </w:tcPr>
          <w:p>
            <w:pPr>
              <w:pStyle w:val="26"/>
              <w:rPr>
                <w:kern w:val="2"/>
                <w:szCs w:val="21"/>
                <w:u w:val="single"/>
                <w:lang w:val="en-US" w:eastAsia="zh-CN"/>
              </w:rPr>
            </w:pPr>
            <w:r>
              <w:rPr>
                <w:rFonts w:hint="eastAsia"/>
                <w:kern w:val="2"/>
                <w:szCs w:val="21"/>
                <w:u w:val="single"/>
                <w:lang w:val="en-US" w:eastAsia="zh-CN"/>
              </w:rPr>
              <w:t>无醛固色剂</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6.4</w:t>
            </w:r>
          </w:p>
        </w:tc>
        <w:tc>
          <w:tcPr>
            <w:tcW w:w="2844" w:type="dxa"/>
            <w:vAlign w:val="center"/>
          </w:tcPr>
          <w:p>
            <w:pPr>
              <w:pStyle w:val="26"/>
              <w:rPr>
                <w:kern w:val="2"/>
                <w:szCs w:val="21"/>
                <w:u w:val="single"/>
                <w:lang w:val="en-US" w:eastAsia="zh-CN"/>
              </w:rPr>
            </w:pPr>
            <w:r>
              <w:rPr>
                <w:rFonts w:hint="eastAsia"/>
                <w:kern w:val="2"/>
                <w:szCs w:val="21"/>
                <w:u w:val="single"/>
                <w:lang w:val="en-US" w:eastAsia="zh-CN"/>
              </w:rPr>
              <w:t>增加颜色在布料上的牢固度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18" w:type="dxa"/>
            <w:vMerge w:val="continue"/>
            <w:vAlign w:val="center"/>
          </w:tcPr>
          <w:p>
            <w:pPr>
              <w:pStyle w:val="26"/>
              <w:rPr>
                <w:kern w:val="2"/>
                <w:szCs w:val="21"/>
                <w:u w:val="single"/>
                <w:lang w:val="en-US" w:eastAsia="zh-CN"/>
              </w:rPr>
            </w:pPr>
          </w:p>
        </w:tc>
        <w:tc>
          <w:tcPr>
            <w:tcW w:w="982" w:type="dxa"/>
            <w:vMerge w:val="continue"/>
            <w:vAlign w:val="center"/>
          </w:tcPr>
          <w:p>
            <w:pPr>
              <w:pStyle w:val="26"/>
              <w:rPr>
                <w:kern w:val="2"/>
                <w:szCs w:val="21"/>
                <w:u w:val="single"/>
                <w:lang w:val="en-US" w:eastAsia="zh-CN"/>
              </w:rPr>
            </w:pPr>
          </w:p>
        </w:tc>
        <w:tc>
          <w:tcPr>
            <w:tcW w:w="1842" w:type="dxa"/>
            <w:vAlign w:val="center"/>
          </w:tcPr>
          <w:p>
            <w:pPr>
              <w:pStyle w:val="26"/>
              <w:rPr>
                <w:kern w:val="2"/>
                <w:szCs w:val="21"/>
                <w:u w:val="single"/>
                <w:lang w:val="en-US" w:eastAsia="zh-CN"/>
              </w:rPr>
            </w:pPr>
            <w:r>
              <w:rPr>
                <w:rFonts w:hint="eastAsia"/>
                <w:kern w:val="2"/>
                <w:szCs w:val="21"/>
                <w:u w:val="single"/>
                <w:lang w:val="en-US" w:eastAsia="zh-CN"/>
              </w:rPr>
              <w:t>冰醋酸</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22.4</w:t>
            </w:r>
          </w:p>
        </w:tc>
        <w:tc>
          <w:tcPr>
            <w:tcW w:w="2844" w:type="dxa"/>
            <w:vAlign w:val="center"/>
          </w:tcPr>
          <w:p>
            <w:pPr>
              <w:pStyle w:val="26"/>
              <w:rPr>
                <w:kern w:val="2"/>
                <w:szCs w:val="21"/>
                <w:u w:val="single"/>
                <w:lang w:val="en-US" w:eastAsia="zh-CN"/>
              </w:rPr>
            </w:pPr>
            <w:r>
              <w:rPr>
                <w:rFonts w:hint="eastAsia"/>
                <w:kern w:val="2"/>
                <w:szCs w:val="21"/>
                <w:u w:val="single"/>
                <w:lang w:val="en-US" w:eastAsia="zh-CN"/>
              </w:rPr>
              <w:t>调节染液pH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18" w:type="dxa"/>
            <w:vMerge w:val="continue"/>
            <w:vAlign w:val="center"/>
          </w:tcPr>
          <w:p>
            <w:pPr>
              <w:pStyle w:val="26"/>
              <w:rPr>
                <w:kern w:val="2"/>
                <w:szCs w:val="21"/>
                <w:u w:val="single"/>
                <w:lang w:val="en-US" w:eastAsia="zh-CN"/>
              </w:rPr>
            </w:pPr>
          </w:p>
        </w:tc>
        <w:tc>
          <w:tcPr>
            <w:tcW w:w="982" w:type="dxa"/>
            <w:vMerge w:val="continue"/>
            <w:vAlign w:val="center"/>
          </w:tcPr>
          <w:p>
            <w:pPr>
              <w:pStyle w:val="26"/>
              <w:rPr>
                <w:kern w:val="2"/>
                <w:szCs w:val="21"/>
                <w:u w:val="single"/>
                <w:lang w:val="en-US" w:eastAsia="zh-CN"/>
              </w:rPr>
            </w:pPr>
          </w:p>
        </w:tc>
        <w:tc>
          <w:tcPr>
            <w:tcW w:w="1842" w:type="dxa"/>
            <w:vAlign w:val="center"/>
          </w:tcPr>
          <w:p>
            <w:pPr>
              <w:pStyle w:val="26"/>
              <w:rPr>
                <w:kern w:val="2"/>
                <w:szCs w:val="21"/>
                <w:u w:val="single"/>
                <w:lang w:val="en-US" w:eastAsia="zh-CN"/>
              </w:rPr>
            </w:pPr>
            <w:r>
              <w:rPr>
                <w:rFonts w:hint="eastAsia"/>
                <w:kern w:val="2"/>
                <w:szCs w:val="21"/>
                <w:u w:val="single"/>
                <w:lang w:val="en-US" w:eastAsia="zh-CN"/>
              </w:rPr>
              <w:t>盐</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ind w:firstLine="0" w:firstLineChars="0"/>
              <w:rPr>
                <w:kern w:val="2"/>
                <w:szCs w:val="21"/>
                <w:u w:val="single"/>
                <w:lang w:val="en-US" w:eastAsia="zh-CN"/>
              </w:rPr>
            </w:pPr>
            <w:r>
              <w:rPr>
                <w:kern w:val="2"/>
                <w:szCs w:val="21"/>
                <w:u w:val="single"/>
                <w:lang w:val="en-US" w:eastAsia="zh-CN"/>
              </w:rPr>
              <w:t>260</w:t>
            </w:r>
          </w:p>
        </w:tc>
        <w:tc>
          <w:tcPr>
            <w:tcW w:w="2844" w:type="dxa"/>
            <w:vAlign w:val="center"/>
          </w:tcPr>
          <w:p>
            <w:pPr>
              <w:pStyle w:val="26"/>
              <w:rPr>
                <w:kern w:val="2"/>
                <w:szCs w:val="21"/>
                <w:u w:val="single"/>
                <w:lang w:val="en-US" w:eastAsia="zh-CN"/>
              </w:rPr>
            </w:pPr>
            <w:r>
              <w:rPr>
                <w:rFonts w:hint="eastAsia"/>
                <w:kern w:val="2"/>
                <w:szCs w:val="21"/>
                <w:u w:val="single"/>
                <w:lang w:val="en-US" w:eastAsia="zh-CN"/>
              </w:rPr>
              <w:t>促染作用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18" w:type="dxa"/>
            <w:vMerge w:val="continue"/>
            <w:vAlign w:val="center"/>
          </w:tcPr>
          <w:p>
            <w:pPr>
              <w:pStyle w:val="26"/>
              <w:rPr>
                <w:kern w:val="2"/>
                <w:szCs w:val="21"/>
                <w:u w:val="single"/>
                <w:lang w:val="en-US" w:eastAsia="zh-CN"/>
              </w:rPr>
            </w:pPr>
          </w:p>
        </w:tc>
        <w:tc>
          <w:tcPr>
            <w:tcW w:w="982" w:type="dxa"/>
            <w:vMerge w:val="continue"/>
            <w:vAlign w:val="center"/>
          </w:tcPr>
          <w:p>
            <w:pPr>
              <w:pStyle w:val="26"/>
              <w:rPr>
                <w:kern w:val="2"/>
                <w:szCs w:val="21"/>
                <w:u w:val="single"/>
                <w:lang w:val="en-US" w:eastAsia="zh-CN"/>
              </w:rPr>
            </w:pPr>
          </w:p>
        </w:tc>
        <w:tc>
          <w:tcPr>
            <w:tcW w:w="1842" w:type="dxa"/>
            <w:vAlign w:val="center"/>
          </w:tcPr>
          <w:p>
            <w:pPr>
              <w:pStyle w:val="26"/>
              <w:rPr>
                <w:kern w:val="2"/>
                <w:szCs w:val="21"/>
                <w:u w:val="single"/>
                <w:lang w:val="en-US" w:eastAsia="zh-CN"/>
              </w:rPr>
            </w:pPr>
            <w:r>
              <w:rPr>
                <w:rFonts w:hint="eastAsia"/>
                <w:kern w:val="2"/>
                <w:szCs w:val="21"/>
                <w:u w:val="single"/>
                <w:lang w:val="en-US" w:eastAsia="zh-CN"/>
              </w:rPr>
              <w:t>渗透剂</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6.4</w:t>
            </w:r>
          </w:p>
        </w:tc>
        <w:tc>
          <w:tcPr>
            <w:tcW w:w="2844" w:type="dxa"/>
            <w:vAlign w:val="center"/>
          </w:tcPr>
          <w:p>
            <w:pPr>
              <w:pStyle w:val="26"/>
              <w:rPr>
                <w:kern w:val="2"/>
                <w:szCs w:val="21"/>
                <w:u w:val="single"/>
                <w:lang w:val="en-US" w:eastAsia="zh-CN"/>
              </w:rPr>
            </w:pPr>
            <w:r>
              <w:rPr>
                <w:rFonts w:hint="eastAsia"/>
                <w:szCs w:val="21"/>
                <w:u w:val="single"/>
                <w:lang w:val="en-US" w:eastAsia="zh-CN"/>
              </w:rPr>
              <w:t>促进布料快速被水湿润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18" w:type="dxa"/>
            <w:vMerge w:val="continue"/>
            <w:vAlign w:val="center"/>
          </w:tcPr>
          <w:p>
            <w:pPr>
              <w:pStyle w:val="26"/>
              <w:rPr>
                <w:kern w:val="2"/>
                <w:szCs w:val="21"/>
                <w:u w:val="single"/>
                <w:lang w:val="en-US" w:eastAsia="zh-CN"/>
              </w:rPr>
            </w:pPr>
          </w:p>
        </w:tc>
        <w:tc>
          <w:tcPr>
            <w:tcW w:w="982" w:type="dxa"/>
            <w:vMerge w:val="continue"/>
            <w:vAlign w:val="center"/>
          </w:tcPr>
          <w:p>
            <w:pPr>
              <w:pStyle w:val="26"/>
              <w:rPr>
                <w:kern w:val="2"/>
                <w:szCs w:val="21"/>
                <w:u w:val="single"/>
                <w:lang w:val="en-US" w:eastAsia="zh-CN"/>
              </w:rPr>
            </w:pPr>
          </w:p>
        </w:tc>
        <w:tc>
          <w:tcPr>
            <w:tcW w:w="1842" w:type="dxa"/>
            <w:vAlign w:val="center"/>
          </w:tcPr>
          <w:p>
            <w:pPr>
              <w:pStyle w:val="26"/>
              <w:rPr>
                <w:kern w:val="2"/>
                <w:szCs w:val="21"/>
                <w:u w:val="single"/>
                <w:lang w:val="en-US" w:eastAsia="zh-CN"/>
              </w:rPr>
            </w:pPr>
            <w:r>
              <w:rPr>
                <w:rFonts w:hint="eastAsia"/>
                <w:kern w:val="2"/>
                <w:szCs w:val="21"/>
                <w:u w:val="single"/>
                <w:lang w:val="en-US" w:eastAsia="zh-CN"/>
              </w:rPr>
              <w:t>皂洗剂</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rPr>
                <w:kern w:val="2"/>
                <w:szCs w:val="21"/>
                <w:u w:val="single"/>
                <w:lang w:val="en-US" w:eastAsia="zh-CN"/>
              </w:rPr>
            </w:pPr>
            <w:r>
              <w:rPr>
                <w:rFonts w:hint="eastAsia"/>
                <w:kern w:val="2"/>
                <w:szCs w:val="21"/>
                <w:u w:val="single"/>
                <w:lang w:val="en-US" w:eastAsia="zh-CN"/>
              </w:rPr>
              <w:t>6.4</w:t>
            </w:r>
          </w:p>
        </w:tc>
        <w:tc>
          <w:tcPr>
            <w:tcW w:w="2844" w:type="dxa"/>
            <w:vAlign w:val="center"/>
          </w:tcPr>
          <w:p>
            <w:pPr>
              <w:pStyle w:val="26"/>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18" w:type="dxa"/>
            <w:vAlign w:val="center"/>
          </w:tcPr>
          <w:p>
            <w:pPr>
              <w:pStyle w:val="26"/>
              <w:rPr>
                <w:kern w:val="2"/>
                <w:szCs w:val="21"/>
                <w:u w:val="single"/>
                <w:lang w:val="en-US" w:eastAsia="zh-CN"/>
              </w:rPr>
            </w:pPr>
            <w:r>
              <w:rPr>
                <w:kern w:val="2"/>
                <w:szCs w:val="21"/>
                <w:u w:val="single"/>
                <w:lang w:val="en-US" w:eastAsia="zh-CN"/>
              </w:rPr>
              <w:t>3</w:t>
            </w:r>
          </w:p>
        </w:tc>
        <w:tc>
          <w:tcPr>
            <w:tcW w:w="2824" w:type="dxa"/>
            <w:gridSpan w:val="2"/>
            <w:vAlign w:val="center"/>
          </w:tcPr>
          <w:p>
            <w:pPr>
              <w:pStyle w:val="26"/>
              <w:rPr>
                <w:kern w:val="2"/>
                <w:szCs w:val="21"/>
                <w:u w:val="single"/>
                <w:lang w:val="en-US" w:eastAsia="zh-CN"/>
              </w:rPr>
            </w:pPr>
            <w:r>
              <w:rPr>
                <w:rFonts w:hint="eastAsia"/>
                <w:kern w:val="2"/>
                <w:szCs w:val="21"/>
                <w:u w:val="single"/>
                <w:lang w:val="en-US" w:eastAsia="zh-CN"/>
              </w:rPr>
              <w:t>生物质</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rPr>
                <w:kern w:val="2"/>
                <w:szCs w:val="21"/>
                <w:u w:val="single"/>
                <w:lang w:val="en-US" w:eastAsia="zh-CN"/>
              </w:rPr>
            </w:pPr>
            <w:r>
              <w:rPr>
                <w:kern w:val="2"/>
                <w:szCs w:val="21"/>
                <w:u w:val="single"/>
                <w:lang w:val="en-US" w:eastAsia="zh-CN"/>
              </w:rPr>
              <w:t>2200</w:t>
            </w:r>
          </w:p>
        </w:tc>
        <w:tc>
          <w:tcPr>
            <w:tcW w:w="2844" w:type="dxa"/>
            <w:vAlign w:val="center"/>
          </w:tcPr>
          <w:p>
            <w:pPr>
              <w:pStyle w:val="26"/>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18" w:type="dxa"/>
            <w:vAlign w:val="center"/>
          </w:tcPr>
          <w:p>
            <w:pPr>
              <w:pStyle w:val="26"/>
              <w:rPr>
                <w:kern w:val="2"/>
                <w:szCs w:val="21"/>
                <w:u w:val="single"/>
                <w:lang w:val="en-US" w:eastAsia="zh-CN"/>
              </w:rPr>
            </w:pPr>
            <w:r>
              <w:rPr>
                <w:kern w:val="2"/>
                <w:szCs w:val="21"/>
                <w:u w:val="single"/>
                <w:lang w:val="en-US" w:eastAsia="zh-CN"/>
              </w:rPr>
              <w:t>4</w:t>
            </w:r>
          </w:p>
        </w:tc>
        <w:tc>
          <w:tcPr>
            <w:tcW w:w="2824" w:type="dxa"/>
            <w:gridSpan w:val="2"/>
            <w:vAlign w:val="center"/>
          </w:tcPr>
          <w:p>
            <w:pPr>
              <w:pStyle w:val="26"/>
              <w:rPr>
                <w:kern w:val="2"/>
                <w:szCs w:val="21"/>
                <w:u w:val="single"/>
                <w:lang w:val="en-US" w:eastAsia="zh-CN"/>
              </w:rPr>
            </w:pPr>
            <w:r>
              <w:rPr>
                <w:rFonts w:hint="eastAsia"/>
                <w:kern w:val="2"/>
                <w:szCs w:val="21"/>
                <w:u w:val="single"/>
                <w:lang w:val="en-US" w:eastAsia="zh-CN"/>
              </w:rPr>
              <w:t>导热油（补充量）</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rPr>
                <w:kern w:val="2"/>
                <w:szCs w:val="21"/>
                <w:u w:val="single"/>
                <w:lang w:val="en-US" w:eastAsia="zh-CN"/>
              </w:rPr>
            </w:pPr>
            <w:r>
              <w:rPr>
                <w:kern w:val="2"/>
                <w:szCs w:val="21"/>
                <w:u w:val="single"/>
                <w:lang w:val="en-US" w:eastAsia="zh-CN"/>
              </w:rPr>
              <w:t>4</w:t>
            </w:r>
          </w:p>
        </w:tc>
        <w:tc>
          <w:tcPr>
            <w:tcW w:w="2844" w:type="dxa"/>
            <w:vAlign w:val="center"/>
          </w:tcPr>
          <w:p>
            <w:pPr>
              <w:pStyle w:val="26"/>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18" w:type="dxa"/>
            <w:vAlign w:val="center"/>
          </w:tcPr>
          <w:p>
            <w:pPr>
              <w:pStyle w:val="26"/>
              <w:rPr>
                <w:kern w:val="2"/>
                <w:szCs w:val="21"/>
                <w:u w:val="single"/>
                <w:lang w:val="en-US" w:eastAsia="zh-CN"/>
              </w:rPr>
            </w:pPr>
            <w:r>
              <w:rPr>
                <w:kern w:val="2"/>
                <w:szCs w:val="21"/>
                <w:u w:val="single"/>
                <w:lang w:val="en-US" w:eastAsia="zh-CN"/>
              </w:rPr>
              <w:t>5</w:t>
            </w:r>
          </w:p>
        </w:tc>
        <w:tc>
          <w:tcPr>
            <w:tcW w:w="2824" w:type="dxa"/>
            <w:gridSpan w:val="2"/>
            <w:vAlign w:val="center"/>
          </w:tcPr>
          <w:p>
            <w:pPr>
              <w:pStyle w:val="26"/>
              <w:rPr>
                <w:kern w:val="2"/>
                <w:szCs w:val="21"/>
                <w:u w:val="single"/>
                <w:lang w:val="en-US" w:eastAsia="zh-CN"/>
              </w:rPr>
            </w:pPr>
            <w:r>
              <w:rPr>
                <w:rFonts w:hint="eastAsia"/>
                <w:kern w:val="2"/>
                <w:szCs w:val="21"/>
                <w:u w:val="single"/>
                <w:lang w:val="en-US" w:eastAsia="zh-CN"/>
              </w:rPr>
              <w:t>蒸汽</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万吨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rPr>
                <w:color w:val="auto"/>
                <w:kern w:val="2"/>
                <w:szCs w:val="21"/>
                <w:u w:val="single"/>
                <w:lang w:val="en-US" w:eastAsia="zh-CN"/>
              </w:rPr>
            </w:pPr>
            <w:r>
              <w:rPr>
                <w:rFonts w:hint="eastAsia"/>
                <w:color w:val="auto"/>
                <w:kern w:val="2"/>
                <w:szCs w:val="21"/>
                <w:u w:val="single"/>
                <w:lang w:val="en-US" w:eastAsia="zh-CN"/>
              </w:rPr>
              <w:t>3.12</w:t>
            </w:r>
          </w:p>
        </w:tc>
        <w:tc>
          <w:tcPr>
            <w:tcW w:w="2844" w:type="dxa"/>
            <w:vAlign w:val="center"/>
          </w:tcPr>
          <w:p>
            <w:pPr>
              <w:pStyle w:val="26"/>
              <w:rPr>
                <w:color w:val="0070C0"/>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9810" w:type="dxa"/>
            <w:gridSpan w:val="6"/>
            <w:vAlign w:val="center"/>
          </w:tcPr>
          <w:p>
            <w:pPr>
              <w:pStyle w:val="26"/>
              <w:rPr>
                <w:color w:val="auto"/>
                <w:kern w:val="2"/>
                <w:szCs w:val="21"/>
                <w:u w:val="single"/>
                <w:lang w:val="en-US" w:eastAsia="zh-CN"/>
              </w:rPr>
            </w:pPr>
            <w:r>
              <w:rPr>
                <w:rFonts w:hint="eastAsia"/>
                <w:color w:val="auto"/>
                <w:kern w:val="2"/>
                <w:szCs w:val="21"/>
                <w:u w:val="single"/>
                <w:lang w:val="en-US" w:eastAsia="zh-CN"/>
              </w:rPr>
              <w:t>二、纺纱车间主要原辅材料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18" w:type="dxa"/>
            <w:vAlign w:val="center"/>
          </w:tcPr>
          <w:p>
            <w:pPr>
              <w:pStyle w:val="26"/>
              <w:rPr>
                <w:kern w:val="2"/>
                <w:szCs w:val="21"/>
                <w:u w:val="single"/>
                <w:lang w:val="en-US" w:eastAsia="zh-CN"/>
              </w:rPr>
            </w:pPr>
            <w:r>
              <w:rPr>
                <w:kern w:val="2"/>
                <w:szCs w:val="21"/>
                <w:u w:val="single"/>
                <w:lang w:val="en-US" w:eastAsia="zh-CN"/>
              </w:rPr>
              <w:t>1</w:t>
            </w:r>
          </w:p>
        </w:tc>
        <w:tc>
          <w:tcPr>
            <w:tcW w:w="2824" w:type="dxa"/>
            <w:gridSpan w:val="2"/>
            <w:vAlign w:val="center"/>
          </w:tcPr>
          <w:p>
            <w:pPr>
              <w:pStyle w:val="26"/>
              <w:rPr>
                <w:kern w:val="2"/>
                <w:szCs w:val="21"/>
                <w:u w:val="single"/>
                <w:lang w:val="en-US" w:eastAsia="zh-CN"/>
              </w:rPr>
            </w:pPr>
            <w:r>
              <w:rPr>
                <w:rFonts w:hint="eastAsia"/>
                <w:kern w:val="2"/>
                <w:szCs w:val="21"/>
                <w:u w:val="single"/>
                <w:lang w:val="en-US" w:eastAsia="zh-CN"/>
              </w:rPr>
              <w:t>涤纶短纤</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吨</w:t>
            </w:r>
            <w:r>
              <w:rPr>
                <w:kern w:val="2"/>
                <w:szCs w:val="21"/>
                <w:u w:val="single"/>
                <w:lang w:val="en-US" w:eastAsia="zh-CN"/>
              </w:rPr>
              <w:t>/a</w:t>
            </w:r>
          </w:p>
        </w:tc>
        <w:tc>
          <w:tcPr>
            <w:tcW w:w="2270" w:type="dxa"/>
            <w:vAlign w:val="center"/>
          </w:tcPr>
          <w:p>
            <w:pPr>
              <w:pStyle w:val="26"/>
              <w:rPr>
                <w:color w:val="auto"/>
                <w:kern w:val="2"/>
                <w:szCs w:val="21"/>
                <w:u w:val="single"/>
                <w:lang w:val="en-US" w:eastAsia="zh-CN"/>
              </w:rPr>
            </w:pPr>
            <w:r>
              <w:rPr>
                <w:rFonts w:hint="eastAsia"/>
                <w:color w:val="auto"/>
                <w:kern w:val="2"/>
                <w:szCs w:val="21"/>
                <w:u w:val="single"/>
                <w:lang w:val="en-US" w:eastAsia="zh-CN"/>
              </w:rPr>
              <w:t>303</w:t>
            </w:r>
          </w:p>
        </w:tc>
        <w:tc>
          <w:tcPr>
            <w:tcW w:w="2844" w:type="dxa"/>
            <w:vAlign w:val="center"/>
          </w:tcPr>
          <w:p>
            <w:pPr>
              <w:pStyle w:val="26"/>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9810" w:type="dxa"/>
            <w:gridSpan w:val="6"/>
            <w:vAlign w:val="center"/>
          </w:tcPr>
          <w:p>
            <w:pPr>
              <w:pStyle w:val="26"/>
              <w:rPr>
                <w:color w:val="auto"/>
                <w:kern w:val="2"/>
                <w:szCs w:val="21"/>
                <w:u w:val="single"/>
                <w:lang w:val="en-US" w:eastAsia="zh-CN"/>
              </w:rPr>
            </w:pPr>
            <w:r>
              <w:rPr>
                <w:rFonts w:hint="eastAsia"/>
                <w:color w:val="auto"/>
                <w:kern w:val="2"/>
                <w:szCs w:val="21"/>
                <w:u w:val="single"/>
                <w:lang w:val="en-US" w:eastAsia="zh-CN"/>
              </w:rPr>
              <w:t>三、能耗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18" w:type="dxa"/>
            <w:vAlign w:val="center"/>
          </w:tcPr>
          <w:p>
            <w:pPr>
              <w:pStyle w:val="26"/>
              <w:rPr>
                <w:kern w:val="2"/>
                <w:szCs w:val="21"/>
                <w:u w:val="single"/>
                <w:lang w:val="en-US" w:eastAsia="zh-CN"/>
              </w:rPr>
            </w:pPr>
            <w:r>
              <w:rPr>
                <w:rFonts w:hint="eastAsia"/>
                <w:kern w:val="2"/>
                <w:szCs w:val="21"/>
                <w:u w:val="single"/>
                <w:lang w:val="en-US" w:eastAsia="zh-CN"/>
              </w:rPr>
              <w:t>1</w:t>
            </w:r>
          </w:p>
        </w:tc>
        <w:tc>
          <w:tcPr>
            <w:tcW w:w="2824" w:type="dxa"/>
            <w:gridSpan w:val="2"/>
            <w:vAlign w:val="center"/>
          </w:tcPr>
          <w:p>
            <w:pPr>
              <w:pStyle w:val="26"/>
              <w:rPr>
                <w:kern w:val="2"/>
                <w:szCs w:val="21"/>
                <w:u w:val="single"/>
                <w:lang w:val="en-US" w:eastAsia="zh-CN"/>
              </w:rPr>
            </w:pPr>
            <w:r>
              <w:rPr>
                <w:rFonts w:hint="eastAsia"/>
                <w:kern w:val="2"/>
                <w:szCs w:val="21"/>
                <w:u w:val="single"/>
                <w:lang w:val="en-US" w:eastAsia="zh-CN"/>
              </w:rPr>
              <w:t>电</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万度</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rPr>
                <w:color w:val="auto"/>
                <w:kern w:val="2"/>
                <w:szCs w:val="21"/>
                <w:u w:val="single"/>
                <w:lang w:val="en-US" w:eastAsia="zh-CN"/>
              </w:rPr>
            </w:pPr>
            <w:r>
              <w:rPr>
                <w:color w:val="auto"/>
                <w:kern w:val="2"/>
                <w:szCs w:val="21"/>
                <w:u w:val="single"/>
                <w:lang w:val="en-US" w:eastAsia="zh-CN"/>
              </w:rPr>
              <w:t>10</w:t>
            </w:r>
          </w:p>
        </w:tc>
        <w:tc>
          <w:tcPr>
            <w:tcW w:w="2844" w:type="dxa"/>
            <w:vAlign w:val="center"/>
          </w:tcPr>
          <w:p>
            <w:pPr>
              <w:pStyle w:val="26"/>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18" w:type="dxa"/>
            <w:vAlign w:val="center"/>
          </w:tcPr>
          <w:p>
            <w:pPr>
              <w:pStyle w:val="26"/>
              <w:rPr>
                <w:kern w:val="2"/>
                <w:szCs w:val="21"/>
                <w:u w:val="single"/>
                <w:lang w:val="en-US" w:eastAsia="zh-CN"/>
              </w:rPr>
            </w:pPr>
            <w:r>
              <w:rPr>
                <w:rFonts w:hint="eastAsia"/>
                <w:kern w:val="2"/>
                <w:szCs w:val="21"/>
                <w:u w:val="single"/>
                <w:lang w:val="en-US" w:eastAsia="zh-CN"/>
              </w:rPr>
              <w:t>2</w:t>
            </w:r>
          </w:p>
        </w:tc>
        <w:tc>
          <w:tcPr>
            <w:tcW w:w="2824" w:type="dxa"/>
            <w:gridSpan w:val="2"/>
            <w:vAlign w:val="center"/>
          </w:tcPr>
          <w:p>
            <w:pPr>
              <w:pStyle w:val="26"/>
              <w:rPr>
                <w:kern w:val="2"/>
                <w:szCs w:val="21"/>
                <w:u w:val="single"/>
                <w:lang w:val="en-US" w:eastAsia="zh-CN"/>
              </w:rPr>
            </w:pPr>
            <w:r>
              <w:rPr>
                <w:rFonts w:hint="eastAsia"/>
                <w:kern w:val="2"/>
                <w:szCs w:val="21"/>
                <w:u w:val="single"/>
                <w:lang w:val="en-US" w:eastAsia="zh-CN"/>
              </w:rPr>
              <w:t>水</w:t>
            </w:r>
          </w:p>
        </w:tc>
        <w:tc>
          <w:tcPr>
            <w:tcW w:w="1054" w:type="dxa"/>
            <w:vAlign w:val="center"/>
          </w:tcPr>
          <w:p>
            <w:pPr>
              <w:pStyle w:val="26"/>
              <w:rPr>
                <w:kern w:val="2"/>
                <w:szCs w:val="21"/>
                <w:u w:val="single"/>
                <w:lang w:val="en-US" w:eastAsia="zh-CN"/>
              </w:rPr>
            </w:pPr>
            <w:r>
              <w:rPr>
                <w:rFonts w:hint="eastAsia"/>
                <w:kern w:val="2"/>
                <w:szCs w:val="21"/>
                <w:u w:val="single"/>
                <w:lang w:val="en-US" w:eastAsia="zh-CN"/>
              </w:rPr>
              <w:t>万吨</w:t>
            </w:r>
            <w:r>
              <w:rPr>
                <w:kern w:val="2"/>
                <w:szCs w:val="21"/>
                <w:u w:val="single"/>
                <w:lang w:val="en-US" w:eastAsia="zh-CN"/>
              </w:rPr>
              <w:t>/</w:t>
            </w:r>
            <w:r>
              <w:rPr>
                <w:rFonts w:hint="eastAsia"/>
                <w:kern w:val="2"/>
                <w:szCs w:val="21"/>
                <w:u w:val="single"/>
                <w:lang w:val="en-US" w:eastAsia="zh-CN"/>
              </w:rPr>
              <w:t>年</w:t>
            </w:r>
          </w:p>
        </w:tc>
        <w:tc>
          <w:tcPr>
            <w:tcW w:w="2270" w:type="dxa"/>
            <w:vAlign w:val="center"/>
          </w:tcPr>
          <w:p>
            <w:pPr>
              <w:pStyle w:val="26"/>
              <w:rPr>
                <w:color w:val="auto"/>
                <w:kern w:val="2"/>
                <w:szCs w:val="21"/>
                <w:u w:val="single"/>
                <w:lang w:val="en-US" w:eastAsia="zh-CN"/>
              </w:rPr>
            </w:pPr>
            <w:r>
              <w:rPr>
                <w:rFonts w:hint="eastAsia"/>
                <w:color w:val="auto"/>
                <w:kern w:val="2"/>
                <w:szCs w:val="21"/>
                <w:u w:val="single"/>
                <w:lang w:val="en-US" w:eastAsia="zh-CN"/>
              </w:rPr>
              <w:t>27.72</w:t>
            </w:r>
          </w:p>
        </w:tc>
        <w:tc>
          <w:tcPr>
            <w:tcW w:w="2844" w:type="dxa"/>
            <w:vAlign w:val="center"/>
          </w:tcPr>
          <w:p>
            <w:pPr>
              <w:pStyle w:val="26"/>
              <w:rPr>
                <w:color w:val="0070C0"/>
                <w:kern w:val="2"/>
                <w:szCs w:val="21"/>
                <w:u w:val="single"/>
                <w:lang w:val="en-US" w:eastAsia="zh-CN"/>
              </w:rPr>
            </w:pPr>
          </w:p>
        </w:tc>
      </w:tr>
    </w:tbl>
    <w:p>
      <w:pPr>
        <w:ind w:firstLine="480"/>
        <w:rPr>
          <w:u w:val="single"/>
        </w:rPr>
      </w:pPr>
      <w:r>
        <w:rPr>
          <w:u w:val="single"/>
        </w:rPr>
        <w:t>2</w:t>
      </w:r>
      <w:r>
        <w:rPr>
          <w:rFonts w:hint="eastAsia"/>
          <w:u w:val="single"/>
        </w:rPr>
        <w:t>、主要原辅材料理化性质</w:t>
      </w:r>
    </w:p>
    <w:p>
      <w:pPr>
        <w:ind w:firstLine="480"/>
        <w:rPr>
          <w:u w:val="single"/>
        </w:rPr>
      </w:pPr>
      <w:r>
        <w:rPr>
          <w:rFonts w:hint="eastAsia"/>
          <w:u w:val="single"/>
        </w:rPr>
        <w:t>（</w:t>
      </w:r>
      <w:r>
        <w:rPr>
          <w:u w:val="single"/>
        </w:rPr>
        <w:t>1</w:t>
      </w:r>
      <w:r>
        <w:rPr>
          <w:rFonts w:hint="eastAsia"/>
          <w:u w:val="single"/>
        </w:rPr>
        <w:t>）硫化黑</w:t>
      </w:r>
    </w:p>
    <w:p>
      <w:pPr>
        <w:ind w:firstLine="480"/>
        <w:rPr>
          <w:u w:val="single"/>
        </w:rPr>
      </w:pPr>
      <w:r>
        <w:rPr>
          <w:rFonts w:hint="eastAsia"/>
          <w:u w:val="single"/>
        </w:rPr>
        <w:t>又称硫化元或硫化青，分子式：</w:t>
      </w:r>
      <w:r>
        <w:rPr>
          <w:u w:val="single"/>
        </w:rPr>
        <w:t>C</w:t>
      </w:r>
      <w:r>
        <w:rPr>
          <w:u w:val="single"/>
          <w:vertAlign w:val="subscript"/>
        </w:rPr>
        <w:t>6</w:t>
      </w:r>
      <w:r>
        <w:rPr>
          <w:u w:val="single"/>
        </w:rPr>
        <w:t>H</w:t>
      </w:r>
      <w:r>
        <w:rPr>
          <w:u w:val="single"/>
          <w:vertAlign w:val="subscript"/>
        </w:rPr>
        <w:t>4</w:t>
      </w:r>
      <w:r>
        <w:rPr>
          <w:u w:val="single"/>
        </w:rPr>
        <w:t>N</w:t>
      </w:r>
      <w:r>
        <w:rPr>
          <w:u w:val="single"/>
          <w:vertAlign w:val="subscript"/>
        </w:rPr>
        <w:t>2</w:t>
      </w:r>
      <w:r>
        <w:rPr>
          <w:u w:val="single"/>
        </w:rPr>
        <w:t>O</w:t>
      </w:r>
      <w:r>
        <w:rPr>
          <w:u w:val="single"/>
          <w:vertAlign w:val="subscript"/>
        </w:rPr>
        <w:t>5</w:t>
      </w:r>
      <w:r>
        <w:rPr>
          <w:rFonts w:hint="eastAsia"/>
          <w:u w:val="single"/>
        </w:rPr>
        <w:t>，黑色粉末或细粒，微溶于水，溶于</w:t>
      </w:r>
      <w:r>
        <w:fldChar w:fldCharType="begin"/>
      </w:r>
      <w:r>
        <w:instrText xml:space="preserve"> HYPERLINK "https://baike.baidu.com/item/%E7%A1%AB%E5%8C%96%E9%92%A0" \t "https://baike.baidu.com/item/%E7%A1%AB%E5%8C%96%E9%BB%91%E5%88%86%E5%AD%90%E5%BC%8F/_blank" </w:instrText>
      </w:r>
      <w:r>
        <w:fldChar w:fldCharType="separate"/>
      </w:r>
      <w:r>
        <w:rPr>
          <w:rFonts w:hint="eastAsia"/>
          <w:u w:val="single"/>
        </w:rPr>
        <w:t>硫化钠</w:t>
      </w:r>
      <w:r>
        <w:rPr>
          <w:rFonts w:hint="eastAsia"/>
          <w:u w:val="single"/>
        </w:rPr>
        <w:fldChar w:fldCharType="end"/>
      </w:r>
      <w:r>
        <w:rPr>
          <w:rFonts w:hint="eastAsia"/>
          <w:u w:val="single"/>
        </w:rPr>
        <w:t>溶液成黑绿色隐色体，溶于热浓硫酸呈绿蓝色，稀释后生成黑色沉淀。主要用于染棉和</w:t>
      </w:r>
      <w:r>
        <w:fldChar w:fldCharType="begin"/>
      </w:r>
      <w:r>
        <w:instrText xml:space="preserve"> HYPERLINK "https://baike.baidu.com/item/%E9%BA%BB%E7%BA%A4%E7%BB%B4" \t "https://baike.baidu.com/item/%E7%A1%AB%E5%8C%96%E9%BB%91%E5%88%86%E5%AD%90%E5%BC%8F/_blank" </w:instrText>
      </w:r>
      <w:r>
        <w:fldChar w:fldCharType="separate"/>
      </w:r>
      <w:r>
        <w:rPr>
          <w:rFonts w:hint="eastAsia"/>
          <w:u w:val="single"/>
        </w:rPr>
        <w:t>麻纤维</w:t>
      </w:r>
      <w:r>
        <w:rPr>
          <w:rFonts w:hint="eastAsia"/>
          <w:u w:val="single"/>
        </w:rPr>
        <w:fldChar w:fldCharType="end"/>
      </w:r>
      <w:r>
        <w:rPr>
          <w:rFonts w:hint="eastAsia"/>
          <w:u w:val="single"/>
        </w:rPr>
        <w:t>。硫化黑染料是含硫较多的高分子化合物，它的结构中含有二硫键及多硫键。</w:t>
      </w:r>
    </w:p>
    <w:p>
      <w:pPr>
        <w:ind w:firstLine="480"/>
        <w:rPr>
          <w:u w:val="single"/>
        </w:rPr>
      </w:pPr>
      <w:r>
        <w:rPr>
          <w:rFonts w:hint="eastAsia"/>
          <w:u w:val="single"/>
        </w:rPr>
        <w:t>（</w:t>
      </w:r>
      <w:r>
        <w:rPr>
          <w:u w:val="single"/>
        </w:rPr>
        <w:t>2</w:t>
      </w:r>
      <w:r>
        <w:rPr>
          <w:rFonts w:hint="eastAsia"/>
          <w:u w:val="single"/>
        </w:rPr>
        <w:t>）硫化碱</w:t>
      </w:r>
    </w:p>
    <w:p>
      <w:pPr>
        <w:ind w:firstLine="480"/>
        <w:rPr>
          <w:u w:val="single"/>
        </w:rPr>
      </w:pPr>
      <w:r>
        <w:rPr>
          <w:rFonts w:hint="eastAsia"/>
          <w:u w:val="single"/>
        </w:rPr>
        <w:t>硫化黑染料是不容于水的染料，本身对棉不具备染色能力。但其在硫化碱的水溶液中染料还原成隐色体对棉有良好的染色性能。因此，硫化染料染色是要在硫化碱溶液中进行。硫化碱是溶解硫化染料的溶剂，起到还原溶解硫化黑的作用。</w:t>
      </w:r>
    </w:p>
    <w:p>
      <w:pPr>
        <w:ind w:firstLine="480"/>
        <w:rPr>
          <w:u w:val="single"/>
        </w:rPr>
      </w:pPr>
      <w:r>
        <w:rPr>
          <w:rFonts w:hint="eastAsia"/>
          <w:u w:val="single"/>
        </w:rPr>
        <w:t>又名为硫化钠。分子式为</w:t>
      </w:r>
      <w:r>
        <w:rPr>
          <w:u w:val="single"/>
        </w:rPr>
        <w:t>Na2S(</w:t>
      </w:r>
      <w:r>
        <w:rPr>
          <w:rFonts w:hint="eastAsia"/>
          <w:u w:val="single"/>
        </w:rPr>
        <w:t>·</w:t>
      </w:r>
      <w:r>
        <w:rPr>
          <w:u w:val="single"/>
        </w:rPr>
        <w:t>9H2O)</w:t>
      </w:r>
      <w:r>
        <w:rPr>
          <w:rFonts w:hint="eastAsia"/>
          <w:u w:val="single"/>
        </w:rPr>
        <w:t>，溶解性：易溶于水、强碱。浅黄色片状物。有</w:t>
      </w:r>
      <w:r>
        <w:fldChar w:fldCharType="begin"/>
      </w:r>
      <w:r>
        <w:instrText xml:space="preserve"> HYPERLINK "https://baike.baidu.com/item/%E7%A1%AB%E5%8C%96%E6%B0%A2" \t "https://baike.baidu.com/item/%E5%B7%A5%E4%B8%9A%E7%A1%AB%E5%8C%96%E9%92%A0/_blank" </w:instrText>
      </w:r>
      <w:r>
        <w:fldChar w:fldCharType="separate"/>
      </w:r>
      <w:r>
        <w:rPr>
          <w:rFonts w:hint="eastAsia"/>
          <w:u w:val="single"/>
        </w:rPr>
        <w:t>硫化氢</w:t>
      </w:r>
      <w:r>
        <w:rPr>
          <w:rFonts w:hint="eastAsia"/>
          <w:u w:val="single"/>
        </w:rPr>
        <w:fldChar w:fldCharType="end"/>
      </w:r>
      <w:r>
        <w:rPr>
          <w:rFonts w:hint="eastAsia"/>
          <w:u w:val="single"/>
        </w:rPr>
        <w:t>气味。有吸湿性。见光和在空气中变成黄到棕黑色，并逐渐产生硫化氢。遇酸甚至</w:t>
      </w:r>
      <w:r>
        <w:fldChar w:fldCharType="begin"/>
      </w:r>
      <w:r>
        <w:instrText xml:space="preserve"> HYPERLINK "https://baike.baidu.com/item/%E7%A2%B3%E9%85%B8" \t "https://baike.baidu.com/item/%E5%B7%A5%E4%B8%9A%E7%A1%AB%E5%8C%96%E9%92%A0/_blank" </w:instrText>
      </w:r>
      <w:r>
        <w:fldChar w:fldCharType="separate"/>
      </w:r>
      <w:r>
        <w:rPr>
          <w:rFonts w:hint="eastAsia"/>
          <w:u w:val="single"/>
        </w:rPr>
        <w:t>碳酸</w:t>
      </w:r>
      <w:r>
        <w:rPr>
          <w:rFonts w:hint="eastAsia"/>
          <w:u w:val="single"/>
        </w:rPr>
        <w:fldChar w:fldCharType="end"/>
      </w:r>
      <w:r>
        <w:rPr>
          <w:rFonts w:hint="eastAsia"/>
          <w:u w:val="single"/>
        </w:rPr>
        <w:t>也能分解。易溶于水，微溶于乙醇，不溶于</w:t>
      </w:r>
      <w:r>
        <w:fldChar w:fldCharType="begin"/>
      </w:r>
      <w:r>
        <w:instrText xml:space="preserve"> HYPERLINK "https://baike.baidu.com/item/%E4%B9%99%E9%86%9A" \t "https://baike.baidu.com/item/%E5%B7%A5%E4%B8%9A%E7%A1%AB%E5%8C%96%E9%92%A0/_blank" </w:instrText>
      </w:r>
      <w:r>
        <w:fldChar w:fldCharType="separate"/>
      </w:r>
      <w:r>
        <w:rPr>
          <w:rFonts w:hint="eastAsia"/>
          <w:u w:val="single"/>
        </w:rPr>
        <w:t>乙醚</w:t>
      </w:r>
      <w:r>
        <w:rPr>
          <w:rFonts w:hint="eastAsia"/>
          <w:u w:val="single"/>
        </w:rPr>
        <w:fldChar w:fldCharType="end"/>
      </w:r>
      <w:r>
        <w:rPr>
          <w:rFonts w:hint="eastAsia"/>
          <w:u w:val="single"/>
        </w:rPr>
        <w:t>。水溶液呈碱性，溶液露置在空气中逐渐成为</w:t>
      </w:r>
      <w:r>
        <w:fldChar w:fldCharType="begin"/>
      </w:r>
      <w:r>
        <w:instrText xml:space="preserve"> HYPERLINK "https://baike.baidu.com/item/%E7%A1%AB%E4%BB%A3%E7%A1%AB%E9%85%B8%E9%92%A0" \t "https://baike.baidu.com/item/%E5%B7%A5%E4%B8%9A%E7%A1%AB%E5%8C%96%E9%92%A0/_blank" </w:instrText>
      </w:r>
      <w:r>
        <w:fldChar w:fldCharType="separate"/>
      </w:r>
      <w:r>
        <w:rPr>
          <w:rFonts w:hint="eastAsia"/>
          <w:u w:val="single"/>
        </w:rPr>
        <w:t>硫代硫酸钠</w:t>
      </w:r>
      <w:r>
        <w:rPr>
          <w:rFonts w:hint="eastAsia"/>
          <w:u w:val="single"/>
        </w:rPr>
        <w:fldChar w:fldCharType="end"/>
      </w:r>
      <w:r>
        <w:rPr>
          <w:rFonts w:hint="eastAsia"/>
          <w:u w:val="single"/>
        </w:rPr>
        <w:t>和氢氧化钠。相对密度</w:t>
      </w:r>
      <w:r>
        <w:rPr>
          <w:u w:val="single"/>
        </w:rPr>
        <w:t>(d164</w:t>
      </w:r>
      <w:r>
        <w:rPr>
          <w:rFonts w:hint="eastAsia"/>
          <w:u w:val="single"/>
        </w:rPr>
        <w:t>）</w:t>
      </w:r>
      <w:r>
        <w:rPr>
          <w:u w:val="single"/>
        </w:rPr>
        <w:t>1.427</w:t>
      </w:r>
      <w:r>
        <w:rPr>
          <w:rFonts w:hint="eastAsia"/>
          <w:u w:val="single"/>
        </w:rPr>
        <w:t>。熔点</w:t>
      </w:r>
      <w:r>
        <w:rPr>
          <w:u w:val="single"/>
        </w:rPr>
        <w:t>950</w:t>
      </w:r>
      <w:r>
        <w:rPr>
          <w:rFonts w:hint="eastAsia"/>
          <w:u w:val="single"/>
        </w:rPr>
        <w:t>°</w:t>
      </w:r>
      <w:r>
        <w:rPr>
          <w:u w:val="single"/>
        </w:rPr>
        <w:t xml:space="preserve">C </w:t>
      </w:r>
      <w:r>
        <w:rPr>
          <w:rFonts w:hint="eastAsia"/>
          <w:u w:val="single"/>
        </w:rPr>
        <w:t>。易燃。有腐蚀性。</w:t>
      </w:r>
    </w:p>
    <w:p>
      <w:pPr>
        <w:ind w:firstLine="480"/>
        <w:rPr>
          <w:u w:val="single"/>
        </w:rPr>
      </w:pPr>
      <w:r>
        <w:rPr>
          <w:rFonts w:hint="eastAsia"/>
          <w:u w:val="single"/>
        </w:rPr>
        <w:t>纯硫化钠为无色结晶粉末。吸潮性强，易溶于水。水溶液呈</w:t>
      </w:r>
      <w:r>
        <w:fldChar w:fldCharType="begin"/>
      </w:r>
      <w:r>
        <w:instrText xml:space="preserve"> HYPERLINK "https://baike.baidu.com/item/%E5%BC%BA%E7%A2%B1" \t "https://baike.baidu.com/item/%E5%B7%A5%E4%B8%9A%E7%A1%AB%E5%8C%96%E9%92%A0/_blank" </w:instrText>
      </w:r>
      <w:r>
        <w:fldChar w:fldCharType="separate"/>
      </w:r>
      <w:r>
        <w:rPr>
          <w:rFonts w:hint="eastAsia"/>
          <w:u w:val="single"/>
        </w:rPr>
        <w:t>强碱</w:t>
      </w:r>
      <w:r>
        <w:rPr>
          <w:rFonts w:hint="eastAsia"/>
          <w:u w:val="single"/>
        </w:rPr>
        <w:fldChar w:fldCharType="end"/>
      </w:r>
      <w:r>
        <w:rPr>
          <w:rFonts w:hint="eastAsia"/>
          <w:u w:val="single"/>
        </w:rPr>
        <w:t>性反应。触及皮肤和毛发时会造成灼伤。故硫化钠俗称硫化碱。硫化钠水溶液在空气中会缓慢地氧化成硫代</w:t>
      </w:r>
      <w:r>
        <w:fldChar w:fldCharType="begin"/>
      </w:r>
      <w:r>
        <w:instrText xml:space="preserve"> HYPERLINK "https://baike.baidu.com/item/%E7%A1%AB%E9%85%B8%E9%92%A0" \t "https://baike.baidu.com/item/%E5%B7%A5%E4%B8%9A%E7%A1%AB%E5%8C%96%E9%92%A0/_blank" </w:instrText>
      </w:r>
      <w:r>
        <w:fldChar w:fldCharType="separate"/>
      </w:r>
      <w:r>
        <w:rPr>
          <w:rFonts w:hint="eastAsia"/>
          <w:u w:val="single"/>
        </w:rPr>
        <w:t>硫酸钠</w:t>
      </w:r>
      <w:r>
        <w:rPr>
          <w:rFonts w:hint="eastAsia"/>
          <w:u w:val="single"/>
        </w:rPr>
        <w:fldChar w:fldCharType="end"/>
      </w:r>
      <w:r>
        <w:rPr>
          <w:rFonts w:hint="eastAsia"/>
          <w:u w:val="single"/>
        </w:rPr>
        <w:t>、亚硫酸钠、硫酸钠和</w:t>
      </w:r>
      <w:r>
        <w:fldChar w:fldCharType="begin"/>
      </w:r>
      <w:r>
        <w:instrText xml:space="preserve"> HYPERLINK "https://baike.baidu.com/item/%E5%A4%9A%E7%A1%AB%E5%8C%96%E9%92%A0" \t "https://baike.baidu.com/item/%E5%B7%A5%E4%B8%9A%E7%A1%AB%E5%8C%96%E9%92%A0/_blank" </w:instrText>
      </w:r>
      <w:r>
        <w:fldChar w:fldCharType="separate"/>
      </w:r>
      <w:r>
        <w:rPr>
          <w:rFonts w:hint="eastAsia"/>
          <w:u w:val="single"/>
        </w:rPr>
        <w:t>多硫化钠</w:t>
      </w:r>
      <w:r>
        <w:rPr>
          <w:rFonts w:hint="eastAsia"/>
          <w:u w:val="single"/>
        </w:rPr>
        <w:fldChar w:fldCharType="end"/>
      </w:r>
      <w:r>
        <w:rPr>
          <w:rFonts w:hint="eastAsia"/>
          <w:u w:val="single"/>
        </w:rPr>
        <w:t>。由于硫代硫酸钠的生成速度较快，所以氧化的主要产物是硫代硫酸钠。硫化钠在空气中潮解，并碳酸化而变质，不断释出</w:t>
      </w:r>
      <w:r>
        <w:fldChar w:fldCharType="begin"/>
      </w:r>
      <w:r>
        <w:instrText xml:space="preserve"> HYPERLINK "https://baike.baidu.com/item/%E7%A1%AB%E5%8C%96%E6%B0%A2" \t "https://baike.baidu.com/item/%E5%B7%A5%E4%B8%9A%E7%A1%AB%E5%8C%96%E9%92%A0/_blank" </w:instrText>
      </w:r>
      <w:r>
        <w:fldChar w:fldCharType="separate"/>
      </w:r>
      <w:r>
        <w:rPr>
          <w:rFonts w:hint="eastAsia"/>
          <w:u w:val="single"/>
        </w:rPr>
        <w:t>硫化氢</w:t>
      </w:r>
      <w:r>
        <w:rPr>
          <w:rFonts w:hint="eastAsia"/>
          <w:u w:val="single"/>
        </w:rPr>
        <w:fldChar w:fldCharType="end"/>
      </w:r>
      <w:r>
        <w:rPr>
          <w:rFonts w:hint="eastAsia"/>
          <w:u w:val="single"/>
        </w:rPr>
        <w:t>气体。</w:t>
      </w:r>
    </w:p>
    <w:p>
      <w:pPr>
        <w:ind w:firstLine="480"/>
        <w:rPr>
          <w:u w:val="single"/>
        </w:rPr>
      </w:pPr>
      <w:r>
        <w:rPr>
          <w:rFonts w:hint="eastAsia"/>
          <w:u w:val="single"/>
        </w:rPr>
        <w:t>危险特性：对皮肤和眼睛有腐蚀作用，易燃，具强</w:t>
      </w:r>
      <w:r>
        <w:fldChar w:fldCharType="begin"/>
      </w:r>
      <w:r>
        <w:instrText xml:space="preserve"> HYPERLINK "https://baike.baidu.com/item/%E8%85%90%E8%9A%80%E6%80%A7" \t "https://baike.baidu.com/item/%E5%B7%A5%E4%B8%9A%E7%A1%AB%E5%8C%96%E9%92%A0/_blank" </w:instrText>
      </w:r>
      <w:r>
        <w:fldChar w:fldCharType="separate"/>
      </w:r>
      <w:r>
        <w:rPr>
          <w:rFonts w:hint="eastAsia"/>
          <w:u w:val="single"/>
        </w:rPr>
        <w:t>腐蚀性</w:t>
      </w:r>
      <w:r>
        <w:rPr>
          <w:rFonts w:hint="eastAsia"/>
          <w:u w:val="single"/>
        </w:rPr>
        <w:fldChar w:fldCharType="end"/>
      </w:r>
      <w:r>
        <w:rPr>
          <w:rFonts w:hint="eastAsia"/>
          <w:u w:val="single"/>
        </w:rPr>
        <w:t>、刺激性，可致人体灼伤。结晶硫化钠为强碱性腐蚀品。无水硫化钠为自燃物品。结晶硫化钠与酸类发生反应，散发出有毒和易燃的硫化氢气体。对大多数金属有轻微腐蚀性。燃烧时释放出二氧化硫气体，硫化钠粉末能与空气形成</w:t>
      </w:r>
      <w:r>
        <w:fldChar w:fldCharType="begin"/>
      </w:r>
      <w:r>
        <w:instrText xml:space="preserve"> HYPERLINK "https://baike.baidu.com/item/%E7%88%86%E7%82%B8%E6%80%A7%E6%B7%B7%E5%90%88%E7%89%A9" \t "https://baike.baidu.com/item/%E5%B7%A5%E4%B8%9A%E7%A1%AB%E5%8C%96%E9%92%A0/_blank" </w:instrText>
      </w:r>
      <w:r>
        <w:fldChar w:fldCharType="separate"/>
      </w:r>
      <w:r>
        <w:rPr>
          <w:rFonts w:hint="eastAsia"/>
          <w:u w:val="single"/>
        </w:rPr>
        <w:t>爆炸性混合物</w:t>
      </w:r>
      <w:r>
        <w:rPr>
          <w:rFonts w:hint="eastAsia"/>
          <w:u w:val="single"/>
        </w:rPr>
        <w:fldChar w:fldCharType="end"/>
      </w:r>
      <w:r>
        <w:rPr>
          <w:rFonts w:hint="eastAsia"/>
          <w:u w:val="single"/>
        </w:rPr>
        <w:t>。硫化碱极易溶于水，水溶液呈强碱性，与皮肤和黏膜接触时有极强的刺激性和腐蚀性。九水硫化钠能吸收空气中的二氧化碳而产生硫化氢，接触酸类会剧烈反应并释放出大量硫化氢气体，吸入会严重中毒。消防方法：用水灭火。急救：眼睛受刺激时用大量清水冲洗，并就医诊治；皮肤接触用大量清水冲洗；误服时立即漱口，就医诊治。</w:t>
      </w:r>
    </w:p>
    <w:p>
      <w:pPr>
        <w:ind w:firstLine="480"/>
        <w:rPr>
          <w:u w:val="single"/>
        </w:rPr>
      </w:pPr>
      <w:r>
        <w:rPr>
          <w:rFonts w:hint="eastAsia"/>
          <w:u w:val="single"/>
        </w:rPr>
        <w:t>（</w:t>
      </w:r>
      <w:r>
        <w:rPr>
          <w:u w:val="single"/>
        </w:rPr>
        <w:t>3</w:t>
      </w:r>
      <w:r>
        <w:rPr>
          <w:rFonts w:hint="eastAsia"/>
          <w:u w:val="single"/>
        </w:rPr>
        <w:t>）渗透剂</w:t>
      </w:r>
    </w:p>
    <w:p>
      <w:pPr>
        <w:ind w:firstLine="480"/>
        <w:rPr>
          <w:u w:val="single"/>
        </w:rPr>
      </w:pPr>
      <w:r>
        <w:rPr>
          <w:rFonts w:hint="eastAsia"/>
          <w:u w:val="single"/>
        </w:rPr>
        <w:t>促进纤维快速被水湿润，并向纤维内部渗透的试剂，主要有非离子型渗透剂、阴离子型渗透剂，阴离子型渗透剂一般为磺酸盐类，非离子型一般为烷基醇类或烷基酚聚氧乙烯醚类。</w:t>
      </w:r>
    </w:p>
    <w:p>
      <w:pPr>
        <w:ind w:firstLine="480"/>
        <w:rPr>
          <w:u w:val="single"/>
        </w:rPr>
      </w:pPr>
      <w:r>
        <w:rPr>
          <w:rFonts w:hint="eastAsia"/>
          <w:u w:val="single"/>
        </w:rPr>
        <w:t>（</w:t>
      </w:r>
      <w:r>
        <w:rPr>
          <w:u w:val="single"/>
        </w:rPr>
        <w:t>4</w:t>
      </w:r>
      <w:r>
        <w:rPr>
          <w:rFonts w:hint="eastAsia"/>
          <w:u w:val="single"/>
        </w:rPr>
        <w:t>）冰醋酸</w:t>
      </w:r>
    </w:p>
    <w:p>
      <w:pPr>
        <w:ind w:firstLine="480"/>
        <w:rPr>
          <w:u w:val="single"/>
        </w:rPr>
      </w:pPr>
      <w:r>
        <w:rPr>
          <w:rFonts w:hint="eastAsia"/>
          <w:u w:val="single"/>
        </w:rPr>
        <w:t>乙酸，也叫醋酸（</w:t>
      </w:r>
      <w:r>
        <w:rPr>
          <w:u w:val="single"/>
        </w:rPr>
        <w:t>36%--38%</w:t>
      </w:r>
      <w:r>
        <w:rPr>
          <w:rFonts w:hint="eastAsia"/>
          <w:u w:val="single"/>
        </w:rPr>
        <w:t>）、冰醋酸（</w:t>
      </w:r>
      <w:r>
        <w:rPr>
          <w:u w:val="single"/>
        </w:rPr>
        <w:t>98%</w:t>
      </w:r>
      <w:r>
        <w:rPr>
          <w:rFonts w:hint="eastAsia"/>
          <w:u w:val="single"/>
        </w:rPr>
        <w:t>），化学式</w:t>
      </w:r>
      <w:r>
        <w:rPr>
          <w:u w:val="single"/>
        </w:rPr>
        <w:t>CH</w:t>
      </w:r>
      <w:r>
        <w:rPr>
          <w:u w:val="single"/>
          <w:vertAlign w:val="subscript"/>
        </w:rPr>
        <w:t>3</w:t>
      </w:r>
      <w:r>
        <w:rPr>
          <w:u w:val="single"/>
        </w:rPr>
        <w:t>COOH</w:t>
      </w:r>
      <w:r>
        <w:rPr>
          <w:rFonts w:hint="eastAsia"/>
          <w:u w:val="single"/>
        </w:rPr>
        <w:t>，是一种</w:t>
      </w:r>
      <w:r>
        <w:fldChar w:fldCharType="begin"/>
      </w:r>
      <w:r>
        <w:instrText xml:space="preserve"> HYPERLINK "https://baike.baidu.com/item/%E6%9C%89%E6%9C%BA" \t "https://baike.baidu.com/item/%E4%B9%99%E9%85%B8/_blank" </w:instrText>
      </w:r>
      <w:r>
        <w:fldChar w:fldCharType="separate"/>
      </w:r>
      <w:r>
        <w:rPr>
          <w:rFonts w:hint="eastAsia"/>
          <w:u w:val="single"/>
        </w:rPr>
        <w:t>有机</w:t>
      </w:r>
      <w:r>
        <w:rPr>
          <w:rFonts w:hint="eastAsia"/>
          <w:u w:val="single"/>
        </w:rPr>
        <w:fldChar w:fldCharType="end"/>
      </w:r>
      <w:r>
        <w:fldChar w:fldCharType="begin"/>
      </w:r>
      <w:r>
        <w:instrText xml:space="preserve"> HYPERLINK "https://baike.baidu.com/item/%E4%B8%80%E5%85%83%E9%85%B8" \t "https://baike.baidu.com/item/%E4%B9%99%E9%85%B8/_blank" </w:instrText>
      </w:r>
      <w:r>
        <w:fldChar w:fldCharType="separate"/>
      </w:r>
      <w:r>
        <w:rPr>
          <w:rFonts w:hint="eastAsia"/>
          <w:u w:val="single"/>
        </w:rPr>
        <w:t>一元酸</w:t>
      </w:r>
      <w:r>
        <w:rPr>
          <w:rFonts w:hint="eastAsia"/>
          <w:u w:val="single"/>
        </w:rPr>
        <w:fldChar w:fldCharType="end"/>
      </w:r>
      <w:r>
        <w:rPr>
          <w:rFonts w:hint="eastAsia"/>
          <w:u w:val="single"/>
        </w:rPr>
        <w:t>。纯的无水乙酸（冰醋酸）是无色的吸湿性固体，沸点为</w:t>
      </w:r>
      <w:r>
        <w:rPr>
          <w:u w:val="single"/>
        </w:rPr>
        <w:t>117.9</w:t>
      </w:r>
      <w:r>
        <w:rPr>
          <w:rFonts w:hint="eastAsia"/>
          <w:u w:val="single"/>
        </w:rPr>
        <w:t>℃，凝固点为</w:t>
      </w:r>
      <w:r>
        <w:rPr>
          <w:u w:val="single"/>
        </w:rPr>
        <w:t>16.6</w:t>
      </w:r>
      <w:r>
        <w:rPr>
          <w:rFonts w:hint="eastAsia"/>
          <w:u w:val="single"/>
        </w:rPr>
        <w:t>℃（</w:t>
      </w:r>
      <w:r>
        <w:rPr>
          <w:u w:val="single"/>
        </w:rPr>
        <w:t>62</w:t>
      </w:r>
      <w:r>
        <w:fldChar w:fldCharType="begin"/>
      </w:r>
      <w:r>
        <w:instrText xml:space="preserve"> HYPERLINK "https://baike.baidu.com/item/%E2%84%89" \t "https://baike.baidu.com/item/%E4%B9%99%E9%85%B8/_blank" </w:instrText>
      </w:r>
      <w:r>
        <w:fldChar w:fldCharType="separate"/>
      </w:r>
      <w:r>
        <w:rPr>
          <w:rFonts w:hint="eastAsia"/>
          <w:u w:val="single"/>
        </w:rPr>
        <w:t>℉</w:t>
      </w:r>
      <w:r>
        <w:rPr>
          <w:rFonts w:hint="eastAsia"/>
          <w:u w:val="single"/>
        </w:rPr>
        <w:fldChar w:fldCharType="end"/>
      </w:r>
      <w:r>
        <w:rPr>
          <w:rFonts w:hint="eastAsia"/>
          <w:u w:val="single"/>
        </w:rPr>
        <w:t>），凝固后为无色晶体，相对密度为</w:t>
      </w:r>
      <w:r>
        <w:rPr>
          <w:u w:val="single"/>
        </w:rPr>
        <w:t>1.050</w:t>
      </w:r>
      <w:r>
        <w:rPr>
          <w:rFonts w:hint="eastAsia"/>
          <w:u w:val="single"/>
        </w:rPr>
        <w:t>，易溶于水、乙醇、乙醚、四氯化碳及甘油等有机溶剂，其水溶液中呈弱酸性且蚀性强，蒸汽对眼和</w:t>
      </w:r>
      <w:r>
        <w:fldChar w:fldCharType="begin"/>
      </w:r>
      <w:r>
        <w:instrText xml:space="preserve"> HYPERLINK "https://baike.baidu.com/item/%E9%BC%BB" \t "https://baike.baidu.com/item/%E4%B9%99%E9%85%B8/_blank" </w:instrText>
      </w:r>
      <w:r>
        <w:fldChar w:fldCharType="separate"/>
      </w:r>
      <w:r>
        <w:rPr>
          <w:rFonts w:hint="eastAsia"/>
          <w:u w:val="single"/>
        </w:rPr>
        <w:t>鼻</w:t>
      </w:r>
      <w:r>
        <w:rPr>
          <w:rFonts w:hint="eastAsia"/>
          <w:u w:val="single"/>
        </w:rPr>
        <w:fldChar w:fldCharType="end"/>
      </w:r>
      <w:r>
        <w:rPr>
          <w:rFonts w:hint="eastAsia"/>
          <w:u w:val="single"/>
        </w:rPr>
        <w:t>有刺激性作用。乙酸的羧基</w:t>
      </w:r>
      <w:r>
        <w:fldChar w:fldCharType="begin"/>
      </w:r>
      <w:r>
        <w:instrText xml:space="preserve"> HYPERLINK "https://baike.baidu.com/item/%E6%B0%A2" \t "https://baike.baidu.com/item/%E4%B9%99%E9%85%B8/_blank" </w:instrText>
      </w:r>
      <w:r>
        <w:fldChar w:fldCharType="separate"/>
      </w:r>
      <w:r>
        <w:rPr>
          <w:rFonts w:hint="eastAsia"/>
          <w:u w:val="single"/>
        </w:rPr>
        <w:t>氢</w:t>
      </w:r>
      <w:r>
        <w:rPr>
          <w:rFonts w:hint="eastAsia"/>
          <w:u w:val="single"/>
        </w:rPr>
        <w:fldChar w:fldCharType="end"/>
      </w:r>
      <w:r>
        <w:fldChar w:fldCharType="begin"/>
      </w:r>
      <w:r>
        <w:instrText xml:space="preserve"> HYPERLINK "https://baike.baidu.com/item/%E5%8E%9F%E5%AD%90" \t "https://baike.baidu.com/item/%E4%B9%99%E9%85%B8/_blank" </w:instrText>
      </w:r>
      <w:r>
        <w:fldChar w:fldCharType="separate"/>
      </w:r>
      <w:r>
        <w:rPr>
          <w:rFonts w:hint="eastAsia"/>
          <w:u w:val="single"/>
        </w:rPr>
        <w:t>原子</w:t>
      </w:r>
      <w:r>
        <w:rPr>
          <w:rFonts w:hint="eastAsia"/>
          <w:u w:val="single"/>
        </w:rPr>
        <w:fldChar w:fldCharType="end"/>
      </w:r>
      <w:r>
        <w:rPr>
          <w:rFonts w:hint="eastAsia"/>
          <w:u w:val="single"/>
        </w:rPr>
        <w:t>能够部分电离变为氢</w:t>
      </w:r>
      <w:r>
        <w:fldChar w:fldCharType="begin"/>
      </w:r>
      <w:r>
        <w:instrText xml:space="preserve"> HYPERLINK "https://baike.baidu.com/item/%E7%A6%BB%E5%AD%90" \t "https://baike.baidu.com/item/%E4%B9%99%E9%85%B8/_blank" </w:instrText>
      </w:r>
      <w:r>
        <w:fldChar w:fldCharType="separate"/>
      </w:r>
      <w:r>
        <w:rPr>
          <w:rFonts w:hint="eastAsia"/>
          <w:u w:val="single"/>
        </w:rPr>
        <w:t>离子</w:t>
      </w:r>
      <w:r>
        <w:rPr>
          <w:rFonts w:hint="eastAsia"/>
          <w:u w:val="single"/>
        </w:rPr>
        <w:fldChar w:fldCharType="end"/>
      </w:r>
      <w:r>
        <w:rPr>
          <w:rFonts w:hint="eastAsia"/>
          <w:u w:val="single"/>
        </w:rPr>
        <w:t>（</w:t>
      </w:r>
      <w:r>
        <w:fldChar w:fldCharType="begin"/>
      </w:r>
      <w:r>
        <w:instrText xml:space="preserve"> HYPERLINK "https://baike.baidu.com/item/%E8%B4%A8%E5%AD%90" \t "https://baike.baidu.com/item/%E4%B9%99%E9%85%B8/_blank" </w:instrText>
      </w:r>
      <w:r>
        <w:fldChar w:fldCharType="separate"/>
      </w:r>
      <w:r>
        <w:rPr>
          <w:rFonts w:hint="eastAsia"/>
          <w:u w:val="single"/>
        </w:rPr>
        <w:t>质子</w:t>
      </w:r>
      <w:r>
        <w:rPr>
          <w:rFonts w:hint="eastAsia"/>
          <w:u w:val="single"/>
        </w:rPr>
        <w:fldChar w:fldCharType="end"/>
      </w:r>
      <w:r>
        <w:rPr>
          <w:rFonts w:hint="eastAsia"/>
          <w:u w:val="single"/>
        </w:rPr>
        <w:t>）而释放出来，导致羧酸的酸性。乙酸在水溶液中是一元弱酸，</w:t>
      </w:r>
      <w:r>
        <w:fldChar w:fldCharType="begin"/>
      </w:r>
      <w:r>
        <w:instrText xml:space="preserve"> HYPERLINK "https://baike.baidu.com/item/%E9%85%B8%E5%BA%A6%E7%B3%BB%E6%95%B0" \t "https://baike.baidu.com/item/%E4%B9%99%E9%85%B8/_blank" </w:instrText>
      </w:r>
      <w:r>
        <w:fldChar w:fldCharType="separate"/>
      </w:r>
      <w:r>
        <w:rPr>
          <w:rFonts w:hint="eastAsia"/>
          <w:u w:val="single"/>
        </w:rPr>
        <w:t>酸度系数</w:t>
      </w:r>
      <w:r>
        <w:rPr>
          <w:rFonts w:hint="eastAsia"/>
          <w:u w:val="single"/>
        </w:rPr>
        <w:fldChar w:fldCharType="end"/>
      </w:r>
      <w:r>
        <w:rPr>
          <w:rFonts w:hint="eastAsia"/>
          <w:u w:val="single"/>
        </w:rPr>
        <w:t>为</w:t>
      </w:r>
      <w:r>
        <w:rPr>
          <w:u w:val="single"/>
        </w:rPr>
        <w:t>4.8</w:t>
      </w:r>
      <w:r>
        <w:rPr>
          <w:rFonts w:hint="eastAsia"/>
          <w:u w:val="single"/>
        </w:rPr>
        <w:t>，</w:t>
      </w:r>
      <w:r>
        <w:rPr>
          <w:u w:val="single"/>
        </w:rPr>
        <w:t>pKa=4.75</w:t>
      </w:r>
      <w:r>
        <w:rPr>
          <w:rFonts w:hint="eastAsia"/>
          <w:u w:val="single"/>
        </w:rPr>
        <w:t>（</w:t>
      </w:r>
      <w:r>
        <w:rPr>
          <w:u w:val="single"/>
        </w:rPr>
        <w:t>25</w:t>
      </w:r>
      <w:r>
        <w:rPr>
          <w:rFonts w:hint="eastAsia"/>
          <w:u w:val="single"/>
        </w:rPr>
        <w:t>℃），浓度为</w:t>
      </w:r>
      <w:r>
        <w:rPr>
          <w:u w:val="single"/>
        </w:rPr>
        <w:t>1mol/L</w:t>
      </w:r>
      <w:r>
        <w:rPr>
          <w:rFonts w:hint="eastAsia"/>
          <w:u w:val="single"/>
        </w:rPr>
        <w:t>的醋酸溶液的</w:t>
      </w:r>
      <w:r>
        <w:rPr>
          <w:u w:val="single"/>
        </w:rPr>
        <w:t>pH</w:t>
      </w:r>
      <w:r>
        <w:rPr>
          <w:rFonts w:hint="eastAsia"/>
          <w:u w:val="single"/>
        </w:rPr>
        <w:t>为</w:t>
      </w:r>
      <w:r>
        <w:rPr>
          <w:u w:val="single"/>
        </w:rPr>
        <w:t>2.4</w:t>
      </w:r>
      <w:r>
        <w:rPr>
          <w:rFonts w:hint="eastAsia"/>
          <w:u w:val="single"/>
        </w:rPr>
        <w:t>。</w:t>
      </w:r>
    </w:p>
    <w:p>
      <w:pPr>
        <w:ind w:firstLine="480"/>
        <w:rPr>
          <w:u w:val="single"/>
        </w:rPr>
      </w:pPr>
      <w:r>
        <w:rPr>
          <w:rFonts w:hint="eastAsia"/>
          <w:u w:val="single"/>
        </w:rPr>
        <w:t>急性毒性：</w:t>
      </w:r>
      <w:r>
        <w:rPr>
          <w:u w:val="single"/>
        </w:rPr>
        <w:t>LD50</w:t>
      </w:r>
      <w:r>
        <w:rPr>
          <w:rFonts w:hint="eastAsia"/>
          <w:u w:val="single"/>
        </w:rPr>
        <w:t>：</w:t>
      </w:r>
      <w:r>
        <w:rPr>
          <w:u w:val="single"/>
        </w:rPr>
        <w:t>3.3 g/kg(</w:t>
      </w:r>
      <w:r>
        <w:rPr>
          <w:rFonts w:hint="eastAsia"/>
          <w:u w:val="single"/>
        </w:rPr>
        <w:t>大鼠经口</w:t>
      </w:r>
      <w:r>
        <w:rPr>
          <w:u w:val="single"/>
        </w:rPr>
        <w:t>)</w:t>
      </w:r>
      <w:r>
        <w:rPr>
          <w:rFonts w:hint="eastAsia"/>
          <w:u w:val="single"/>
        </w:rPr>
        <w:t>；</w:t>
      </w:r>
      <w:r>
        <w:rPr>
          <w:u w:val="single"/>
        </w:rPr>
        <w:t>1060 mg/kg(</w:t>
      </w:r>
      <w:r>
        <w:rPr>
          <w:rFonts w:hint="eastAsia"/>
          <w:u w:val="single"/>
        </w:rPr>
        <w:t>兔经皮</w:t>
      </w:r>
      <w:r>
        <w:rPr>
          <w:u w:val="single"/>
        </w:rPr>
        <w:t>)</w:t>
      </w:r>
      <w:r>
        <w:rPr>
          <w:rFonts w:hint="eastAsia"/>
          <w:u w:val="single"/>
        </w:rPr>
        <w:t>。</w:t>
      </w:r>
      <w:r>
        <w:rPr>
          <w:u w:val="single"/>
        </w:rPr>
        <w:t>LC50</w:t>
      </w:r>
      <w:r>
        <w:rPr>
          <w:rFonts w:hint="eastAsia"/>
          <w:u w:val="single"/>
        </w:rPr>
        <w:t>：</w:t>
      </w:r>
      <w:r>
        <w:rPr>
          <w:u w:val="single"/>
        </w:rPr>
        <w:t>5620 ppm</w:t>
      </w:r>
      <w:r>
        <w:rPr>
          <w:rFonts w:hint="eastAsia"/>
          <w:u w:val="single"/>
        </w:rPr>
        <w:t>，</w:t>
      </w:r>
      <w:r>
        <w:rPr>
          <w:u w:val="single"/>
        </w:rPr>
        <w:t>1 h(</w:t>
      </w:r>
      <w:r>
        <w:rPr>
          <w:rFonts w:hint="eastAsia"/>
          <w:u w:val="single"/>
        </w:rPr>
        <w:t>小鼠吸入</w:t>
      </w:r>
      <w:r>
        <w:rPr>
          <w:u w:val="single"/>
        </w:rPr>
        <w:t>)</w:t>
      </w:r>
      <w:r>
        <w:rPr>
          <w:rFonts w:hint="eastAsia"/>
          <w:u w:val="single"/>
        </w:rPr>
        <w:t>；</w:t>
      </w:r>
      <w:r>
        <w:rPr>
          <w:u w:val="single"/>
        </w:rPr>
        <w:t>12.3 g/m3,1 h</w:t>
      </w:r>
      <w:r>
        <w:rPr>
          <w:rFonts w:hint="eastAsia"/>
          <w:u w:val="single"/>
        </w:rPr>
        <w:t>（大鼠吸入）。人经口</w:t>
      </w:r>
      <w:r>
        <w:rPr>
          <w:u w:val="single"/>
        </w:rPr>
        <w:t>1.47 mg/kg</w:t>
      </w:r>
      <w:r>
        <w:rPr>
          <w:rFonts w:hint="eastAsia"/>
          <w:u w:val="single"/>
        </w:rPr>
        <w:t>，最低中毒量，出现消化道症状；人经口</w:t>
      </w:r>
      <w:r>
        <w:rPr>
          <w:u w:val="single"/>
        </w:rPr>
        <w:t>20</w:t>
      </w:r>
      <w:r>
        <w:rPr>
          <w:rFonts w:hint="eastAsia"/>
          <w:u w:val="single"/>
        </w:rPr>
        <w:t>～</w:t>
      </w:r>
      <w:r>
        <w:rPr>
          <w:u w:val="single"/>
        </w:rPr>
        <w:t>50 g</w:t>
      </w:r>
      <w:r>
        <w:rPr>
          <w:rFonts w:hint="eastAsia"/>
          <w:u w:val="single"/>
        </w:rPr>
        <w:t>，致死剂量。</w:t>
      </w:r>
      <w:r>
        <w:rPr>
          <w:u w:val="single"/>
        </w:rPr>
        <w:t>80%</w:t>
      </w:r>
      <w:r>
        <w:rPr>
          <w:rFonts w:hint="eastAsia"/>
          <w:u w:val="single"/>
        </w:rPr>
        <w:t>浓度的醋酸能导致豚鼠皮肤的严重灼伤，</w:t>
      </w:r>
      <w:r>
        <w:rPr>
          <w:u w:val="single"/>
        </w:rPr>
        <w:t>50%~80%</w:t>
      </w:r>
      <w:r>
        <w:rPr>
          <w:rFonts w:hint="eastAsia"/>
          <w:u w:val="single"/>
        </w:rPr>
        <w:t>产生中等度至严重灼伤，小于</w:t>
      </w:r>
      <w:r>
        <w:rPr>
          <w:u w:val="single"/>
        </w:rPr>
        <w:t>50%</w:t>
      </w:r>
      <w:r>
        <w:rPr>
          <w:rFonts w:hint="eastAsia"/>
          <w:u w:val="single"/>
        </w:rPr>
        <w:t>则很轻微，</w:t>
      </w:r>
      <w:r>
        <w:rPr>
          <w:u w:val="single"/>
        </w:rPr>
        <w:t>5%~16%</w:t>
      </w:r>
      <w:r>
        <w:rPr>
          <w:rFonts w:hint="eastAsia"/>
          <w:u w:val="single"/>
        </w:rPr>
        <w:t>浓度从未有过灼伤。人不能在</w:t>
      </w:r>
      <w:r>
        <w:rPr>
          <w:u w:val="single"/>
        </w:rPr>
        <w:t>2~3 g/m</w:t>
      </w:r>
      <w:r>
        <w:rPr>
          <w:rFonts w:hint="eastAsia"/>
          <w:u w:val="single"/>
        </w:rPr>
        <w:t></w:t>
      </w:r>
      <w:r>
        <w:rPr>
          <w:u w:val="single"/>
        </w:rPr>
        <w:t>3</w:t>
      </w:r>
      <w:r>
        <w:rPr>
          <w:rFonts w:hint="eastAsia"/>
          <w:u w:val="single"/>
        </w:rPr>
        <w:t>浓度中耐受</w:t>
      </w:r>
      <w:r>
        <w:rPr>
          <w:u w:val="single"/>
        </w:rPr>
        <w:t>3 min</w:t>
      </w:r>
      <w:r>
        <w:rPr>
          <w:rFonts w:hint="eastAsia"/>
          <w:u w:val="single"/>
        </w:rPr>
        <w:t>以上。人的口服致死量为</w:t>
      </w:r>
      <w:r>
        <w:rPr>
          <w:u w:val="single"/>
        </w:rPr>
        <w:t>20</w:t>
      </w:r>
      <w:r>
        <w:rPr>
          <w:rFonts w:hint="eastAsia"/>
          <w:u w:val="single"/>
        </w:rPr>
        <w:t>～</w:t>
      </w:r>
      <w:r>
        <w:rPr>
          <w:u w:val="single"/>
        </w:rPr>
        <w:t>50 g</w:t>
      </w:r>
      <w:r>
        <w:rPr>
          <w:rFonts w:hint="eastAsia"/>
          <w:u w:val="single"/>
        </w:rPr>
        <w:t>。</w:t>
      </w:r>
    </w:p>
    <w:p>
      <w:pPr>
        <w:ind w:firstLine="480"/>
        <w:rPr>
          <w:u w:val="single"/>
        </w:rPr>
      </w:pPr>
      <w:r>
        <w:rPr>
          <w:rFonts w:hint="eastAsia"/>
          <w:u w:val="single"/>
        </w:rPr>
        <w:t>危险特性：能与</w:t>
      </w:r>
      <w:r>
        <w:fldChar w:fldCharType="begin"/>
      </w:r>
      <w:r>
        <w:instrText xml:space="preserve"> HYPERLINK "https://baike.baidu.com/item/%E6%B0%A7%E5%8C%96%E5%89%82" \t "https://baike.baidu.com/item/%E4%B9%99%E9%85%B8/_blank" </w:instrText>
      </w:r>
      <w:r>
        <w:fldChar w:fldCharType="separate"/>
      </w:r>
      <w:r>
        <w:rPr>
          <w:rFonts w:hint="eastAsia"/>
          <w:u w:val="single"/>
        </w:rPr>
        <w:t>氧化剂</w:t>
      </w:r>
      <w:r>
        <w:rPr>
          <w:rFonts w:hint="eastAsia"/>
          <w:u w:val="single"/>
        </w:rPr>
        <w:fldChar w:fldCharType="end"/>
      </w:r>
      <w:r>
        <w:rPr>
          <w:rFonts w:hint="eastAsia"/>
          <w:u w:val="single"/>
        </w:rPr>
        <w:t>发生强烈反应，与</w:t>
      </w:r>
      <w:r>
        <w:fldChar w:fldCharType="begin"/>
      </w:r>
      <w:r>
        <w:instrText xml:space="preserve"> HYPERLINK "https://baike.baidu.com/item/%E6%B0%A2%E6%B0%A7%E5%8C%96%E9%92%A0" \t "https://baike.baidu.com/item/%E4%B9%99%E9%85%B8/_blank" </w:instrText>
      </w:r>
      <w:r>
        <w:fldChar w:fldCharType="separate"/>
      </w:r>
      <w:r>
        <w:rPr>
          <w:rFonts w:hint="eastAsia"/>
          <w:u w:val="single"/>
        </w:rPr>
        <w:t>氢氧化钠</w:t>
      </w:r>
      <w:r>
        <w:rPr>
          <w:rFonts w:hint="eastAsia"/>
          <w:u w:val="single"/>
        </w:rPr>
        <w:fldChar w:fldCharType="end"/>
      </w:r>
      <w:r>
        <w:rPr>
          <w:rFonts w:hint="eastAsia"/>
          <w:u w:val="single"/>
        </w:rPr>
        <w:t>与</w:t>
      </w:r>
      <w:r>
        <w:fldChar w:fldCharType="begin"/>
      </w:r>
      <w:r>
        <w:instrText xml:space="preserve"> HYPERLINK "https://baike.baidu.com/item/%E6%B0%A2%E6%B0%A7%E5%8C%96%E9%92%BE" \t "https://baike.baidu.com/item/%E4%B9%99%E9%85%B8/_blank" </w:instrText>
      </w:r>
      <w:r>
        <w:fldChar w:fldCharType="separate"/>
      </w:r>
      <w:r>
        <w:rPr>
          <w:rFonts w:hint="eastAsia"/>
          <w:u w:val="single"/>
        </w:rPr>
        <w:t>氢氧化钾</w:t>
      </w:r>
      <w:r>
        <w:rPr>
          <w:rFonts w:hint="eastAsia"/>
          <w:u w:val="single"/>
        </w:rPr>
        <w:fldChar w:fldCharType="end"/>
      </w:r>
      <w:r>
        <w:rPr>
          <w:rFonts w:hint="eastAsia"/>
          <w:u w:val="single"/>
        </w:rPr>
        <w:t>等反应剧烈。稀释后对金属有腐蚀性。</w:t>
      </w:r>
    </w:p>
    <w:p>
      <w:pPr>
        <w:ind w:firstLine="480"/>
        <w:rPr>
          <w:u w:val="single"/>
        </w:rPr>
      </w:pPr>
      <w:r>
        <w:rPr>
          <w:rFonts w:hint="eastAsia"/>
          <w:u w:val="single"/>
        </w:rPr>
        <w:t>（</w:t>
      </w:r>
      <w:r>
        <w:rPr>
          <w:u w:val="single"/>
        </w:rPr>
        <w:t>5</w:t>
      </w:r>
      <w:r>
        <w:rPr>
          <w:rFonts w:hint="eastAsia"/>
          <w:u w:val="single"/>
        </w:rPr>
        <w:t>）柔软剂</w:t>
      </w:r>
    </w:p>
    <w:p>
      <w:pPr>
        <w:ind w:firstLine="480"/>
        <w:rPr>
          <w:u w:val="single"/>
        </w:rPr>
      </w:pPr>
      <w:r>
        <w:rPr>
          <w:rFonts w:hint="eastAsia"/>
          <w:u w:val="single"/>
        </w:rPr>
        <w:t>是一类能改变纤维的静、动摩擦系数的化学物质，当改变静摩擦系数时，手感触摸有平滑感，易于在纤维或织物上移动；当改变动摩擦系数时，纤维与纤维之间的微细结构易于相互移动，也就是纤维或者织物易于变形。</w:t>
      </w:r>
    </w:p>
    <w:p>
      <w:pPr>
        <w:ind w:firstLine="480"/>
        <w:rPr>
          <w:u w:val="single"/>
        </w:rPr>
      </w:pPr>
      <w:r>
        <w:rPr>
          <w:rFonts w:hint="eastAsia"/>
          <w:u w:val="single"/>
        </w:rPr>
        <w:t>（</w:t>
      </w:r>
      <w:r>
        <w:rPr>
          <w:u w:val="single"/>
        </w:rPr>
        <w:t>6</w:t>
      </w:r>
      <w:r>
        <w:rPr>
          <w:rFonts w:hint="eastAsia"/>
          <w:u w:val="single"/>
        </w:rPr>
        <w:t>）皂化剂</w:t>
      </w:r>
    </w:p>
    <w:p>
      <w:pPr>
        <w:ind w:firstLine="480"/>
        <w:rPr>
          <w:u w:val="single"/>
        </w:rPr>
      </w:pPr>
      <w:r>
        <w:rPr>
          <w:rFonts w:hint="eastAsia"/>
          <w:u w:val="single"/>
        </w:rPr>
        <w:t>用于印染后处理工序中的皂洗工段，对纤维织物经印染加工后，为提高其颜色牢度和艳度，用肥皂或洗涤剂溶液将其表面上未经固色的染料、所用助染剂等在热水条件下进行净洗。</w:t>
      </w:r>
    </w:p>
    <w:p>
      <w:pPr>
        <w:ind w:firstLine="480"/>
      </w:pPr>
      <w:r>
        <w:rPr>
          <w:rFonts w:hint="eastAsia"/>
        </w:rPr>
        <w:t>3、技改前后主要原辅材料对比情况</w:t>
      </w:r>
    </w:p>
    <w:p>
      <w:pPr>
        <w:pStyle w:val="26"/>
      </w:pPr>
      <w:r>
        <w:rPr>
          <w:rFonts w:hint="eastAsia"/>
          <w:b/>
          <w:bCs/>
        </w:rPr>
        <w:t>表</w:t>
      </w:r>
      <w:r>
        <w:rPr>
          <w:b/>
          <w:bCs/>
        </w:rPr>
        <w:t>4.1-</w:t>
      </w:r>
      <w:r>
        <w:rPr>
          <w:rFonts w:hint="eastAsia"/>
          <w:b/>
          <w:bCs/>
        </w:rPr>
        <w:t>6企业技改后印染生产过程主要原辅材料消耗一览表</w:t>
      </w:r>
    </w:p>
    <w:tbl>
      <w:tblPr>
        <w:tblStyle w:val="23"/>
        <w:tblW w:w="98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554"/>
        <w:gridCol w:w="428"/>
        <w:gridCol w:w="1842"/>
        <w:gridCol w:w="1803"/>
        <w:gridCol w:w="2087"/>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blHeader/>
          <w:jc w:val="center"/>
        </w:trPr>
        <w:tc>
          <w:tcPr>
            <w:tcW w:w="818" w:type="dxa"/>
            <w:vAlign w:val="center"/>
          </w:tcPr>
          <w:p>
            <w:pPr>
              <w:pStyle w:val="26"/>
              <w:rPr>
                <w:kern w:val="2"/>
                <w:szCs w:val="21"/>
                <w:lang w:val="en-US" w:eastAsia="zh-CN"/>
              </w:rPr>
            </w:pPr>
            <w:r>
              <w:rPr>
                <w:rFonts w:hint="eastAsia"/>
                <w:kern w:val="2"/>
                <w:szCs w:val="21"/>
                <w:lang w:val="en-US" w:eastAsia="zh-CN"/>
              </w:rPr>
              <w:t>序号</w:t>
            </w:r>
          </w:p>
        </w:tc>
        <w:tc>
          <w:tcPr>
            <w:tcW w:w="2824" w:type="dxa"/>
            <w:gridSpan w:val="3"/>
            <w:vAlign w:val="center"/>
          </w:tcPr>
          <w:p>
            <w:pPr>
              <w:pStyle w:val="26"/>
              <w:rPr>
                <w:kern w:val="2"/>
                <w:szCs w:val="21"/>
                <w:lang w:val="en-US" w:eastAsia="zh-CN"/>
              </w:rPr>
            </w:pPr>
            <w:r>
              <w:rPr>
                <w:rFonts w:hint="eastAsia"/>
                <w:kern w:val="2"/>
                <w:szCs w:val="21"/>
                <w:lang w:val="en-US" w:eastAsia="zh-CN"/>
              </w:rPr>
              <w:t>原辅材料名称</w:t>
            </w:r>
          </w:p>
        </w:tc>
        <w:tc>
          <w:tcPr>
            <w:tcW w:w="1803" w:type="dxa"/>
            <w:vAlign w:val="center"/>
          </w:tcPr>
          <w:p>
            <w:pPr>
              <w:pStyle w:val="26"/>
              <w:rPr>
                <w:kern w:val="2"/>
                <w:szCs w:val="21"/>
                <w:lang w:val="en-US" w:eastAsia="zh-CN"/>
              </w:rPr>
            </w:pPr>
            <w:r>
              <w:rPr>
                <w:rFonts w:hint="eastAsia"/>
                <w:kern w:val="2"/>
                <w:szCs w:val="21"/>
                <w:lang w:val="en-US" w:eastAsia="zh-CN"/>
              </w:rPr>
              <w:t>技改前</w:t>
            </w:r>
          </w:p>
        </w:tc>
        <w:tc>
          <w:tcPr>
            <w:tcW w:w="2087" w:type="dxa"/>
            <w:vAlign w:val="center"/>
          </w:tcPr>
          <w:p>
            <w:pPr>
              <w:pStyle w:val="26"/>
              <w:rPr>
                <w:kern w:val="2"/>
                <w:szCs w:val="21"/>
                <w:lang w:val="en-US" w:eastAsia="zh-CN"/>
              </w:rPr>
            </w:pPr>
            <w:r>
              <w:rPr>
                <w:rFonts w:hint="eastAsia"/>
                <w:kern w:val="2"/>
                <w:szCs w:val="21"/>
                <w:lang w:val="en-US" w:eastAsia="zh-CN"/>
              </w:rPr>
              <w:t>技改后</w:t>
            </w:r>
          </w:p>
        </w:tc>
        <w:tc>
          <w:tcPr>
            <w:tcW w:w="2278" w:type="dxa"/>
            <w:vAlign w:val="center"/>
          </w:tcPr>
          <w:p>
            <w:pPr>
              <w:pStyle w:val="26"/>
              <w:rPr>
                <w:kern w:val="2"/>
                <w:szCs w:val="21"/>
                <w:lang w:val="en-US" w:eastAsia="zh-CN"/>
              </w:rPr>
            </w:pPr>
            <w:r>
              <w:rPr>
                <w:rFonts w:hint="eastAsia"/>
                <w:kern w:val="2"/>
                <w:szCs w:val="21"/>
                <w:lang w:val="en-US" w:eastAsia="zh-CN"/>
              </w:rPr>
              <w:t>技改前后增减量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9810" w:type="dxa"/>
            <w:gridSpan w:val="7"/>
            <w:vAlign w:val="center"/>
          </w:tcPr>
          <w:p>
            <w:pPr>
              <w:pStyle w:val="26"/>
              <w:rPr>
                <w:kern w:val="2"/>
                <w:szCs w:val="21"/>
                <w:lang w:val="en-US" w:eastAsia="zh-CN"/>
              </w:rPr>
            </w:pPr>
            <w:r>
              <w:rPr>
                <w:rFonts w:hint="eastAsia"/>
                <w:kern w:val="2"/>
                <w:szCs w:val="21"/>
                <w:lang w:val="en-US" w:eastAsia="zh-CN"/>
              </w:rPr>
              <w:t>一、印染车间主要原辅材料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8" w:type="dxa"/>
            <w:vMerge w:val="restart"/>
            <w:vAlign w:val="center"/>
          </w:tcPr>
          <w:p>
            <w:pPr>
              <w:pStyle w:val="26"/>
              <w:rPr>
                <w:kern w:val="2"/>
                <w:szCs w:val="21"/>
                <w:lang w:val="en-US" w:eastAsia="zh-CN"/>
              </w:rPr>
            </w:pPr>
            <w:r>
              <w:rPr>
                <w:kern w:val="2"/>
                <w:szCs w:val="21"/>
                <w:lang w:val="en-US" w:eastAsia="zh-CN"/>
              </w:rPr>
              <w:t>1</w:t>
            </w:r>
          </w:p>
        </w:tc>
        <w:tc>
          <w:tcPr>
            <w:tcW w:w="982" w:type="dxa"/>
            <w:gridSpan w:val="2"/>
            <w:vMerge w:val="restart"/>
            <w:vAlign w:val="center"/>
          </w:tcPr>
          <w:p>
            <w:pPr>
              <w:pStyle w:val="26"/>
              <w:rPr>
                <w:kern w:val="2"/>
                <w:szCs w:val="21"/>
                <w:lang w:val="en-US" w:eastAsia="zh-CN"/>
              </w:rPr>
            </w:pPr>
            <w:r>
              <w:rPr>
                <w:rFonts w:hint="eastAsia"/>
                <w:kern w:val="2"/>
                <w:szCs w:val="21"/>
                <w:lang w:val="en-US" w:eastAsia="zh-CN"/>
              </w:rPr>
              <w:t>坯布</w:t>
            </w:r>
          </w:p>
        </w:tc>
        <w:tc>
          <w:tcPr>
            <w:tcW w:w="1842" w:type="dxa"/>
            <w:vAlign w:val="center"/>
          </w:tcPr>
          <w:p>
            <w:pPr>
              <w:pStyle w:val="26"/>
              <w:rPr>
                <w:kern w:val="2"/>
                <w:szCs w:val="21"/>
                <w:lang w:val="en-US" w:eastAsia="zh-CN"/>
              </w:rPr>
            </w:pPr>
            <w:r>
              <w:rPr>
                <w:kern w:val="2"/>
                <w:szCs w:val="21"/>
                <w:lang w:val="en-US" w:eastAsia="zh-CN"/>
              </w:rPr>
              <w:t>10</w:t>
            </w:r>
            <w:r>
              <w:rPr>
                <w:rFonts w:hint="eastAsia"/>
                <w:kern w:val="2"/>
                <w:szCs w:val="21"/>
                <w:lang w:val="en-US" w:eastAsia="zh-CN"/>
              </w:rPr>
              <w:t>支变斜</w:t>
            </w:r>
          </w:p>
        </w:tc>
        <w:tc>
          <w:tcPr>
            <w:tcW w:w="1803" w:type="dxa"/>
            <w:vAlign w:val="center"/>
          </w:tcPr>
          <w:p>
            <w:pPr>
              <w:pStyle w:val="26"/>
              <w:rPr>
                <w:kern w:val="2"/>
                <w:szCs w:val="21"/>
                <w:lang w:val="en-US" w:eastAsia="zh-CN"/>
              </w:rPr>
            </w:pPr>
            <w:r>
              <w:rPr>
                <w:rFonts w:hint="eastAsia"/>
                <w:kern w:val="2"/>
                <w:szCs w:val="21"/>
                <w:lang w:val="en-US" w:eastAsia="zh-CN"/>
              </w:rPr>
              <w:t>0</w:t>
            </w:r>
          </w:p>
        </w:tc>
        <w:tc>
          <w:tcPr>
            <w:tcW w:w="2087" w:type="dxa"/>
            <w:vAlign w:val="center"/>
          </w:tcPr>
          <w:p>
            <w:pPr>
              <w:pStyle w:val="26"/>
              <w:rPr>
                <w:kern w:val="2"/>
                <w:szCs w:val="21"/>
                <w:lang w:val="en-US" w:eastAsia="zh-CN"/>
              </w:rPr>
            </w:pPr>
            <w:r>
              <w:rPr>
                <w:rFonts w:hint="eastAsia"/>
                <w:kern w:val="2"/>
                <w:szCs w:val="21"/>
                <w:lang w:val="en-US" w:eastAsia="zh-CN"/>
              </w:rPr>
              <w:t>320万</w:t>
            </w:r>
            <w:r>
              <w:rPr>
                <w:kern w:val="2"/>
                <w:szCs w:val="21"/>
                <w:lang w:val="en-US" w:eastAsia="zh-CN"/>
              </w:rPr>
              <w:t>m/a</w:t>
            </w:r>
          </w:p>
        </w:tc>
        <w:tc>
          <w:tcPr>
            <w:tcW w:w="2278" w:type="dxa"/>
            <w:vAlign w:val="center"/>
          </w:tcPr>
          <w:p>
            <w:pPr>
              <w:pStyle w:val="26"/>
              <w:ind w:firstLine="0" w:firstLineChars="0"/>
              <w:rPr>
                <w:kern w:val="2"/>
                <w:szCs w:val="21"/>
                <w:lang w:val="en-US" w:eastAsia="zh-CN"/>
              </w:rPr>
            </w:pPr>
            <w:r>
              <w:rPr>
                <w:rFonts w:hint="eastAsia"/>
                <w:kern w:val="2"/>
                <w:szCs w:val="21"/>
                <w:lang w:val="en-US" w:eastAsia="zh-CN"/>
              </w:rPr>
              <w:t>+320万</w:t>
            </w:r>
            <w:r>
              <w:rPr>
                <w:kern w:val="2"/>
                <w:szCs w:val="21"/>
                <w:lang w:val="en-US" w:eastAsia="zh-CN"/>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kern w:val="2"/>
                <w:szCs w:val="21"/>
                <w:lang w:val="en-US" w:eastAsia="zh-CN"/>
              </w:rPr>
              <w:t>10</w:t>
            </w:r>
            <w:r>
              <w:rPr>
                <w:rFonts w:hint="eastAsia"/>
                <w:kern w:val="2"/>
                <w:szCs w:val="21"/>
                <w:lang w:val="en-US" w:eastAsia="zh-CN"/>
              </w:rPr>
              <w:t>支富贵</w:t>
            </w:r>
          </w:p>
        </w:tc>
        <w:tc>
          <w:tcPr>
            <w:tcW w:w="1803" w:type="dxa"/>
            <w:vAlign w:val="center"/>
          </w:tcPr>
          <w:p>
            <w:pPr>
              <w:pStyle w:val="26"/>
              <w:rPr>
                <w:kern w:val="2"/>
                <w:szCs w:val="21"/>
                <w:lang w:val="en-US" w:eastAsia="zh-CN"/>
              </w:rPr>
            </w:pPr>
            <w:r>
              <w:rPr>
                <w:rFonts w:hint="eastAsia"/>
                <w:kern w:val="2"/>
                <w:szCs w:val="21"/>
                <w:lang w:val="en-US" w:eastAsia="zh-CN"/>
              </w:rPr>
              <w:t>0</w:t>
            </w:r>
          </w:p>
        </w:tc>
        <w:tc>
          <w:tcPr>
            <w:tcW w:w="2087" w:type="dxa"/>
            <w:vAlign w:val="center"/>
          </w:tcPr>
          <w:p>
            <w:pPr>
              <w:pStyle w:val="26"/>
              <w:rPr>
                <w:kern w:val="2"/>
                <w:szCs w:val="21"/>
                <w:lang w:val="en-US" w:eastAsia="zh-CN"/>
              </w:rPr>
            </w:pPr>
            <w:r>
              <w:rPr>
                <w:rFonts w:hint="eastAsia"/>
                <w:kern w:val="2"/>
                <w:szCs w:val="21"/>
                <w:lang w:val="en-US" w:eastAsia="zh-CN"/>
              </w:rPr>
              <w:t>1600万</w:t>
            </w:r>
            <w:r>
              <w:rPr>
                <w:kern w:val="2"/>
                <w:szCs w:val="21"/>
                <w:lang w:val="en-US" w:eastAsia="zh-CN"/>
              </w:rPr>
              <w:t>m/a</w:t>
            </w:r>
          </w:p>
        </w:tc>
        <w:tc>
          <w:tcPr>
            <w:tcW w:w="2278" w:type="dxa"/>
            <w:vAlign w:val="center"/>
          </w:tcPr>
          <w:p>
            <w:pPr>
              <w:pStyle w:val="26"/>
              <w:ind w:firstLine="0" w:firstLineChars="0"/>
              <w:rPr>
                <w:kern w:val="2"/>
                <w:szCs w:val="21"/>
                <w:lang w:val="en-US" w:eastAsia="zh-CN"/>
              </w:rPr>
            </w:pPr>
            <w:r>
              <w:rPr>
                <w:rFonts w:hint="eastAsia"/>
                <w:kern w:val="2"/>
                <w:szCs w:val="21"/>
                <w:lang w:val="en-US" w:eastAsia="zh-CN"/>
              </w:rPr>
              <w:t>+1600万</w:t>
            </w:r>
            <w:r>
              <w:rPr>
                <w:kern w:val="2"/>
                <w:szCs w:val="21"/>
                <w:lang w:val="en-US" w:eastAsia="zh-CN"/>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rFonts w:hint="eastAsia"/>
                <w:kern w:val="2"/>
                <w:szCs w:val="21"/>
                <w:lang w:val="en-US" w:eastAsia="zh-CN"/>
              </w:rPr>
              <w:t>棉坯布</w:t>
            </w:r>
          </w:p>
        </w:tc>
        <w:tc>
          <w:tcPr>
            <w:tcW w:w="1803" w:type="dxa"/>
            <w:vAlign w:val="center"/>
          </w:tcPr>
          <w:p>
            <w:pPr>
              <w:pStyle w:val="26"/>
              <w:rPr>
                <w:kern w:val="2"/>
                <w:szCs w:val="21"/>
                <w:lang w:val="en-US" w:eastAsia="zh-CN"/>
              </w:rPr>
            </w:pPr>
            <w:r>
              <w:rPr>
                <w:rFonts w:hint="eastAsia"/>
                <w:kern w:val="2"/>
                <w:szCs w:val="21"/>
                <w:lang w:val="en-US" w:eastAsia="zh-CN"/>
              </w:rPr>
              <w:t>500万</w:t>
            </w:r>
            <w:r>
              <w:rPr>
                <w:kern w:val="2"/>
                <w:szCs w:val="21"/>
                <w:lang w:val="en-US" w:eastAsia="zh-CN"/>
              </w:rPr>
              <w:t>m/a</w:t>
            </w:r>
          </w:p>
        </w:tc>
        <w:tc>
          <w:tcPr>
            <w:tcW w:w="2087" w:type="dxa"/>
            <w:vAlign w:val="center"/>
          </w:tcPr>
          <w:p>
            <w:pPr>
              <w:pStyle w:val="26"/>
              <w:rPr>
                <w:kern w:val="2"/>
                <w:szCs w:val="21"/>
                <w:lang w:val="en-US" w:eastAsia="zh-CN"/>
              </w:rPr>
            </w:pPr>
            <w:r>
              <w:rPr>
                <w:rFonts w:hint="eastAsia"/>
                <w:kern w:val="2"/>
                <w:szCs w:val="21"/>
                <w:lang w:val="en-US" w:eastAsia="zh-CN"/>
              </w:rPr>
              <w:t>0</w:t>
            </w:r>
          </w:p>
        </w:tc>
        <w:tc>
          <w:tcPr>
            <w:tcW w:w="2278" w:type="dxa"/>
            <w:vAlign w:val="center"/>
          </w:tcPr>
          <w:p>
            <w:pPr>
              <w:pStyle w:val="26"/>
              <w:rPr>
                <w:kern w:val="2"/>
                <w:szCs w:val="21"/>
                <w:lang w:val="en-US" w:eastAsia="zh-CN"/>
              </w:rPr>
            </w:pPr>
            <w:r>
              <w:rPr>
                <w:rFonts w:hint="eastAsia"/>
                <w:kern w:val="2"/>
                <w:szCs w:val="21"/>
                <w:lang w:val="en-US" w:eastAsia="zh-CN"/>
              </w:rPr>
              <w:t>-500万</w:t>
            </w:r>
            <w:r>
              <w:rPr>
                <w:kern w:val="2"/>
                <w:szCs w:val="21"/>
                <w:lang w:val="en-US" w:eastAsia="zh-CN"/>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rFonts w:hint="eastAsia"/>
                <w:kern w:val="2"/>
                <w:szCs w:val="21"/>
                <w:lang w:val="en-US" w:eastAsia="zh-CN"/>
              </w:rPr>
              <w:t>麻坯布</w:t>
            </w:r>
          </w:p>
        </w:tc>
        <w:tc>
          <w:tcPr>
            <w:tcW w:w="1803" w:type="dxa"/>
            <w:vAlign w:val="center"/>
          </w:tcPr>
          <w:p>
            <w:pPr>
              <w:pStyle w:val="26"/>
              <w:rPr>
                <w:kern w:val="2"/>
                <w:szCs w:val="21"/>
                <w:lang w:val="en-US" w:eastAsia="zh-CN"/>
              </w:rPr>
            </w:pPr>
            <w:r>
              <w:rPr>
                <w:rFonts w:hint="eastAsia"/>
                <w:kern w:val="2"/>
                <w:szCs w:val="21"/>
                <w:lang w:val="en-US" w:eastAsia="zh-CN"/>
              </w:rPr>
              <w:t>100万</w:t>
            </w:r>
            <w:r>
              <w:rPr>
                <w:kern w:val="2"/>
                <w:szCs w:val="21"/>
                <w:lang w:val="en-US" w:eastAsia="zh-CN"/>
              </w:rPr>
              <w:t>m/a</w:t>
            </w:r>
          </w:p>
        </w:tc>
        <w:tc>
          <w:tcPr>
            <w:tcW w:w="2087" w:type="dxa"/>
            <w:vAlign w:val="center"/>
          </w:tcPr>
          <w:p>
            <w:pPr>
              <w:pStyle w:val="26"/>
              <w:rPr>
                <w:kern w:val="2"/>
                <w:szCs w:val="21"/>
                <w:lang w:val="en-US" w:eastAsia="zh-CN"/>
              </w:rPr>
            </w:pPr>
            <w:r>
              <w:rPr>
                <w:rFonts w:hint="eastAsia"/>
                <w:kern w:val="2"/>
                <w:szCs w:val="21"/>
                <w:lang w:val="en-US" w:eastAsia="zh-CN"/>
              </w:rPr>
              <w:t>0</w:t>
            </w:r>
          </w:p>
        </w:tc>
        <w:tc>
          <w:tcPr>
            <w:tcW w:w="2278" w:type="dxa"/>
            <w:vAlign w:val="center"/>
          </w:tcPr>
          <w:p>
            <w:pPr>
              <w:pStyle w:val="26"/>
              <w:rPr>
                <w:kern w:val="2"/>
                <w:szCs w:val="21"/>
                <w:lang w:val="en-US" w:eastAsia="zh-CN"/>
              </w:rPr>
            </w:pPr>
            <w:r>
              <w:rPr>
                <w:rFonts w:hint="eastAsia"/>
                <w:kern w:val="2"/>
                <w:szCs w:val="21"/>
                <w:lang w:val="en-US" w:eastAsia="zh-CN"/>
              </w:rPr>
              <w:t>-100万</w:t>
            </w:r>
            <w:r>
              <w:rPr>
                <w:kern w:val="2"/>
                <w:szCs w:val="21"/>
                <w:lang w:val="en-US" w:eastAsia="zh-CN"/>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8" w:type="dxa"/>
            <w:vMerge w:val="restart"/>
            <w:vAlign w:val="center"/>
          </w:tcPr>
          <w:p>
            <w:pPr>
              <w:pStyle w:val="26"/>
              <w:rPr>
                <w:kern w:val="2"/>
                <w:szCs w:val="21"/>
                <w:lang w:val="en-US" w:eastAsia="zh-CN"/>
              </w:rPr>
            </w:pPr>
            <w:r>
              <w:rPr>
                <w:kern w:val="2"/>
                <w:szCs w:val="21"/>
                <w:lang w:val="en-US" w:eastAsia="zh-CN"/>
              </w:rPr>
              <w:t>2</w:t>
            </w:r>
          </w:p>
        </w:tc>
        <w:tc>
          <w:tcPr>
            <w:tcW w:w="982" w:type="dxa"/>
            <w:gridSpan w:val="2"/>
            <w:vMerge w:val="restart"/>
            <w:vAlign w:val="center"/>
          </w:tcPr>
          <w:p>
            <w:pPr>
              <w:pStyle w:val="26"/>
              <w:rPr>
                <w:kern w:val="2"/>
                <w:szCs w:val="21"/>
                <w:lang w:val="en-US" w:eastAsia="zh-CN"/>
              </w:rPr>
            </w:pPr>
            <w:r>
              <w:rPr>
                <w:rFonts w:hint="eastAsia"/>
                <w:kern w:val="2"/>
                <w:szCs w:val="21"/>
                <w:lang w:val="en-US" w:eastAsia="zh-CN"/>
              </w:rPr>
              <w:t>染料</w:t>
            </w:r>
          </w:p>
        </w:tc>
        <w:tc>
          <w:tcPr>
            <w:tcW w:w="1842" w:type="dxa"/>
            <w:vAlign w:val="center"/>
          </w:tcPr>
          <w:p>
            <w:pPr>
              <w:pStyle w:val="26"/>
              <w:rPr>
                <w:kern w:val="2"/>
                <w:szCs w:val="21"/>
                <w:lang w:val="en-US" w:eastAsia="zh-CN"/>
              </w:rPr>
            </w:pPr>
            <w:r>
              <w:rPr>
                <w:rFonts w:hint="eastAsia"/>
                <w:kern w:val="2"/>
                <w:szCs w:val="21"/>
                <w:lang w:val="en-US" w:eastAsia="zh-CN"/>
              </w:rPr>
              <w:t>硫化黑</w:t>
            </w:r>
          </w:p>
        </w:tc>
        <w:tc>
          <w:tcPr>
            <w:tcW w:w="1803" w:type="dxa"/>
            <w:vAlign w:val="center"/>
          </w:tcPr>
          <w:p>
            <w:pPr>
              <w:pStyle w:val="26"/>
              <w:rPr>
                <w:kern w:val="2"/>
                <w:szCs w:val="21"/>
                <w:lang w:val="en-US" w:eastAsia="zh-CN"/>
              </w:rPr>
            </w:pPr>
            <w:r>
              <w:rPr>
                <w:rFonts w:hint="eastAsia"/>
                <w:kern w:val="2"/>
                <w:szCs w:val="21"/>
                <w:lang w:val="en-US" w:eastAsia="zh-CN"/>
              </w:rPr>
              <w:t>0t/a</w:t>
            </w:r>
          </w:p>
        </w:tc>
        <w:tc>
          <w:tcPr>
            <w:tcW w:w="2087" w:type="dxa"/>
            <w:vAlign w:val="center"/>
          </w:tcPr>
          <w:p>
            <w:pPr>
              <w:pStyle w:val="26"/>
              <w:rPr>
                <w:kern w:val="2"/>
                <w:szCs w:val="21"/>
                <w:lang w:val="en-US" w:eastAsia="zh-CN"/>
              </w:rPr>
            </w:pPr>
            <w:r>
              <w:rPr>
                <w:rFonts w:hint="eastAsia"/>
                <w:kern w:val="2"/>
                <w:szCs w:val="21"/>
                <w:lang w:val="en-US" w:eastAsia="zh-CN"/>
              </w:rPr>
              <w:t>80t/a</w:t>
            </w:r>
          </w:p>
        </w:tc>
        <w:tc>
          <w:tcPr>
            <w:tcW w:w="2278" w:type="dxa"/>
            <w:vAlign w:val="center"/>
          </w:tcPr>
          <w:p>
            <w:pPr>
              <w:pStyle w:val="26"/>
              <w:rPr>
                <w:kern w:val="2"/>
                <w:szCs w:val="21"/>
                <w:lang w:val="en-US" w:eastAsia="zh-CN"/>
              </w:rPr>
            </w:pPr>
            <w:r>
              <w:rPr>
                <w:rFonts w:hint="eastAsia"/>
                <w:kern w:val="2"/>
                <w:szCs w:val="21"/>
                <w:lang w:val="en-US" w:eastAsia="zh-CN"/>
              </w:rPr>
              <w:t>+80t/a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rFonts w:hint="eastAsia"/>
                <w:kern w:val="2"/>
                <w:szCs w:val="21"/>
                <w:lang w:val="en-US" w:eastAsia="zh-CN"/>
              </w:rPr>
              <w:t>还原染料</w:t>
            </w:r>
          </w:p>
        </w:tc>
        <w:tc>
          <w:tcPr>
            <w:tcW w:w="1803" w:type="dxa"/>
            <w:vAlign w:val="center"/>
          </w:tcPr>
          <w:p>
            <w:pPr>
              <w:pStyle w:val="26"/>
              <w:rPr>
                <w:kern w:val="2"/>
                <w:szCs w:val="21"/>
                <w:lang w:val="en-US" w:eastAsia="zh-CN"/>
              </w:rPr>
            </w:pPr>
            <w:r>
              <w:rPr>
                <w:rFonts w:hint="eastAsia"/>
                <w:kern w:val="2"/>
                <w:szCs w:val="21"/>
                <w:lang w:val="en-US" w:eastAsia="zh-CN"/>
              </w:rPr>
              <w:t>8.4t/a</w:t>
            </w:r>
          </w:p>
        </w:tc>
        <w:tc>
          <w:tcPr>
            <w:tcW w:w="2087" w:type="dxa"/>
            <w:vAlign w:val="center"/>
          </w:tcPr>
          <w:p>
            <w:pPr>
              <w:pStyle w:val="26"/>
              <w:rPr>
                <w:kern w:val="2"/>
                <w:szCs w:val="21"/>
                <w:lang w:val="en-US" w:eastAsia="zh-CN"/>
              </w:rPr>
            </w:pPr>
            <w:r>
              <w:rPr>
                <w:rFonts w:hint="eastAsia"/>
                <w:kern w:val="2"/>
                <w:szCs w:val="21"/>
                <w:lang w:val="en-US" w:eastAsia="zh-CN"/>
              </w:rPr>
              <w:t>0t/a</w:t>
            </w:r>
          </w:p>
        </w:tc>
        <w:tc>
          <w:tcPr>
            <w:tcW w:w="2278" w:type="dxa"/>
            <w:vAlign w:val="center"/>
          </w:tcPr>
          <w:p>
            <w:pPr>
              <w:pStyle w:val="26"/>
              <w:rPr>
                <w:kern w:val="2"/>
                <w:szCs w:val="21"/>
                <w:lang w:val="en-US" w:eastAsia="zh-CN"/>
              </w:rPr>
            </w:pPr>
            <w:r>
              <w:rPr>
                <w:rFonts w:hint="eastAsia"/>
                <w:kern w:val="2"/>
                <w:szCs w:val="21"/>
                <w:lang w:val="en-US" w:eastAsia="zh-CN"/>
              </w:rPr>
              <w:t>-8.4t/a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8" w:type="dxa"/>
            <w:vMerge w:val="restart"/>
            <w:vAlign w:val="center"/>
          </w:tcPr>
          <w:p>
            <w:pPr>
              <w:pStyle w:val="26"/>
              <w:rPr>
                <w:kern w:val="2"/>
                <w:szCs w:val="21"/>
                <w:lang w:val="en-US" w:eastAsia="zh-CN"/>
              </w:rPr>
            </w:pPr>
            <w:r>
              <w:rPr>
                <w:kern w:val="2"/>
                <w:szCs w:val="21"/>
                <w:lang w:val="en-US" w:eastAsia="zh-CN"/>
              </w:rPr>
              <w:t>3</w:t>
            </w:r>
          </w:p>
        </w:tc>
        <w:tc>
          <w:tcPr>
            <w:tcW w:w="982" w:type="dxa"/>
            <w:gridSpan w:val="2"/>
            <w:vMerge w:val="restart"/>
            <w:vAlign w:val="center"/>
          </w:tcPr>
          <w:p>
            <w:pPr>
              <w:pStyle w:val="26"/>
              <w:rPr>
                <w:kern w:val="2"/>
                <w:szCs w:val="21"/>
                <w:lang w:val="en-US" w:eastAsia="zh-CN"/>
              </w:rPr>
            </w:pPr>
            <w:r>
              <w:rPr>
                <w:rFonts w:hint="eastAsia"/>
                <w:kern w:val="2"/>
                <w:szCs w:val="21"/>
                <w:lang w:val="en-US" w:eastAsia="zh-CN"/>
              </w:rPr>
              <w:t>助剂</w:t>
            </w:r>
          </w:p>
        </w:tc>
        <w:tc>
          <w:tcPr>
            <w:tcW w:w="1842" w:type="dxa"/>
            <w:vAlign w:val="center"/>
          </w:tcPr>
          <w:p>
            <w:pPr>
              <w:pStyle w:val="26"/>
              <w:rPr>
                <w:kern w:val="2"/>
                <w:szCs w:val="21"/>
                <w:lang w:val="en-US" w:eastAsia="zh-CN"/>
              </w:rPr>
            </w:pPr>
            <w:r>
              <w:rPr>
                <w:rFonts w:hint="eastAsia"/>
                <w:kern w:val="2"/>
                <w:szCs w:val="21"/>
                <w:lang w:val="en-US" w:eastAsia="zh-CN"/>
              </w:rPr>
              <w:t>硫化碱</w:t>
            </w:r>
          </w:p>
        </w:tc>
        <w:tc>
          <w:tcPr>
            <w:tcW w:w="1803" w:type="dxa"/>
            <w:vAlign w:val="center"/>
          </w:tcPr>
          <w:p>
            <w:pPr>
              <w:pStyle w:val="26"/>
              <w:rPr>
                <w:kern w:val="2"/>
                <w:szCs w:val="21"/>
                <w:lang w:val="en-US" w:eastAsia="zh-CN"/>
              </w:rPr>
            </w:pPr>
            <w:r>
              <w:rPr>
                <w:rFonts w:hint="eastAsia"/>
                <w:kern w:val="2"/>
                <w:szCs w:val="21"/>
                <w:lang w:val="en-US" w:eastAsia="zh-CN"/>
              </w:rPr>
              <w:t>0t/a</w:t>
            </w:r>
          </w:p>
        </w:tc>
        <w:tc>
          <w:tcPr>
            <w:tcW w:w="2087" w:type="dxa"/>
            <w:vAlign w:val="center"/>
          </w:tcPr>
          <w:p>
            <w:pPr>
              <w:pStyle w:val="26"/>
              <w:rPr>
                <w:kern w:val="2"/>
                <w:szCs w:val="21"/>
                <w:lang w:val="en-US" w:eastAsia="zh-CN"/>
              </w:rPr>
            </w:pPr>
            <w:r>
              <w:rPr>
                <w:rFonts w:hint="eastAsia"/>
                <w:kern w:val="2"/>
                <w:szCs w:val="21"/>
                <w:lang w:val="en-US" w:eastAsia="zh-CN"/>
              </w:rPr>
              <w:t>80t/a</w:t>
            </w:r>
          </w:p>
        </w:tc>
        <w:tc>
          <w:tcPr>
            <w:tcW w:w="2278" w:type="dxa"/>
            <w:vAlign w:val="center"/>
          </w:tcPr>
          <w:p>
            <w:pPr>
              <w:pStyle w:val="26"/>
              <w:ind w:firstLine="0" w:firstLineChars="0"/>
              <w:rPr>
                <w:kern w:val="2"/>
                <w:szCs w:val="21"/>
                <w:lang w:val="en-US" w:eastAsia="zh-CN"/>
              </w:rPr>
            </w:pPr>
            <w:r>
              <w:rPr>
                <w:rFonts w:hint="eastAsia"/>
                <w:kern w:val="2"/>
                <w:szCs w:val="21"/>
                <w:lang w:val="en-US" w:eastAsia="zh-CN"/>
              </w:rPr>
              <w:t>+80t/a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rFonts w:hint="eastAsia"/>
                <w:kern w:val="2"/>
                <w:szCs w:val="21"/>
                <w:lang w:val="en-US" w:eastAsia="zh-CN"/>
              </w:rPr>
              <w:t>柔软剂</w:t>
            </w:r>
          </w:p>
        </w:tc>
        <w:tc>
          <w:tcPr>
            <w:tcW w:w="1803" w:type="dxa"/>
            <w:vAlign w:val="center"/>
          </w:tcPr>
          <w:p>
            <w:pPr>
              <w:pStyle w:val="26"/>
              <w:rPr>
                <w:kern w:val="2"/>
                <w:szCs w:val="21"/>
                <w:lang w:val="en-US" w:eastAsia="zh-CN"/>
              </w:rPr>
            </w:pPr>
            <w:r>
              <w:rPr>
                <w:rFonts w:hint="eastAsia"/>
                <w:kern w:val="2"/>
                <w:szCs w:val="21"/>
                <w:lang w:val="en-US" w:eastAsia="zh-CN"/>
              </w:rPr>
              <w:t>0t/a</w:t>
            </w:r>
          </w:p>
        </w:tc>
        <w:tc>
          <w:tcPr>
            <w:tcW w:w="2087" w:type="dxa"/>
            <w:vAlign w:val="center"/>
          </w:tcPr>
          <w:p>
            <w:pPr>
              <w:pStyle w:val="26"/>
              <w:rPr>
                <w:kern w:val="2"/>
                <w:szCs w:val="21"/>
                <w:lang w:val="en-US" w:eastAsia="zh-CN"/>
              </w:rPr>
            </w:pPr>
            <w:r>
              <w:rPr>
                <w:rFonts w:hint="eastAsia"/>
                <w:kern w:val="2"/>
                <w:szCs w:val="21"/>
                <w:lang w:val="en-US" w:eastAsia="zh-CN"/>
              </w:rPr>
              <w:t>6.4t/a</w:t>
            </w:r>
          </w:p>
        </w:tc>
        <w:tc>
          <w:tcPr>
            <w:tcW w:w="2278" w:type="dxa"/>
            <w:vAlign w:val="center"/>
          </w:tcPr>
          <w:p>
            <w:pPr>
              <w:pStyle w:val="26"/>
              <w:ind w:firstLine="0" w:firstLineChars="0"/>
              <w:rPr>
                <w:kern w:val="2"/>
                <w:szCs w:val="21"/>
                <w:lang w:val="en-US" w:eastAsia="zh-CN"/>
              </w:rPr>
            </w:pPr>
            <w:r>
              <w:rPr>
                <w:rFonts w:hint="eastAsia"/>
                <w:kern w:val="2"/>
                <w:szCs w:val="21"/>
                <w:lang w:val="en-US" w:eastAsia="zh-CN"/>
              </w:rPr>
              <w:t>+6.4t/a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rFonts w:hint="eastAsia"/>
                <w:kern w:val="2"/>
                <w:szCs w:val="21"/>
                <w:lang w:val="en-US" w:eastAsia="zh-CN"/>
              </w:rPr>
              <w:t>无醛固色剂</w:t>
            </w:r>
          </w:p>
        </w:tc>
        <w:tc>
          <w:tcPr>
            <w:tcW w:w="1803" w:type="dxa"/>
            <w:vAlign w:val="center"/>
          </w:tcPr>
          <w:p>
            <w:pPr>
              <w:pStyle w:val="26"/>
              <w:rPr>
                <w:kern w:val="2"/>
                <w:szCs w:val="21"/>
                <w:lang w:val="en-US" w:eastAsia="zh-CN"/>
              </w:rPr>
            </w:pPr>
            <w:r>
              <w:rPr>
                <w:rFonts w:hint="eastAsia"/>
                <w:kern w:val="2"/>
                <w:szCs w:val="21"/>
                <w:lang w:val="en-US" w:eastAsia="zh-CN"/>
              </w:rPr>
              <w:t>0t/a</w:t>
            </w:r>
          </w:p>
        </w:tc>
        <w:tc>
          <w:tcPr>
            <w:tcW w:w="2087" w:type="dxa"/>
            <w:vAlign w:val="center"/>
          </w:tcPr>
          <w:p>
            <w:pPr>
              <w:pStyle w:val="26"/>
              <w:rPr>
                <w:kern w:val="2"/>
                <w:szCs w:val="21"/>
                <w:lang w:val="en-US" w:eastAsia="zh-CN"/>
              </w:rPr>
            </w:pPr>
            <w:r>
              <w:rPr>
                <w:rFonts w:hint="eastAsia"/>
                <w:kern w:val="2"/>
                <w:szCs w:val="21"/>
                <w:lang w:val="en-US" w:eastAsia="zh-CN"/>
              </w:rPr>
              <w:t>6.4t/a</w:t>
            </w:r>
          </w:p>
        </w:tc>
        <w:tc>
          <w:tcPr>
            <w:tcW w:w="2278" w:type="dxa"/>
            <w:vAlign w:val="center"/>
          </w:tcPr>
          <w:p>
            <w:pPr>
              <w:pStyle w:val="26"/>
              <w:ind w:firstLine="0" w:firstLineChars="0"/>
              <w:rPr>
                <w:kern w:val="2"/>
                <w:szCs w:val="21"/>
                <w:lang w:val="en-US" w:eastAsia="zh-CN"/>
              </w:rPr>
            </w:pPr>
            <w:r>
              <w:rPr>
                <w:rFonts w:hint="eastAsia"/>
                <w:kern w:val="2"/>
                <w:szCs w:val="21"/>
                <w:lang w:val="en-US" w:eastAsia="zh-CN"/>
              </w:rPr>
              <w:t>+6.4t/a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rFonts w:hint="eastAsia"/>
                <w:kern w:val="2"/>
                <w:szCs w:val="21"/>
                <w:lang w:val="en-US" w:eastAsia="zh-CN"/>
              </w:rPr>
              <w:t>冰醋酸</w:t>
            </w:r>
          </w:p>
        </w:tc>
        <w:tc>
          <w:tcPr>
            <w:tcW w:w="1803" w:type="dxa"/>
            <w:vAlign w:val="center"/>
          </w:tcPr>
          <w:p>
            <w:pPr>
              <w:pStyle w:val="26"/>
              <w:rPr>
                <w:kern w:val="2"/>
                <w:szCs w:val="21"/>
                <w:lang w:val="en-US" w:eastAsia="zh-CN"/>
              </w:rPr>
            </w:pPr>
            <w:r>
              <w:rPr>
                <w:rFonts w:hint="eastAsia"/>
                <w:kern w:val="2"/>
                <w:szCs w:val="21"/>
                <w:lang w:val="en-US" w:eastAsia="zh-CN"/>
              </w:rPr>
              <w:t>0t/a</w:t>
            </w:r>
          </w:p>
        </w:tc>
        <w:tc>
          <w:tcPr>
            <w:tcW w:w="2087" w:type="dxa"/>
            <w:vAlign w:val="center"/>
          </w:tcPr>
          <w:p>
            <w:pPr>
              <w:pStyle w:val="26"/>
              <w:rPr>
                <w:kern w:val="2"/>
                <w:szCs w:val="21"/>
                <w:lang w:val="en-US" w:eastAsia="zh-CN"/>
              </w:rPr>
            </w:pPr>
            <w:r>
              <w:rPr>
                <w:rFonts w:hint="eastAsia"/>
                <w:kern w:val="2"/>
                <w:szCs w:val="21"/>
                <w:lang w:val="en-US" w:eastAsia="zh-CN"/>
              </w:rPr>
              <w:t>22.4t/a</w:t>
            </w:r>
          </w:p>
        </w:tc>
        <w:tc>
          <w:tcPr>
            <w:tcW w:w="2278" w:type="dxa"/>
            <w:vAlign w:val="center"/>
          </w:tcPr>
          <w:p>
            <w:pPr>
              <w:pStyle w:val="26"/>
              <w:ind w:firstLine="0" w:firstLineChars="0"/>
              <w:rPr>
                <w:kern w:val="2"/>
                <w:szCs w:val="21"/>
                <w:lang w:val="en-US" w:eastAsia="zh-CN"/>
              </w:rPr>
            </w:pPr>
            <w:r>
              <w:rPr>
                <w:rFonts w:hint="eastAsia"/>
                <w:kern w:val="2"/>
                <w:szCs w:val="21"/>
                <w:lang w:val="en-US" w:eastAsia="zh-CN"/>
              </w:rPr>
              <w:t>+22.4t/a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rFonts w:hint="eastAsia"/>
                <w:kern w:val="2"/>
                <w:szCs w:val="21"/>
                <w:lang w:val="en-US" w:eastAsia="zh-CN"/>
              </w:rPr>
              <w:t>盐</w:t>
            </w:r>
          </w:p>
        </w:tc>
        <w:tc>
          <w:tcPr>
            <w:tcW w:w="1803" w:type="dxa"/>
            <w:vAlign w:val="center"/>
          </w:tcPr>
          <w:p>
            <w:pPr>
              <w:pStyle w:val="26"/>
              <w:rPr>
                <w:kern w:val="2"/>
                <w:szCs w:val="21"/>
                <w:lang w:val="en-US" w:eastAsia="zh-CN"/>
              </w:rPr>
            </w:pPr>
            <w:r>
              <w:rPr>
                <w:rFonts w:hint="eastAsia"/>
                <w:kern w:val="2"/>
                <w:szCs w:val="21"/>
                <w:lang w:val="en-US" w:eastAsia="zh-CN"/>
              </w:rPr>
              <w:t>0t/a</w:t>
            </w:r>
          </w:p>
        </w:tc>
        <w:tc>
          <w:tcPr>
            <w:tcW w:w="2087" w:type="dxa"/>
            <w:vAlign w:val="center"/>
          </w:tcPr>
          <w:p>
            <w:pPr>
              <w:pStyle w:val="26"/>
              <w:rPr>
                <w:kern w:val="2"/>
                <w:szCs w:val="21"/>
                <w:lang w:val="en-US" w:eastAsia="zh-CN"/>
              </w:rPr>
            </w:pPr>
            <w:r>
              <w:rPr>
                <w:kern w:val="2"/>
                <w:szCs w:val="21"/>
                <w:lang w:val="en-US" w:eastAsia="zh-CN"/>
              </w:rPr>
              <w:t>260</w:t>
            </w:r>
            <w:r>
              <w:rPr>
                <w:rFonts w:hint="eastAsia"/>
                <w:kern w:val="2"/>
                <w:szCs w:val="21"/>
                <w:lang w:val="en-US" w:eastAsia="zh-CN"/>
              </w:rPr>
              <w:t>t/a</w:t>
            </w:r>
          </w:p>
        </w:tc>
        <w:tc>
          <w:tcPr>
            <w:tcW w:w="2278" w:type="dxa"/>
            <w:vAlign w:val="center"/>
          </w:tcPr>
          <w:p>
            <w:pPr>
              <w:pStyle w:val="26"/>
              <w:ind w:firstLine="0" w:firstLineChars="0"/>
              <w:rPr>
                <w:kern w:val="2"/>
                <w:szCs w:val="21"/>
                <w:lang w:val="en-US" w:eastAsia="zh-CN"/>
              </w:rPr>
            </w:pPr>
            <w:r>
              <w:rPr>
                <w:rFonts w:hint="eastAsia"/>
                <w:kern w:val="2"/>
                <w:szCs w:val="21"/>
                <w:lang w:val="en-US" w:eastAsia="zh-CN"/>
              </w:rPr>
              <w:t>+</w:t>
            </w:r>
            <w:r>
              <w:rPr>
                <w:kern w:val="2"/>
                <w:szCs w:val="21"/>
                <w:lang w:val="en-US" w:eastAsia="zh-CN"/>
              </w:rPr>
              <w:t>260</w:t>
            </w:r>
            <w:r>
              <w:rPr>
                <w:rFonts w:hint="eastAsia"/>
                <w:kern w:val="2"/>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rFonts w:hint="eastAsia"/>
                <w:kern w:val="2"/>
                <w:szCs w:val="21"/>
                <w:lang w:val="en-US" w:eastAsia="zh-CN"/>
              </w:rPr>
              <w:t>渗透剂</w:t>
            </w:r>
          </w:p>
        </w:tc>
        <w:tc>
          <w:tcPr>
            <w:tcW w:w="1803" w:type="dxa"/>
            <w:vAlign w:val="center"/>
          </w:tcPr>
          <w:p>
            <w:pPr>
              <w:pStyle w:val="26"/>
              <w:rPr>
                <w:kern w:val="2"/>
                <w:szCs w:val="21"/>
                <w:lang w:val="en-US" w:eastAsia="zh-CN"/>
              </w:rPr>
            </w:pPr>
            <w:r>
              <w:rPr>
                <w:rFonts w:hint="eastAsia"/>
                <w:kern w:val="2"/>
                <w:szCs w:val="21"/>
                <w:lang w:val="en-US" w:eastAsia="zh-CN"/>
              </w:rPr>
              <w:t>12t/a</w:t>
            </w:r>
          </w:p>
        </w:tc>
        <w:tc>
          <w:tcPr>
            <w:tcW w:w="2087" w:type="dxa"/>
            <w:vAlign w:val="center"/>
          </w:tcPr>
          <w:p>
            <w:pPr>
              <w:pStyle w:val="26"/>
              <w:rPr>
                <w:kern w:val="2"/>
                <w:szCs w:val="21"/>
                <w:lang w:val="en-US" w:eastAsia="zh-CN"/>
              </w:rPr>
            </w:pPr>
            <w:r>
              <w:rPr>
                <w:rFonts w:hint="eastAsia"/>
                <w:kern w:val="2"/>
                <w:szCs w:val="21"/>
                <w:lang w:val="en-US" w:eastAsia="zh-CN"/>
              </w:rPr>
              <w:t>6.4t/a</w:t>
            </w:r>
          </w:p>
        </w:tc>
        <w:tc>
          <w:tcPr>
            <w:tcW w:w="2278" w:type="dxa"/>
            <w:vAlign w:val="center"/>
          </w:tcPr>
          <w:p>
            <w:pPr>
              <w:pStyle w:val="26"/>
              <w:rPr>
                <w:kern w:val="2"/>
                <w:szCs w:val="21"/>
                <w:lang w:val="en-US" w:eastAsia="zh-CN"/>
              </w:rPr>
            </w:pPr>
            <w:r>
              <w:rPr>
                <w:rFonts w:hint="eastAsia"/>
                <w:kern w:val="2"/>
                <w:szCs w:val="21"/>
                <w:lang w:val="en-US" w:eastAsia="zh-CN"/>
              </w:rPr>
              <w:t>-5.6t/a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rFonts w:hint="eastAsia"/>
                <w:kern w:val="2"/>
                <w:szCs w:val="21"/>
                <w:lang w:val="en-US" w:eastAsia="zh-CN"/>
              </w:rPr>
              <w:t>尿素</w:t>
            </w:r>
          </w:p>
        </w:tc>
        <w:tc>
          <w:tcPr>
            <w:tcW w:w="1803" w:type="dxa"/>
            <w:vAlign w:val="center"/>
          </w:tcPr>
          <w:p>
            <w:pPr>
              <w:pStyle w:val="26"/>
              <w:rPr>
                <w:kern w:val="2"/>
                <w:szCs w:val="21"/>
                <w:lang w:val="en-US" w:eastAsia="zh-CN"/>
              </w:rPr>
            </w:pPr>
            <w:r>
              <w:rPr>
                <w:rFonts w:hint="eastAsia"/>
                <w:kern w:val="2"/>
                <w:szCs w:val="21"/>
                <w:lang w:val="en-US" w:eastAsia="zh-CN"/>
              </w:rPr>
              <w:t>1.2t/a</w:t>
            </w:r>
          </w:p>
        </w:tc>
        <w:tc>
          <w:tcPr>
            <w:tcW w:w="2087" w:type="dxa"/>
            <w:vAlign w:val="center"/>
          </w:tcPr>
          <w:p>
            <w:pPr>
              <w:pStyle w:val="26"/>
              <w:rPr>
                <w:kern w:val="2"/>
                <w:szCs w:val="21"/>
                <w:lang w:val="en-US" w:eastAsia="zh-CN"/>
              </w:rPr>
            </w:pPr>
            <w:r>
              <w:rPr>
                <w:rFonts w:hint="eastAsia"/>
                <w:kern w:val="2"/>
                <w:szCs w:val="21"/>
                <w:lang w:val="en-US" w:eastAsia="zh-CN"/>
              </w:rPr>
              <w:t>0t/a</w:t>
            </w:r>
          </w:p>
        </w:tc>
        <w:tc>
          <w:tcPr>
            <w:tcW w:w="2278" w:type="dxa"/>
            <w:vAlign w:val="center"/>
          </w:tcPr>
          <w:p>
            <w:pPr>
              <w:pStyle w:val="26"/>
              <w:rPr>
                <w:kern w:val="2"/>
                <w:szCs w:val="21"/>
                <w:lang w:val="en-US" w:eastAsia="zh-CN"/>
              </w:rPr>
            </w:pPr>
            <w:r>
              <w:rPr>
                <w:rFonts w:hint="eastAsia"/>
                <w:kern w:val="2"/>
                <w:szCs w:val="21"/>
                <w:lang w:val="en-US" w:eastAsia="zh-CN"/>
              </w:rPr>
              <w:t>-1.2t/a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rFonts w:hint="eastAsia"/>
                <w:kern w:val="2"/>
                <w:szCs w:val="21"/>
                <w:lang w:val="en-US" w:eastAsia="zh-CN"/>
              </w:rPr>
              <w:t>保险粉</w:t>
            </w:r>
          </w:p>
        </w:tc>
        <w:tc>
          <w:tcPr>
            <w:tcW w:w="1803" w:type="dxa"/>
            <w:vAlign w:val="center"/>
          </w:tcPr>
          <w:p>
            <w:pPr>
              <w:pStyle w:val="26"/>
              <w:rPr>
                <w:kern w:val="2"/>
                <w:szCs w:val="21"/>
                <w:lang w:val="en-US" w:eastAsia="zh-CN"/>
              </w:rPr>
            </w:pPr>
            <w:r>
              <w:rPr>
                <w:rFonts w:hint="eastAsia"/>
                <w:kern w:val="2"/>
                <w:szCs w:val="21"/>
                <w:lang w:val="en-US" w:eastAsia="zh-CN"/>
              </w:rPr>
              <w:t>15t/a</w:t>
            </w:r>
          </w:p>
        </w:tc>
        <w:tc>
          <w:tcPr>
            <w:tcW w:w="2087" w:type="dxa"/>
            <w:vAlign w:val="center"/>
          </w:tcPr>
          <w:p>
            <w:pPr>
              <w:pStyle w:val="26"/>
              <w:rPr>
                <w:kern w:val="2"/>
                <w:szCs w:val="21"/>
                <w:lang w:val="en-US" w:eastAsia="zh-CN"/>
              </w:rPr>
            </w:pPr>
            <w:r>
              <w:rPr>
                <w:rFonts w:hint="eastAsia"/>
                <w:kern w:val="2"/>
                <w:szCs w:val="21"/>
                <w:lang w:val="en-US" w:eastAsia="zh-CN"/>
              </w:rPr>
              <w:t>0t/a</w:t>
            </w:r>
          </w:p>
        </w:tc>
        <w:tc>
          <w:tcPr>
            <w:tcW w:w="2278" w:type="dxa"/>
            <w:vAlign w:val="center"/>
          </w:tcPr>
          <w:p>
            <w:pPr>
              <w:pStyle w:val="26"/>
              <w:rPr>
                <w:kern w:val="2"/>
                <w:szCs w:val="21"/>
                <w:lang w:val="en-US" w:eastAsia="zh-CN"/>
              </w:rPr>
            </w:pPr>
            <w:r>
              <w:rPr>
                <w:rFonts w:hint="eastAsia"/>
                <w:kern w:val="2"/>
                <w:szCs w:val="21"/>
                <w:lang w:val="en-US" w:eastAsia="zh-CN"/>
              </w:rPr>
              <w:t>-15t/a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rFonts w:hint="eastAsia"/>
                <w:kern w:val="2"/>
                <w:szCs w:val="21"/>
                <w:lang w:val="en-US" w:eastAsia="zh-CN"/>
              </w:rPr>
              <w:t>液碱</w:t>
            </w:r>
          </w:p>
        </w:tc>
        <w:tc>
          <w:tcPr>
            <w:tcW w:w="1803" w:type="dxa"/>
            <w:vAlign w:val="center"/>
          </w:tcPr>
          <w:p>
            <w:pPr>
              <w:pStyle w:val="26"/>
              <w:rPr>
                <w:kern w:val="2"/>
                <w:szCs w:val="21"/>
                <w:lang w:val="en-US" w:eastAsia="zh-CN"/>
              </w:rPr>
            </w:pPr>
            <w:r>
              <w:rPr>
                <w:rFonts w:hint="eastAsia"/>
                <w:kern w:val="2"/>
                <w:szCs w:val="21"/>
                <w:lang w:val="en-US" w:eastAsia="zh-CN"/>
              </w:rPr>
              <w:t>7.5t/a</w:t>
            </w:r>
          </w:p>
        </w:tc>
        <w:tc>
          <w:tcPr>
            <w:tcW w:w="2087" w:type="dxa"/>
            <w:vAlign w:val="center"/>
          </w:tcPr>
          <w:p>
            <w:pPr>
              <w:pStyle w:val="26"/>
              <w:rPr>
                <w:kern w:val="2"/>
                <w:szCs w:val="21"/>
                <w:lang w:val="en-US" w:eastAsia="zh-CN"/>
              </w:rPr>
            </w:pPr>
            <w:r>
              <w:rPr>
                <w:rFonts w:hint="eastAsia"/>
                <w:kern w:val="2"/>
                <w:szCs w:val="21"/>
                <w:lang w:val="en-US" w:eastAsia="zh-CN"/>
              </w:rPr>
              <w:t>0t/a</w:t>
            </w:r>
          </w:p>
        </w:tc>
        <w:tc>
          <w:tcPr>
            <w:tcW w:w="2278" w:type="dxa"/>
            <w:vAlign w:val="center"/>
          </w:tcPr>
          <w:p>
            <w:pPr>
              <w:pStyle w:val="26"/>
              <w:rPr>
                <w:kern w:val="2"/>
                <w:szCs w:val="21"/>
                <w:lang w:val="en-US" w:eastAsia="zh-CN"/>
              </w:rPr>
            </w:pPr>
            <w:r>
              <w:rPr>
                <w:rFonts w:hint="eastAsia"/>
                <w:kern w:val="2"/>
                <w:szCs w:val="21"/>
                <w:lang w:val="en-US" w:eastAsia="zh-CN"/>
              </w:rPr>
              <w:t>-7.5t/a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rFonts w:hint="eastAsia"/>
                <w:kern w:val="2"/>
                <w:szCs w:val="21"/>
                <w:lang w:val="en-US" w:eastAsia="zh-CN"/>
              </w:rPr>
              <w:t>消泡剂</w:t>
            </w:r>
          </w:p>
        </w:tc>
        <w:tc>
          <w:tcPr>
            <w:tcW w:w="1803" w:type="dxa"/>
            <w:vAlign w:val="center"/>
          </w:tcPr>
          <w:p>
            <w:pPr>
              <w:pStyle w:val="26"/>
              <w:rPr>
                <w:kern w:val="2"/>
                <w:szCs w:val="21"/>
                <w:lang w:val="en-US" w:eastAsia="zh-CN"/>
              </w:rPr>
            </w:pPr>
            <w:r>
              <w:rPr>
                <w:rFonts w:hint="eastAsia"/>
                <w:kern w:val="2"/>
                <w:szCs w:val="21"/>
                <w:lang w:val="en-US" w:eastAsia="zh-CN"/>
              </w:rPr>
              <w:t>1.2t/a</w:t>
            </w:r>
          </w:p>
        </w:tc>
        <w:tc>
          <w:tcPr>
            <w:tcW w:w="2087" w:type="dxa"/>
            <w:vAlign w:val="center"/>
          </w:tcPr>
          <w:p>
            <w:pPr>
              <w:pStyle w:val="26"/>
              <w:rPr>
                <w:kern w:val="2"/>
                <w:szCs w:val="21"/>
                <w:lang w:val="en-US" w:eastAsia="zh-CN"/>
              </w:rPr>
            </w:pPr>
            <w:r>
              <w:rPr>
                <w:rFonts w:hint="eastAsia"/>
                <w:kern w:val="2"/>
                <w:szCs w:val="21"/>
                <w:lang w:val="en-US" w:eastAsia="zh-CN"/>
              </w:rPr>
              <w:t>0t/a</w:t>
            </w:r>
          </w:p>
        </w:tc>
        <w:tc>
          <w:tcPr>
            <w:tcW w:w="2278" w:type="dxa"/>
            <w:vAlign w:val="center"/>
          </w:tcPr>
          <w:p>
            <w:pPr>
              <w:pStyle w:val="26"/>
              <w:rPr>
                <w:kern w:val="2"/>
                <w:szCs w:val="21"/>
                <w:lang w:val="en-US" w:eastAsia="zh-CN"/>
              </w:rPr>
            </w:pPr>
            <w:r>
              <w:rPr>
                <w:rFonts w:hint="eastAsia"/>
                <w:kern w:val="2"/>
                <w:szCs w:val="21"/>
                <w:lang w:val="en-US" w:eastAsia="zh-CN"/>
              </w:rPr>
              <w:t>-1.2t/a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18" w:type="dxa"/>
            <w:vMerge w:val="continue"/>
            <w:vAlign w:val="center"/>
          </w:tcPr>
          <w:p>
            <w:pPr>
              <w:pStyle w:val="26"/>
              <w:rPr>
                <w:kern w:val="2"/>
                <w:szCs w:val="21"/>
                <w:lang w:val="en-US" w:eastAsia="zh-CN"/>
              </w:rPr>
            </w:pPr>
          </w:p>
        </w:tc>
        <w:tc>
          <w:tcPr>
            <w:tcW w:w="982" w:type="dxa"/>
            <w:gridSpan w:val="2"/>
            <w:vMerge w:val="continue"/>
            <w:vAlign w:val="center"/>
          </w:tcPr>
          <w:p>
            <w:pPr>
              <w:pStyle w:val="26"/>
              <w:rPr>
                <w:kern w:val="2"/>
                <w:szCs w:val="21"/>
                <w:lang w:val="en-US" w:eastAsia="zh-CN"/>
              </w:rPr>
            </w:pPr>
          </w:p>
        </w:tc>
        <w:tc>
          <w:tcPr>
            <w:tcW w:w="1842" w:type="dxa"/>
            <w:vAlign w:val="center"/>
          </w:tcPr>
          <w:p>
            <w:pPr>
              <w:pStyle w:val="26"/>
              <w:rPr>
                <w:kern w:val="2"/>
                <w:szCs w:val="21"/>
                <w:lang w:val="en-US" w:eastAsia="zh-CN"/>
              </w:rPr>
            </w:pPr>
            <w:r>
              <w:rPr>
                <w:rFonts w:hint="eastAsia"/>
                <w:kern w:val="2"/>
                <w:szCs w:val="21"/>
                <w:lang w:val="en-US" w:eastAsia="zh-CN"/>
              </w:rPr>
              <w:t>皂洗剂</w:t>
            </w:r>
          </w:p>
        </w:tc>
        <w:tc>
          <w:tcPr>
            <w:tcW w:w="1803" w:type="dxa"/>
            <w:vAlign w:val="center"/>
          </w:tcPr>
          <w:p>
            <w:pPr>
              <w:pStyle w:val="26"/>
              <w:rPr>
                <w:kern w:val="2"/>
                <w:szCs w:val="21"/>
                <w:lang w:val="en-US" w:eastAsia="zh-CN"/>
              </w:rPr>
            </w:pPr>
            <w:r>
              <w:rPr>
                <w:rFonts w:hint="eastAsia"/>
                <w:kern w:val="2"/>
                <w:szCs w:val="21"/>
                <w:lang w:val="en-US" w:eastAsia="zh-CN"/>
              </w:rPr>
              <w:t>0t/a</w:t>
            </w:r>
          </w:p>
        </w:tc>
        <w:tc>
          <w:tcPr>
            <w:tcW w:w="2087" w:type="dxa"/>
            <w:vAlign w:val="center"/>
          </w:tcPr>
          <w:p>
            <w:pPr>
              <w:pStyle w:val="26"/>
              <w:ind w:firstLine="0" w:firstLineChars="0"/>
              <w:rPr>
                <w:kern w:val="2"/>
                <w:szCs w:val="21"/>
                <w:lang w:val="en-US" w:eastAsia="zh-CN"/>
              </w:rPr>
            </w:pPr>
            <w:r>
              <w:rPr>
                <w:rFonts w:hint="eastAsia"/>
                <w:kern w:val="2"/>
                <w:szCs w:val="21"/>
                <w:lang w:val="en-US" w:eastAsia="zh-CN"/>
              </w:rPr>
              <w:t>6.4t/a</w:t>
            </w:r>
          </w:p>
        </w:tc>
        <w:tc>
          <w:tcPr>
            <w:tcW w:w="2278" w:type="dxa"/>
            <w:vAlign w:val="center"/>
          </w:tcPr>
          <w:p>
            <w:pPr>
              <w:pStyle w:val="26"/>
              <w:ind w:firstLine="0" w:firstLineChars="0"/>
              <w:rPr>
                <w:kern w:val="2"/>
                <w:szCs w:val="21"/>
                <w:lang w:val="en-US" w:eastAsia="zh-CN"/>
              </w:rPr>
            </w:pPr>
            <w:r>
              <w:rPr>
                <w:rFonts w:hint="eastAsia"/>
                <w:kern w:val="2"/>
                <w:szCs w:val="21"/>
                <w:lang w:val="en-US" w:eastAsia="zh-CN"/>
              </w:rPr>
              <w:t>+6.4t/a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18" w:type="dxa"/>
            <w:vAlign w:val="center"/>
          </w:tcPr>
          <w:p>
            <w:pPr>
              <w:pStyle w:val="26"/>
              <w:rPr>
                <w:kern w:val="2"/>
                <w:szCs w:val="21"/>
                <w:lang w:val="en-US" w:eastAsia="zh-CN"/>
              </w:rPr>
            </w:pPr>
            <w:r>
              <w:rPr>
                <w:kern w:val="2"/>
                <w:szCs w:val="21"/>
                <w:lang w:val="en-US" w:eastAsia="zh-CN"/>
              </w:rPr>
              <w:t>3</w:t>
            </w:r>
          </w:p>
        </w:tc>
        <w:tc>
          <w:tcPr>
            <w:tcW w:w="2824" w:type="dxa"/>
            <w:gridSpan w:val="3"/>
            <w:vAlign w:val="center"/>
          </w:tcPr>
          <w:p>
            <w:pPr>
              <w:pStyle w:val="26"/>
              <w:rPr>
                <w:kern w:val="2"/>
                <w:szCs w:val="21"/>
                <w:lang w:val="en-US" w:eastAsia="zh-CN"/>
              </w:rPr>
            </w:pPr>
            <w:r>
              <w:rPr>
                <w:rFonts w:hint="eastAsia"/>
                <w:kern w:val="2"/>
                <w:szCs w:val="21"/>
                <w:lang w:val="en-US" w:eastAsia="zh-CN"/>
              </w:rPr>
              <w:t>生物质</w:t>
            </w:r>
          </w:p>
        </w:tc>
        <w:tc>
          <w:tcPr>
            <w:tcW w:w="1803" w:type="dxa"/>
            <w:vAlign w:val="center"/>
          </w:tcPr>
          <w:p>
            <w:pPr>
              <w:pStyle w:val="26"/>
              <w:rPr>
                <w:kern w:val="2"/>
                <w:szCs w:val="21"/>
                <w:lang w:val="en-US" w:eastAsia="zh-CN"/>
              </w:rPr>
            </w:pPr>
            <w:r>
              <w:rPr>
                <w:rFonts w:hint="eastAsia"/>
                <w:kern w:val="2"/>
                <w:szCs w:val="21"/>
                <w:lang w:val="en-US" w:eastAsia="zh-CN"/>
              </w:rPr>
              <w:t>0t/a</w:t>
            </w:r>
          </w:p>
        </w:tc>
        <w:tc>
          <w:tcPr>
            <w:tcW w:w="2087" w:type="dxa"/>
            <w:vAlign w:val="center"/>
          </w:tcPr>
          <w:p>
            <w:pPr>
              <w:pStyle w:val="26"/>
              <w:rPr>
                <w:kern w:val="2"/>
                <w:szCs w:val="21"/>
                <w:lang w:val="en-US" w:eastAsia="zh-CN"/>
              </w:rPr>
            </w:pPr>
            <w:r>
              <w:rPr>
                <w:kern w:val="2"/>
                <w:szCs w:val="21"/>
                <w:lang w:val="en-US" w:eastAsia="zh-CN"/>
              </w:rPr>
              <w:t>2200</w:t>
            </w:r>
            <w:r>
              <w:rPr>
                <w:rFonts w:hint="eastAsia"/>
                <w:kern w:val="2"/>
                <w:szCs w:val="21"/>
                <w:lang w:val="en-US" w:eastAsia="zh-CN"/>
              </w:rPr>
              <w:t>t/a</w:t>
            </w:r>
          </w:p>
        </w:tc>
        <w:tc>
          <w:tcPr>
            <w:tcW w:w="2278" w:type="dxa"/>
            <w:vAlign w:val="center"/>
          </w:tcPr>
          <w:p>
            <w:pPr>
              <w:pStyle w:val="26"/>
              <w:rPr>
                <w:kern w:val="2"/>
                <w:szCs w:val="21"/>
                <w:lang w:val="en-US" w:eastAsia="zh-CN"/>
              </w:rPr>
            </w:pPr>
            <w:r>
              <w:rPr>
                <w:rFonts w:hint="eastAsia"/>
                <w:kern w:val="2"/>
                <w:szCs w:val="21"/>
                <w:lang w:val="en-US" w:eastAsia="zh-CN"/>
              </w:rPr>
              <w:t>+2200t/a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18" w:type="dxa"/>
            <w:vAlign w:val="center"/>
          </w:tcPr>
          <w:p>
            <w:pPr>
              <w:pStyle w:val="26"/>
              <w:rPr>
                <w:kern w:val="2"/>
                <w:szCs w:val="21"/>
                <w:lang w:val="en-US" w:eastAsia="zh-CN"/>
              </w:rPr>
            </w:pPr>
            <w:r>
              <w:rPr>
                <w:kern w:val="2"/>
                <w:szCs w:val="21"/>
                <w:lang w:val="en-US" w:eastAsia="zh-CN"/>
              </w:rPr>
              <w:t>4</w:t>
            </w:r>
          </w:p>
        </w:tc>
        <w:tc>
          <w:tcPr>
            <w:tcW w:w="2824" w:type="dxa"/>
            <w:gridSpan w:val="3"/>
            <w:vAlign w:val="center"/>
          </w:tcPr>
          <w:p>
            <w:pPr>
              <w:pStyle w:val="26"/>
              <w:rPr>
                <w:kern w:val="2"/>
                <w:szCs w:val="21"/>
                <w:lang w:val="en-US" w:eastAsia="zh-CN"/>
              </w:rPr>
            </w:pPr>
            <w:r>
              <w:rPr>
                <w:rFonts w:hint="eastAsia"/>
                <w:kern w:val="2"/>
                <w:szCs w:val="21"/>
                <w:lang w:val="en-US" w:eastAsia="zh-CN"/>
              </w:rPr>
              <w:t>煤</w:t>
            </w:r>
          </w:p>
        </w:tc>
        <w:tc>
          <w:tcPr>
            <w:tcW w:w="1803" w:type="dxa"/>
            <w:vAlign w:val="center"/>
          </w:tcPr>
          <w:p>
            <w:pPr>
              <w:pStyle w:val="26"/>
              <w:rPr>
                <w:kern w:val="2"/>
                <w:szCs w:val="21"/>
                <w:lang w:val="en-US" w:eastAsia="zh-CN"/>
              </w:rPr>
            </w:pPr>
            <w:r>
              <w:rPr>
                <w:rFonts w:hint="eastAsia"/>
                <w:kern w:val="2"/>
                <w:szCs w:val="21"/>
                <w:lang w:val="en-US" w:eastAsia="zh-CN"/>
              </w:rPr>
              <w:t>800t/a</w:t>
            </w:r>
          </w:p>
        </w:tc>
        <w:tc>
          <w:tcPr>
            <w:tcW w:w="2087" w:type="dxa"/>
            <w:vAlign w:val="center"/>
          </w:tcPr>
          <w:p>
            <w:pPr>
              <w:pStyle w:val="26"/>
              <w:rPr>
                <w:kern w:val="2"/>
                <w:szCs w:val="21"/>
                <w:lang w:val="en-US" w:eastAsia="zh-CN"/>
              </w:rPr>
            </w:pPr>
            <w:r>
              <w:rPr>
                <w:rFonts w:hint="eastAsia"/>
                <w:kern w:val="2"/>
                <w:szCs w:val="21"/>
                <w:lang w:val="en-US" w:eastAsia="zh-CN"/>
              </w:rPr>
              <w:t>0t/a</w:t>
            </w:r>
          </w:p>
        </w:tc>
        <w:tc>
          <w:tcPr>
            <w:tcW w:w="2278" w:type="dxa"/>
            <w:vAlign w:val="center"/>
          </w:tcPr>
          <w:p>
            <w:pPr>
              <w:pStyle w:val="26"/>
              <w:rPr>
                <w:kern w:val="2"/>
                <w:szCs w:val="21"/>
                <w:lang w:val="en-US" w:eastAsia="zh-CN"/>
              </w:rPr>
            </w:pPr>
            <w:r>
              <w:rPr>
                <w:rFonts w:hint="eastAsia"/>
                <w:kern w:val="2"/>
                <w:szCs w:val="21"/>
                <w:lang w:val="en-US" w:eastAsia="zh-CN"/>
              </w:rPr>
              <w:t>-800t/a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18" w:type="dxa"/>
            <w:vAlign w:val="center"/>
          </w:tcPr>
          <w:p>
            <w:pPr>
              <w:pStyle w:val="26"/>
              <w:rPr>
                <w:kern w:val="2"/>
                <w:szCs w:val="21"/>
                <w:lang w:val="en-US" w:eastAsia="zh-CN"/>
              </w:rPr>
            </w:pPr>
            <w:r>
              <w:rPr>
                <w:kern w:val="2"/>
                <w:szCs w:val="21"/>
                <w:lang w:val="en-US" w:eastAsia="zh-CN"/>
              </w:rPr>
              <w:t>5</w:t>
            </w:r>
          </w:p>
        </w:tc>
        <w:tc>
          <w:tcPr>
            <w:tcW w:w="2824" w:type="dxa"/>
            <w:gridSpan w:val="3"/>
            <w:vAlign w:val="center"/>
          </w:tcPr>
          <w:p>
            <w:pPr>
              <w:pStyle w:val="26"/>
              <w:rPr>
                <w:kern w:val="2"/>
                <w:szCs w:val="21"/>
                <w:lang w:val="en-US" w:eastAsia="zh-CN"/>
              </w:rPr>
            </w:pPr>
            <w:r>
              <w:rPr>
                <w:rFonts w:hint="eastAsia"/>
                <w:kern w:val="2"/>
                <w:szCs w:val="21"/>
                <w:lang w:val="en-US" w:eastAsia="zh-CN"/>
              </w:rPr>
              <w:t>导热油（补充量）</w:t>
            </w:r>
          </w:p>
        </w:tc>
        <w:tc>
          <w:tcPr>
            <w:tcW w:w="1803" w:type="dxa"/>
            <w:vAlign w:val="center"/>
          </w:tcPr>
          <w:p>
            <w:pPr>
              <w:pStyle w:val="26"/>
              <w:rPr>
                <w:kern w:val="2"/>
                <w:szCs w:val="21"/>
                <w:lang w:val="en-US" w:eastAsia="zh-CN"/>
              </w:rPr>
            </w:pPr>
            <w:r>
              <w:rPr>
                <w:rFonts w:hint="eastAsia"/>
                <w:kern w:val="2"/>
                <w:szCs w:val="21"/>
                <w:lang w:val="en-US" w:eastAsia="zh-CN"/>
              </w:rPr>
              <w:t>4t/a</w:t>
            </w:r>
          </w:p>
        </w:tc>
        <w:tc>
          <w:tcPr>
            <w:tcW w:w="2087" w:type="dxa"/>
            <w:vAlign w:val="center"/>
          </w:tcPr>
          <w:p>
            <w:pPr>
              <w:pStyle w:val="26"/>
              <w:rPr>
                <w:kern w:val="2"/>
                <w:szCs w:val="21"/>
                <w:lang w:val="en-US" w:eastAsia="zh-CN"/>
              </w:rPr>
            </w:pPr>
            <w:r>
              <w:rPr>
                <w:kern w:val="2"/>
                <w:szCs w:val="21"/>
                <w:lang w:val="en-US" w:eastAsia="zh-CN"/>
              </w:rPr>
              <w:t>4</w:t>
            </w:r>
            <w:r>
              <w:rPr>
                <w:rFonts w:hint="eastAsia"/>
                <w:kern w:val="2"/>
                <w:szCs w:val="21"/>
                <w:lang w:val="en-US" w:eastAsia="zh-CN"/>
              </w:rPr>
              <w:t>t/a</w:t>
            </w:r>
          </w:p>
        </w:tc>
        <w:tc>
          <w:tcPr>
            <w:tcW w:w="2278" w:type="dxa"/>
            <w:vAlign w:val="center"/>
          </w:tcPr>
          <w:p>
            <w:pPr>
              <w:pStyle w:val="26"/>
              <w:rPr>
                <w:kern w:val="2"/>
                <w:szCs w:val="21"/>
                <w:lang w:val="en-US" w:eastAsia="zh-CN"/>
              </w:rPr>
            </w:pPr>
            <w:r>
              <w:rPr>
                <w:rFonts w:hint="eastAsia"/>
                <w:kern w:val="2"/>
                <w:szCs w:val="21"/>
                <w:lang w:val="en-US" w:eastAsia="zh-CN"/>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18" w:type="dxa"/>
            <w:vAlign w:val="center"/>
          </w:tcPr>
          <w:p>
            <w:pPr>
              <w:pStyle w:val="26"/>
              <w:rPr>
                <w:kern w:val="2"/>
                <w:szCs w:val="21"/>
                <w:lang w:val="en-US" w:eastAsia="zh-CN"/>
              </w:rPr>
            </w:pPr>
          </w:p>
        </w:tc>
        <w:tc>
          <w:tcPr>
            <w:tcW w:w="2824" w:type="dxa"/>
            <w:gridSpan w:val="3"/>
            <w:vAlign w:val="center"/>
          </w:tcPr>
          <w:p>
            <w:pPr>
              <w:pStyle w:val="26"/>
              <w:rPr>
                <w:kern w:val="2"/>
                <w:szCs w:val="21"/>
                <w:lang w:val="en-US" w:eastAsia="zh-CN"/>
              </w:rPr>
            </w:pPr>
            <w:r>
              <w:rPr>
                <w:rFonts w:hint="eastAsia"/>
                <w:kern w:val="2"/>
                <w:szCs w:val="21"/>
                <w:lang w:val="en-US" w:eastAsia="zh-CN"/>
              </w:rPr>
              <w:t>蒸汽</w:t>
            </w:r>
          </w:p>
        </w:tc>
        <w:tc>
          <w:tcPr>
            <w:tcW w:w="1803" w:type="dxa"/>
            <w:vAlign w:val="center"/>
          </w:tcPr>
          <w:p>
            <w:pPr>
              <w:pStyle w:val="26"/>
              <w:rPr>
                <w:kern w:val="2"/>
                <w:szCs w:val="21"/>
                <w:lang w:val="en-US" w:eastAsia="zh-CN"/>
              </w:rPr>
            </w:pPr>
            <w:r>
              <w:rPr>
                <w:rFonts w:hint="eastAsia"/>
                <w:kern w:val="2"/>
                <w:szCs w:val="21"/>
                <w:lang w:val="en-US" w:eastAsia="zh-CN"/>
              </w:rPr>
              <w:t>3.12万t/a</w:t>
            </w:r>
          </w:p>
        </w:tc>
        <w:tc>
          <w:tcPr>
            <w:tcW w:w="2087" w:type="dxa"/>
            <w:vAlign w:val="center"/>
          </w:tcPr>
          <w:p>
            <w:pPr>
              <w:pStyle w:val="26"/>
              <w:rPr>
                <w:kern w:val="2"/>
                <w:szCs w:val="21"/>
                <w:lang w:val="en-US" w:eastAsia="zh-CN"/>
              </w:rPr>
            </w:pPr>
            <w:r>
              <w:rPr>
                <w:rFonts w:hint="eastAsia"/>
                <w:kern w:val="2"/>
                <w:szCs w:val="21"/>
                <w:lang w:val="en-US" w:eastAsia="zh-CN"/>
              </w:rPr>
              <w:t>3.12万t/a</w:t>
            </w:r>
          </w:p>
        </w:tc>
        <w:tc>
          <w:tcPr>
            <w:tcW w:w="2278" w:type="dxa"/>
            <w:vAlign w:val="center"/>
          </w:tcPr>
          <w:p>
            <w:pPr>
              <w:pStyle w:val="26"/>
              <w:rPr>
                <w:kern w:val="2"/>
                <w:szCs w:val="21"/>
                <w:lang w:val="en-US" w:eastAsia="zh-CN"/>
              </w:rPr>
            </w:pPr>
            <w:r>
              <w:rPr>
                <w:rFonts w:hint="eastAsia"/>
                <w:kern w:val="2"/>
                <w:szCs w:val="21"/>
                <w:lang w:val="en-US" w:eastAsia="zh-CN"/>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9810" w:type="dxa"/>
            <w:gridSpan w:val="7"/>
            <w:vAlign w:val="center"/>
          </w:tcPr>
          <w:p>
            <w:pPr>
              <w:pStyle w:val="26"/>
              <w:rPr>
                <w:kern w:val="2"/>
                <w:szCs w:val="21"/>
                <w:lang w:val="en-US" w:eastAsia="zh-CN"/>
              </w:rPr>
            </w:pPr>
            <w:r>
              <w:rPr>
                <w:rFonts w:hint="eastAsia"/>
                <w:kern w:val="2"/>
                <w:szCs w:val="21"/>
                <w:lang w:val="en-US" w:eastAsia="zh-CN"/>
              </w:rPr>
              <w:t>二、纺纱车间主要原辅材料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818" w:type="dxa"/>
            <w:vAlign w:val="center"/>
          </w:tcPr>
          <w:p>
            <w:pPr>
              <w:pStyle w:val="26"/>
              <w:rPr>
                <w:kern w:val="2"/>
                <w:szCs w:val="21"/>
                <w:lang w:val="en-US" w:eastAsia="zh-CN"/>
              </w:rPr>
            </w:pPr>
            <w:r>
              <w:rPr>
                <w:kern w:val="2"/>
                <w:szCs w:val="21"/>
                <w:lang w:val="en-US" w:eastAsia="zh-CN"/>
              </w:rPr>
              <w:t>1</w:t>
            </w:r>
          </w:p>
        </w:tc>
        <w:tc>
          <w:tcPr>
            <w:tcW w:w="2824" w:type="dxa"/>
            <w:gridSpan w:val="3"/>
            <w:vAlign w:val="center"/>
          </w:tcPr>
          <w:p>
            <w:pPr>
              <w:pStyle w:val="26"/>
              <w:rPr>
                <w:kern w:val="2"/>
                <w:szCs w:val="21"/>
                <w:lang w:val="en-US" w:eastAsia="zh-CN"/>
              </w:rPr>
            </w:pPr>
            <w:r>
              <w:rPr>
                <w:rFonts w:hint="eastAsia"/>
                <w:kern w:val="2"/>
                <w:szCs w:val="21"/>
                <w:lang w:val="en-US" w:eastAsia="zh-CN"/>
              </w:rPr>
              <w:t>涤纶短纤</w:t>
            </w:r>
          </w:p>
        </w:tc>
        <w:tc>
          <w:tcPr>
            <w:tcW w:w="1803" w:type="dxa"/>
            <w:vAlign w:val="center"/>
          </w:tcPr>
          <w:p>
            <w:pPr>
              <w:pStyle w:val="26"/>
              <w:rPr>
                <w:kern w:val="2"/>
                <w:szCs w:val="21"/>
                <w:lang w:val="en-US" w:eastAsia="zh-CN"/>
              </w:rPr>
            </w:pPr>
            <w:r>
              <w:rPr>
                <w:rFonts w:hint="eastAsia"/>
                <w:kern w:val="2"/>
                <w:szCs w:val="21"/>
                <w:lang w:val="en-US" w:eastAsia="zh-CN"/>
              </w:rPr>
              <w:t>303t/a</w:t>
            </w:r>
          </w:p>
        </w:tc>
        <w:tc>
          <w:tcPr>
            <w:tcW w:w="2087" w:type="dxa"/>
            <w:vAlign w:val="center"/>
          </w:tcPr>
          <w:p>
            <w:pPr>
              <w:pStyle w:val="26"/>
              <w:rPr>
                <w:kern w:val="2"/>
                <w:szCs w:val="21"/>
                <w:lang w:val="en-US" w:eastAsia="zh-CN"/>
              </w:rPr>
            </w:pPr>
            <w:r>
              <w:rPr>
                <w:rFonts w:hint="eastAsia"/>
                <w:kern w:val="2"/>
                <w:szCs w:val="21"/>
                <w:lang w:val="en-US" w:eastAsia="zh-CN"/>
              </w:rPr>
              <w:t>303t/a</w:t>
            </w:r>
          </w:p>
        </w:tc>
        <w:tc>
          <w:tcPr>
            <w:tcW w:w="2278" w:type="dxa"/>
            <w:vAlign w:val="center"/>
          </w:tcPr>
          <w:p>
            <w:pPr>
              <w:pStyle w:val="26"/>
              <w:rPr>
                <w:kern w:val="2"/>
                <w:szCs w:val="21"/>
                <w:lang w:val="en-US" w:eastAsia="zh-CN"/>
              </w:rPr>
            </w:pPr>
            <w:r>
              <w:rPr>
                <w:rFonts w:hint="eastAsia"/>
                <w:kern w:val="2"/>
                <w:szCs w:val="21"/>
                <w:lang w:val="en-US" w:eastAsia="zh-CN"/>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9810" w:type="dxa"/>
            <w:gridSpan w:val="7"/>
            <w:vAlign w:val="center"/>
          </w:tcPr>
          <w:p>
            <w:pPr>
              <w:pStyle w:val="26"/>
              <w:rPr>
                <w:kern w:val="2"/>
                <w:szCs w:val="21"/>
                <w:lang w:val="en-US" w:eastAsia="zh-CN"/>
              </w:rPr>
            </w:pPr>
            <w:r>
              <w:rPr>
                <w:rFonts w:hint="eastAsia"/>
                <w:kern w:val="2"/>
                <w:szCs w:val="21"/>
                <w:lang w:val="en-US" w:eastAsia="zh-CN"/>
              </w:rPr>
              <w:t>三、织布车间主要原辅材料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1372" w:type="dxa"/>
            <w:gridSpan w:val="2"/>
            <w:vAlign w:val="center"/>
          </w:tcPr>
          <w:p>
            <w:pPr>
              <w:pStyle w:val="26"/>
              <w:rPr>
                <w:kern w:val="2"/>
                <w:szCs w:val="21"/>
                <w:lang w:val="en-US" w:eastAsia="zh-CN"/>
              </w:rPr>
            </w:pPr>
            <w:r>
              <w:rPr>
                <w:rFonts w:hint="eastAsia"/>
                <w:kern w:val="2"/>
                <w:szCs w:val="21"/>
                <w:lang w:val="en-US" w:eastAsia="zh-CN"/>
              </w:rPr>
              <w:t>1</w:t>
            </w:r>
          </w:p>
        </w:tc>
        <w:tc>
          <w:tcPr>
            <w:tcW w:w="2270" w:type="dxa"/>
            <w:gridSpan w:val="2"/>
            <w:vAlign w:val="center"/>
          </w:tcPr>
          <w:p>
            <w:pPr>
              <w:pStyle w:val="26"/>
              <w:rPr>
                <w:kern w:val="2"/>
                <w:szCs w:val="21"/>
                <w:lang w:val="en-US" w:eastAsia="zh-CN"/>
              </w:rPr>
            </w:pPr>
            <w:r>
              <w:rPr>
                <w:rFonts w:hint="eastAsia"/>
                <w:kern w:val="2"/>
                <w:szCs w:val="21"/>
                <w:lang w:val="en-US" w:eastAsia="zh-CN"/>
              </w:rPr>
              <w:t>棉线</w:t>
            </w:r>
          </w:p>
        </w:tc>
        <w:tc>
          <w:tcPr>
            <w:tcW w:w="1803" w:type="dxa"/>
            <w:vAlign w:val="center"/>
          </w:tcPr>
          <w:p>
            <w:pPr>
              <w:pStyle w:val="26"/>
              <w:rPr>
                <w:kern w:val="2"/>
                <w:szCs w:val="21"/>
                <w:lang w:val="en-US" w:eastAsia="zh-CN"/>
              </w:rPr>
            </w:pPr>
            <w:r>
              <w:rPr>
                <w:rFonts w:hint="eastAsia"/>
                <w:kern w:val="2"/>
                <w:szCs w:val="21"/>
                <w:lang w:val="en-US" w:eastAsia="zh-CN"/>
              </w:rPr>
              <w:t>1818t/a</w:t>
            </w:r>
          </w:p>
        </w:tc>
        <w:tc>
          <w:tcPr>
            <w:tcW w:w="2087" w:type="dxa"/>
            <w:vAlign w:val="center"/>
          </w:tcPr>
          <w:p>
            <w:pPr>
              <w:pStyle w:val="26"/>
              <w:rPr>
                <w:kern w:val="2"/>
                <w:szCs w:val="21"/>
                <w:lang w:val="en-US" w:eastAsia="zh-CN"/>
              </w:rPr>
            </w:pPr>
            <w:r>
              <w:rPr>
                <w:rFonts w:hint="eastAsia"/>
                <w:kern w:val="2"/>
                <w:szCs w:val="21"/>
                <w:lang w:val="en-US" w:eastAsia="zh-CN"/>
              </w:rPr>
              <w:t>0t/a</w:t>
            </w:r>
          </w:p>
        </w:tc>
        <w:tc>
          <w:tcPr>
            <w:tcW w:w="2278" w:type="dxa"/>
            <w:vAlign w:val="center"/>
          </w:tcPr>
          <w:p>
            <w:pPr>
              <w:pStyle w:val="26"/>
              <w:rPr>
                <w:kern w:val="2"/>
                <w:szCs w:val="21"/>
                <w:lang w:val="en-US" w:eastAsia="zh-CN"/>
              </w:rPr>
            </w:pPr>
            <w:r>
              <w:rPr>
                <w:rFonts w:hint="eastAsia"/>
                <w:kern w:val="2"/>
                <w:szCs w:val="21"/>
                <w:lang w:val="en-US" w:eastAsia="zh-CN"/>
              </w:rPr>
              <w:t>-1818t/a</w:t>
            </w:r>
          </w:p>
        </w:tc>
      </w:tr>
    </w:tbl>
    <w:p>
      <w:pPr>
        <w:ind w:firstLine="480"/>
      </w:pPr>
    </w:p>
    <w:p>
      <w:pPr>
        <w:pStyle w:val="4"/>
      </w:pPr>
      <w:r>
        <w:rPr>
          <w:rFonts w:hint="eastAsia"/>
        </w:rPr>
        <w:t>技改后主要生产设备</w:t>
      </w:r>
    </w:p>
    <w:p>
      <w:pPr>
        <w:ind w:firstLine="480"/>
        <w:rPr>
          <w:u w:val="single"/>
        </w:rPr>
      </w:pPr>
      <w:r>
        <w:rPr>
          <w:rFonts w:hint="eastAsia"/>
          <w:u w:val="single"/>
        </w:rPr>
        <w:t>由于现有工程生产设备比较老旧，属于《产业结构调整指导目录（</w:t>
      </w:r>
      <w:r>
        <w:rPr>
          <w:u w:val="single"/>
        </w:rPr>
        <w:t>2011</w:t>
      </w:r>
      <w:r>
        <w:rPr>
          <w:rFonts w:hint="eastAsia"/>
          <w:u w:val="single"/>
        </w:rPr>
        <w:t>年本）》中淘汰设备，技改过程将印染工艺原有生产设备均淘汰，作</w:t>
      </w:r>
      <w:r>
        <w:rPr>
          <w:rFonts w:hint="eastAsia"/>
          <w:color w:val="auto"/>
          <w:u w:val="single"/>
        </w:rPr>
        <w:t>为废钢铁外售给</w:t>
      </w:r>
      <w:r>
        <w:rPr>
          <w:rFonts w:hint="eastAsia"/>
          <w:color w:val="auto"/>
          <w:u w:val="single"/>
          <w:lang w:eastAsia="zh-CN"/>
        </w:rPr>
        <w:t>武汉钢铁集团</w:t>
      </w:r>
      <w:r>
        <w:rPr>
          <w:rFonts w:hint="eastAsia"/>
          <w:color w:val="auto"/>
          <w:u w:val="single"/>
        </w:rPr>
        <w:t>，</w:t>
      </w:r>
      <w:r>
        <w:rPr>
          <w:rFonts w:hint="eastAsia"/>
          <w:u w:val="single"/>
        </w:rPr>
        <w:t>技改后采用新购置生产设备；纺织车间生产设备利旧，不发生变化。技改后主要生产设备见表4.1</w:t>
      </w:r>
      <w:r>
        <w:rPr>
          <w:u w:val="single"/>
        </w:rPr>
        <w:t>-</w:t>
      </w:r>
      <w:r>
        <w:rPr>
          <w:rFonts w:hint="eastAsia"/>
          <w:u w:val="single"/>
        </w:rPr>
        <w:t>7，技改前后设备变化情况见表4.1-8。</w:t>
      </w:r>
    </w:p>
    <w:p>
      <w:pPr>
        <w:pStyle w:val="26"/>
        <w:rPr>
          <w:b/>
          <w:bCs/>
          <w:u w:val="single"/>
        </w:rPr>
      </w:pPr>
      <w:r>
        <w:rPr>
          <w:rFonts w:hint="eastAsia"/>
          <w:b/>
          <w:bCs/>
          <w:u w:val="single"/>
        </w:rPr>
        <w:t>表4.1-7 技改后主要生产设备一览表</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3393"/>
        <w:gridCol w:w="1613"/>
        <w:gridCol w:w="37"/>
        <w:gridCol w:w="1110"/>
        <w:gridCol w:w="15"/>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blHeader/>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设备名称</w:t>
            </w:r>
          </w:p>
        </w:tc>
        <w:tc>
          <w:tcPr>
            <w:tcW w:w="3393" w:type="dxa"/>
            <w:vAlign w:val="center"/>
          </w:tcPr>
          <w:p>
            <w:pPr>
              <w:pStyle w:val="26"/>
              <w:rPr>
                <w:kern w:val="2"/>
                <w:szCs w:val="21"/>
                <w:u w:val="single"/>
                <w:lang w:val="en-US" w:eastAsia="zh-CN"/>
              </w:rPr>
            </w:pPr>
            <w:r>
              <w:rPr>
                <w:rFonts w:hint="eastAsia"/>
                <w:kern w:val="2"/>
                <w:szCs w:val="21"/>
                <w:u w:val="single"/>
                <w:lang w:val="en-US" w:eastAsia="zh-CN"/>
              </w:rPr>
              <w:t>产地及型号规格</w:t>
            </w:r>
          </w:p>
        </w:tc>
        <w:tc>
          <w:tcPr>
            <w:tcW w:w="1613" w:type="dxa"/>
            <w:vAlign w:val="center"/>
          </w:tcPr>
          <w:p>
            <w:pPr>
              <w:pStyle w:val="26"/>
              <w:rPr>
                <w:kern w:val="2"/>
                <w:szCs w:val="21"/>
                <w:u w:val="single"/>
                <w:lang w:val="en-US" w:eastAsia="zh-CN"/>
              </w:rPr>
            </w:pPr>
            <w:r>
              <w:rPr>
                <w:rFonts w:hint="eastAsia"/>
                <w:kern w:val="2"/>
                <w:szCs w:val="21"/>
                <w:u w:val="single"/>
                <w:lang w:val="en-US" w:eastAsia="zh-CN"/>
              </w:rPr>
              <w:t>数量</w:t>
            </w:r>
            <w:r>
              <w:rPr>
                <w:kern w:val="2"/>
                <w:szCs w:val="21"/>
                <w:u w:val="single"/>
                <w:lang w:val="en-US" w:eastAsia="zh-CN"/>
              </w:rPr>
              <w:t>(</w:t>
            </w:r>
            <w:r>
              <w:rPr>
                <w:rFonts w:hint="eastAsia"/>
                <w:kern w:val="2"/>
                <w:szCs w:val="21"/>
                <w:u w:val="single"/>
                <w:lang w:val="en-US" w:eastAsia="zh-CN"/>
              </w:rPr>
              <w:t>台套</w:t>
            </w:r>
            <w:r>
              <w:rPr>
                <w:kern w:val="2"/>
                <w:szCs w:val="21"/>
                <w:u w:val="single"/>
                <w:lang w:val="en-US" w:eastAsia="zh-CN"/>
              </w:rPr>
              <w:t>)</w:t>
            </w:r>
          </w:p>
        </w:tc>
        <w:tc>
          <w:tcPr>
            <w:tcW w:w="1162" w:type="dxa"/>
            <w:gridSpan w:val="3"/>
            <w:vAlign w:val="center"/>
          </w:tcPr>
          <w:p>
            <w:pPr>
              <w:pStyle w:val="26"/>
              <w:rPr>
                <w:kern w:val="2"/>
                <w:szCs w:val="21"/>
                <w:u w:val="single"/>
                <w:lang w:val="en-US" w:eastAsia="zh-CN"/>
              </w:rPr>
            </w:pPr>
            <w:r>
              <w:rPr>
                <w:rFonts w:hint="eastAsia"/>
                <w:kern w:val="2"/>
                <w:szCs w:val="21"/>
                <w:u w:val="single"/>
                <w:lang w:val="en-US" w:eastAsia="zh-CN"/>
              </w:rPr>
              <w:t>设计浴比</w:t>
            </w:r>
          </w:p>
        </w:tc>
        <w:tc>
          <w:tcPr>
            <w:tcW w:w="1589" w:type="dxa"/>
            <w:vAlign w:val="center"/>
          </w:tcPr>
          <w:p>
            <w:pPr>
              <w:pStyle w:val="26"/>
              <w:rPr>
                <w:kern w:val="2"/>
                <w:szCs w:val="21"/>
                <w:u w:val="single"/>
                <w:lang w:val="en-US" w:eastAsia="zh-CN"/>
              </w:rPr>
            </w:pPr>
            <w:r>
              <w:rPr>
                <w:rFonts w:hint="eastAsia"/>
                <w:kern w:val="2"/>
                <w:szCs w:val="21"/>
                <w:u w:val="singl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jc w:val="center"/>
        </w:trPr>
        <w:tc>
          <w:tcPr>
            <w:tcW w:w="9854" w:type="dxa"/>
            <w:gridSpan w:val="7"/>
            <w:vAlign w:val="center"/>
          </w:tcPr>
          <w:p>
            <w:pPr>
              <w:pStyle w:val="26"/>
              <w:rPr>
                <w:kern w:val="2"/>
                <w:szCs w:val="21"/>
                <w:u w:val="single"/>
                <w:lang w:val="en-US" w:eastAsia="zh-CN"/>
              </w:rPr>
            </w:pPr>
            <w:r>
              <w:rPr>
                <w:rFonts w:hint="eastAsia"/>
                <w:kern w:val="2"/>
                <w:szCs w:val="21"/>
                <w:u w:val="single"/>
                <w:lang w:val="en-US" w:eastAsia="zh-CN"/>
              </w:rPr>
              <w:t>一、印染车间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2097" w:type="dxa"/>
            <w:vAlign w:val="center"/>
          </w:tcPr>
          <w:p>
            <w:pPr>
              <w:pStyle w:val="26"/>
              <w:spacing w:line="240" w:lineRule="auto"/>
              <w:rPr>
                <w:kern w:val="2"/>
                <w:szCs w:val="21"/>
                <w:u w:val="single"/>
                <w:lang w:val="en-US" w:eastAsia="zh-CN"/>
              </w:rPr>
            </w:pPr>
            <w:r>
              <w:rPr>
                <w:rFonts w:hint="eastAsia"/>
                <w:kern w:val="2"/>
                <w:szCs w:val="21"/>
                <w:u w:val="single"/>
                <w:lang w:val="en-US" w:eastAsia="zh-CN"/>
              </w:rPr>
              <w:t>高温高压气流染色机</w:t>
            </w:r>
          </w:p>
        </w:tc>
        <w:tc>
          <w:tcPr>
            <w:tcW w:w="3393" w:type="dxa"/>
            <w:vAlign w:val="center"/>
          </w:tcPr>
          <w:p>
            <w:pPr>
              <w:pStyle w:val="26"/>
              <w:spacing w:line="240" w:lineRule="auto"/>
              <w:rPr>
                <w:kern w:val="2"/>
                <w:szCs w:val="21"/>
                <w:u w:val="single"/>
                <w:lang w:val="en-US" w:eastAsia="zh-CN"/>
              </w:rPr>
            </w:pPr>
            <w:r>
              <w:rPr>
                <w:rFonts w:hint="eastAsia"/>
                <w:kern w:val="2"/>
                <w:szCs w:val="21"/>
                <w:u w:val="single"/>
                <w:lang w:val="en-US" w:eastAsia="zh-CN"/>
              </w:rPr>
              <w:t>无锡长风机械制造厂</w:t>
            </w:r>
            <w:r>
              <w:rPr>
                <w:kern w:val="2"/>
                <w:szCs w:val="21"/>
                <w:u w:val="single"/>
                <w:lang w:val="en-US" w:eastAsia="zh-CN"/>
              </w:rPr>
              <w:t>HRB-500</w:t>
            </w:r>
            <w:r>
              <w:rPr>
                <w:rFonts w:hint="eastAsia"/>
                <w:kern w:val="2"/>
                <w:szCs w:val="21"/>
                <w:u w:val="single"/>
                <w:lang w:val="en-US" w:eastAsia="zh-CN"/>
              </w:rPr>
              <w:t>高温高压染色机</w:t>
            </w:r>
          </w:p>
        </w:tc>
        <w:tc>
          <w:tcPr>
            <w:tcW w:w="1613" w:type="dxa"/>
            <w:vAlign w:val="center"/>
          </w:tcPr>
          <w:p>
            <w:pPr>
              <w:pStyle w:val="26"/>
              <w:rPr>
                <w:kern w:val="2"/>
                <w:szCs w:val="21"/>
                <w:u w:val="single"/>
                <w:lang w:val="en-US" w:eastAsia="zh-CN"/>
              </w:rPr>
            </w:pPr>
            <w:r>
              <w:rPr>
                <w:kern w:val="2"/>
                <w:szCs w:val="21"/>
                <w:u w:val="single"/>
                <w:lang w:val="en-US" w:eastAsia="zh-CN"/>
              </w:rPr>
              <w:t>1</w:t>
            </w:r>
            <w:r>
              <w:rPr>
                <w:rFonts w:hint="eastAsia"/>
                <w:kern w:val="2"/>
                <w:szCs w:val="21"/>
                <w:u w:val="single"/>
                <w:lang w:val="en-US" w:eastAsia="zh-CN"/>
              </w:rPr>
              <w:t>6</w:t>
            </w:r>
          </w:p>
        </w:tc>
        <w:tc>
          <w:tcPr>
            <w:tcW w:w="1162" w:type="dxa"/>
            <w:gridSpan w:val="3"/>
            <w:vAlign w:val="center"/>
          </w:tcPr>
          <w:p>
            <w:pPr>
              <w:pStyle w:val="26"/>
              <w:rPr>
                <w:kern w:val="2"/>
                <w:szCs w:val="21"/>
                <w:u w:val="single"/>
                <w:lang w:val="en-US" w:eastAsia="zh-CN"/>
              </w:rPr>
            </w:pPr>
            <w:r>
              <w:rPr>
                <w:kern w:val="2"/>
                <w:szCs w:val="21"/>
                <w:u w:val="single"/>
                <w:lang w:val="en-US" w:eastAsia="zh-CN"/>
              </w:rPr>
              <w:t>1:5</w:t>
            </w:r>
          </w:p>
        </w:tc>
        <w:tc>
          <w:tcPr>
            <w:tcW w:w="1589" w:type="dxa"/>
            <w:vAlign w:val="center"/>
          </w:tcPr>
          <w:p>
            <w:pPr>
              <w:pStyle w:val="26"/>
              <w:rPr>
                <w:kern w:val="2"/>
                <w:szCs w:val="21"/>
                <w:u w:val="single"/>
                <w:lang w:val="en-US" w:eastAsia="zh-CN"/>
              </w:rPr>
            </w:pPr>
            <w:r>
              <w:rPr>
                <w:rFonts w:hint="eastAsia"/>
                <w:kern w:val="2"/>
                <w:szCs w:val="21"/>
                <w:u w:val="single"/>
                <w:lang w:val="en-US" w:eastAsia="zh-CN"/>
              </w:rPr>
              <w:t>新购置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连续绳状水洗机</w:t>
            </w:r>
          </w:p>
        </w:tc>
        <w:tc>
          <w:tcPr>
            <w:tcW w:w="3393" w:type="dxa"/>
            <w:vAlign w:val="center"/>
          </w:tcPr>
          <w:p>
            <w:pPr>
              <w:pStyle w:val="26"/>
              <w:rPr>
                <w:kern w:val="2"/>
                <w:szCs w:val="21"/>
                <w:u w:val="single"/>
                <w:lang w:val="en-US" w:eastAsia="zh-CN"/>
              </w:rPr>
            </w:pPr>
            <w:r>
              <w:rPr>
                <w:rFonts w:hint="eastAsia"/>
                <w:kern w:val="2"/>
                <w:szCs w:val="21"/>
                <w:u w:val="single"/>
                <w:lang w:val="en-US" w:eastAsia="zh-CN"/>
              </w:rPr>
              <w:t>浙江</w:t>
            </w:r>
          </w:p>
        </w:tc>
        <w:tc>
          <w:tcPr>
            <w:tcW w:w="1613" w:type="dxa"/>
            <w:vAlign w:val="center"/>
          </w:tcPr>
          <w:p>
            <w:pPr>
              <w:pStyle w:val="26"/>
              <w:rPr>
                <w:kern w:val="2"/>
                <w:szCs w:val="21"/>
                <w:u w:val="single"/>
                <w:lang w:val="en-US" w:eastAsia="zh-CN"/>
              </w:rPr>
            </w:pPr>
            <w:r>
              <w:rPr>
                <w:kern w:val="2"/>
                <w:szCs w:val="21"/>
                <w:u w:val="single"/>
                <w:lang w:val="en-US" w:eastAsia="zh-CN"/>
              </w:rPr>
              <w:t>1</w:t>
            </w:r>
          </w:p>
        </w:tc>
        <w:tc>
          <w:tcPr>
            <w:tcW w:w="1162" w:type="dxa"/>
            <w:gridSpan w:val="3"/>
            <w:vAlign w:val="center"/>
          </w:tcPr>
          <w:p>
            <w:pPr>
              <w:pStyle w:val="26"/>
              <w:rPr>
                <w:kern w:val="2"/>
                <w:szCs w:val="21"/>
                <w:u w:val="single"/>
                <w:lang w:val="en-US" w:eastAsia="zh-CN"/>
              </w:rPr>
            </w:pPr>
            <w:r>
              <w:rPr>
                <w:kern w:val="2"/>
                <w:szCs w:val="21"/>
                <w:u w:val="single"/>
                <w:lang w:val="en-US" w:eastAsia="zh-CN"/>
              </w:rPr>
              <w:t>1:1</w:t>
            </w:r>
          </w:p>
        </w:tc>
        <w:tc>
          <w:tcPr>
            <w:tcW w:w="1589" w:type="dxa"/>
            <w:vAlign w:val="center"/>
          </w:tcPr>
          <w:p>
            <w:pPr>
              <w:pStyle w:val="26"/>
              <w:rPr>
                <w:kern w:val="2"/>
                <w:szCs w:val="21"/>
                <w:u w:val="single"/>
                <w:lang w:val="en-US" w:eastAsia="zh-CN"/>
              </w:rPr>
            </w:pPr>
            <w:r>
              <w:rPr>
                <w:rFonts w:hint="eastAsia"/>
                <w:kern w:val="2"/>
                <w:szCs w:val="21"/>
                <w:u w:val="single"/>
                <w:lang w:val="en-US" w:eastAsia="zh-CN"/>
              </w:rPr>
              <w:t>新购置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定型机</w:t>
            </w:r>
          </w:p>
        </w:tc>
        <w:tc>
          <w:tcPr>
            <w:tcW w:w="3393" w:type="dxa"/>
            <w:vAlign w:val="center"/>
          </w:tcPr>
          <w:p>
            <w:pPr>
              <w:pStyle w:val="26"/>
              <w:rPr>
                <w:kern w:val="2"/>
                <w:szCs w:val="21"/>
                <w:u w:val="single"/>
                <w:lang w:val="en-US" w:eastAsia="zh-CN"/>
              </w:rPr>
            </w:pPr>
            <w:r>
              <w:rPr>
                <w:kern w:val="2"/>
                <w:szCs w:val="21"/>
                <w:u w:val="single"/>
                <w:lang w:val="en-US" w:eastAsia="zh-CN"/>
              </w:rPr>
              <w:t>YLMD908-201-12</w:t>
            </w:r>
            <w:r>
              <w:rPr>
                <w:rFonts w:hint="eastAsia"/>
                <w:kern w:val="2"/>
                <w:szCs w:val="21"/>
                <w:u w:val="single"/>
                <w:lang w:val="en-US" w:eastAsia="zh-CN"/>
              </w:rPr>
              <w:t>浙江新昌</w:t>
            </w:r>
          </w:p>
        </w:tc>
        <w:tc>
          <w:tcPr>
            <w:tcW w:w="1613" w:type="dxa"/>
            <w:vAlign w:val="center"/>
          </w:tcPr>
          <w:p>
            <w:pPr>
              <w:pStyle w:val="26"/>
              <w:rPr>
                <w:kern w:val="2"/>
                <w:szCs w:val="21"/>
                <w:u w:val="single"/>
                <w:lang w:val="en-US" w:eastAsia="zh-CN"/>
              </w:rPr>
            </w:pPr>
            <w:r>
              <w:rPr>
                <w:kern w:val="2"/>
                <w:szCs w:val="21"/>
                <w:u w:val="single"/>
                <w:lang w:val="en-US" w:eastAsia="zh-CN"/>
              </w:rPr>
              <w:t>2</w:t>
            </w:r>
          </w:p>
        </w:tc>
        <w:tc>
          <w:tcPr>
            <w:tcW w:w="1162" w:type="dxa"/>
            <w:gridSpan w:val="3"/>
            <w:vAlign w:val="center"/>
          </w:tcPr>
          <w:p>
            <w:pPr>
              <w:pStyle w:val="26"/>
              <w:rPr>
                <w:kern w:val="2"/>
                <w:szCs w:val="21"/>
                <w:u w:val="single"/>
                <w:lang w:val="en-US" w:eastAsia="zh-CN"/>
              </w:rPr>
            </w:pPr>
            <w:r>
              <w:rPr>
                <w:kern w:val="2"/>
                <w:szCs w:val="21"/>
                <w:u w:val="single"/>
                <w:lang w:val="en-US" w:eastAsia="zh-CN"/>
              </w:rPr>
              <w:t>1:0.1</w:t>
            </w:r>
          </w:p>
        </w:tc>
        <w:tc>
          <w:tcPr>
            <w:tcW w:w="1589" w:type="dxa"/>
            <w:vAlign w:val="center"/>
          </w:tcPr>
          <w:p>
            <w:pPr>
              <w:pStyle w:val="26"/>
              <w:rPr>
                <w:kern w:val="2"/>
                <w:szCs w:val="21"/>
                <w:u w:val="single"/>
                <w:lang w:val="en-US" w:eastAsia="zh-CN"/>
              </w:rPr>
            </w:pPr>
            <w:r>
              <w:rPr>
                <w:rFonts w:hint="eastAsia"/>
                <w:kern w:val="2"/>
                <w:szCs w:val="21"/>
                <w:u w:val="single"/>
                <w:lang w:val="en-US" w:eastAsia="zh-CN"/>
              </w:rPr>
              <w:t>新购置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脱水机</w:t>
            </w:r>
          </w:p>
        </w:tc>
        <w:tc>
          <w:tcPr>
            <w:tcW w:w="3393" w:type="dxa"/>
            <w:vAlign w:val="center"/>
          </w:tcPr>
          <w:p>
            <w:pPr>
              <w:pStyle w:val="26"/>
              <w:rPr>
                <w:kern w:val="2"/>
                <w:szCs w:val="21"/>
                <w:u w:val="single"/>
                <w:lang w:val="en-US" w:eastAsia="zh-CN"/>
              </w:rPr>
            </w:pPr>
            <w:r>
              <w:rPr>
                <w:rFonts w:hint="eastAsia"/>
                <w:kern w:val="2"/>
                <w:szCs w:val="21"/>
                <w:u w:val="single"/>
                <w:lang w:val="en-US" w:eastAsia="zh-CN"/>
              </w:rPr>
              <w:t>无锡</w:t>
            </w:r>
            <w:r>
              <w:rPr>
                <w:kern w:val="2"/>
                <w:szCs w:val="21"/>
                <w:u w:val="single"/>
                <w:lang w:val="en-US" w:eastAsia="zh-CN"/>
              </w:rPr>
              <w:t>2000A</w:t>
            </w:r>
          </w:p>
        </w:tc>
        <w:tc>
          <w:tcPr>
            <w:tcW w:w="1613" w:type="dxa"/>
            <w:vAlign w:val="center"/>
          </w:tcPr>
          <w:p>
            <w:pPr>
              <w:pStyle w:val="26"/>
              <w:rPr>
                <w:kern w:val="2"/>
                <w:szCs w:val="21"/>
                <w:u w:val="single"/>
                <w:lang w:val="en-US" w:eastAsia="zh-CN"/>
              </w:rPr>
            </w:pPr>
            <w:r>
              <w:rPr>
                <w:kern w:val="2"/>
                <w:szCs w:val="21"/>
                <w:u w:val="single"/>
                <w:lang w:val="en-US" w:eastAsia="zh-CN"/>
              </w:rPr>
              <w:t>3</w:t>
            </w:r>
          </w:p>
        </w:tc>
        <w:tc>
          <w:tcPr>
            <w:tcW w:w="1162" w:type="dxa"/>
            <w:gridSpan w:val="3"/>
            <w:vAlign w:val="center"/>
          </w:tcPr>
          <w:p>
            <w:pPr>
              <w:pStyle w:val="26"/>
              <w:rPr>
                <w:kern w:val="2"/>
                <w:szCs w:val="21"/>
                <w:u w:val="single"/>
                <w:lang w:val="en-US" w:eastAsia="zh-CN"/>
              </w:rPr>
            </w:pPr>
          </w:p>
        </w:tc>
        <w:tc>
          <w:tcPr>
            <w:tcW w:w="1589" w:type="dxa"/>
            <w:vAlign w:val="center"/>
          </w:tcPr>
          <w:p>
            <w:pPr>
              <w:pStyle w:val="26"/>
              <w:rPr>
                <w:kern w:val="2"/>
                <w:szCs w:val="21"/>
                <w:u w:val="single"/>
                <w:lang w:val="en-US" w:eastAsia="zh-CN"/>
              </w:rPr>
            </w:pPr>
            <w:r>
              <w:rPr>
                <w:rFonts w:hint="eastAsia"/>
                <w:kern w:val="2"/>
                <w:szCs w:val="21"/>
                <w:u w:val="single"/>
                <w:lang w:val="en-US" w:eastAsia="zh-CN"/>
              </w:rPr>
              <w:t>新购置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开幅机</w:t>
            </w:r>
          </w:p>
        </w:tc>
        <w:tc>
          <w:tcPr>
            <w:tcW w:w="3393" w:type="dxa"/>
            <w:vAlign w:val="center"/>
          </w:tcPr>
          <w:p>
            <w:pPr>
              <w:pStyle w:val="26"/>
              <w:rPr>
                <w:kern w:val="2"/>
                <w:szCs w:val="21"/>
                <w:u w:val="single"/>
                <w:lang w:val="en-US" w:eastAsia="zh-CN"/>
              </w:rPr>
            </w:pPr>
            <w:r>
              <w:rPr>
                <w:rFonts w:hint="eastAsia"/>
                <w:kern w:val="2"/>
                <w:szCs w:val="21"/>
                <w:u w:val="single"/>
                <w:lang w:val="en-US" w:eastAsia="zh-CN"/>
              </w:rPr>
              <w:t>江苏宝应</w:t>
            </w:r>
            <w:r>
              <w:rPr>
                <w:kern w:val="2"/>
                <w:szCs w:val="21"/>
                <w:u w:val="single"/>
                <w:lang w:val="en-US" w:eastAsia="zh-CN"/>
              </w:rPr>
              <w:t>SMA982A</w:t>
            </w:r>
          </w:p>
        </w:tc>
        <w:tc>
          <w:tcPr>
            <w:tcW w:w="1613" w:type="dxa"/>
            <w:vAlign w:val="center"/>
          </w:tcPr>
          <w:p>
            <w:pPr>
              <w:pStyle w:val="26"/>
              <w:rPr>
                <w:kern w:val="2"/>
                <w:szCs w:val="21"/>
                <w:u w:val="single"/>
                <w:lang w:val="en-US" w:eastAsia="zh-CN"/>
              </w:rPr>
            </w:pPr>
            <w:r>
              <w:rPr>
                <w:kern w:val="2"/>
                <w:szCs w:val="21"/>
                <w:u w:val="single"/>
                <w:lang w:val="en-US" w:eastAsia="zh-CN"/>
              </w:rPr>
              <w:t>2</w:t>
            </w:r>
          </w:p>
        </w:tc>
        <w:tc>
          <w:tcPr>
            <w:tcW w:w="1162" w:type="dxa"/>
            <w:gridSpan w:val="3"/>
            <w:vAlign w:val="center"/>
          </w:tcPr>
          <w:p>
            <w:pPr>
              <w:pStyle w:val="26"/>
              <w:rPr>
                <w:kern w:val="2"/>
                <w:szCs w:val="21"/>
                <w:u w:val="single"/>
                <w:lang w:val="en-US" w:eastAsia="zh-CN"/>
              </w:rPr>
            </w:pPr>
          </w:p>
        </w:tc>
        <w:tc>
          <w:tcPr>
            <w:tcW w:w="1589" w:type="dxa"/>
            <w:vAlign w:val="center"/>
          </w:tcPr>
          <w:p>
            <w:pPr>
              <w:pStyle w:val="26"/>
              <w:rPr>
                <w:kern w:val="2"/>
                <w:szCs w:val="21"/>
                <w:u w:val="single"/>
                <w:lang w:val="en-US" w:eastAsia="zh-CN"/>
              </w:rPr>
            </w:pPr>
            <w:r>
              <w:rPr>
                <w:rFonts w:hint="eastAsia"/>
                <w:kern w:val="2"/>
                <w:szCs w:val="21"/>
                <w:u w:val="single"/>
                <w:lang w:val="en-US" w:eastAsia="zh-CN"/>
              </w:rPr>
              <w:t>新购置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空压机</w:t>
            </w:r>
          </w:p>
        </w:tc>
        <w:tc>
          <w:tcPr>
            <w:tcW w:w="3393" w:type="dxa"/>
            <w:vAlign w:val="center"/>
          </w:tcPr>
          <w:p>
            <w:pPr>
              <w:pStyle w:val="26"/>
              <w:rPr>
                <w:kern w:val="2"/>
                <w:szCs w:val="21"/>
                <w:u w:val="single"/>
                <w:lang w:val="en-US" w:eastAsia="zh-CN"/>
              </w:rPr>
            </w:pPr>
            <w:r>
              <w:rPr>
                <w:kern w:val="2"/>
                <w:szCs w:val="21"/>
                <w:u w:val="single"/>
                <w:lang w:val="en-US" w:eastAsia="zh-CN"/>
              </w:rPr>
              <w:t>KB-25A</w:t>
            </w:r>
            <w:r>
              <w:rPr>
                <w:rFonts w:hint="eastAsia"/>
                <w:kern w:val="2"/>
                <w:szCs w:val="21"/>
                <w:u w:val="single"/>
                <w:lang w:val="en-US" w:eastAsia="zh-CN"/>
              </w:rPr>
              <w:t>浙江</w:t>
            </w:r>
          </w:p>
        </w:tc>
        <w:tc>
          <w:tcPr>
            <w:tcW w:w="1613" w:type="dxa"/>
            <w:vAlign w:val="center"/>
          </w:tcPr>
          <w:p>
            <w:pPr>
              <w:pStyle w:val="26"/>
              <w:rPr>
                <w:kern w:val="2"/>
                <w:szCs w:val="21"/>
                <w:u w:val="single"/>
                <w:lang w:val="en-US" w:eastAsia="zh-CN"/>
              </w:rPr>
            </w:pPr>
            <w:r>
              <w:rPr>
                <w:kern w:val="2"/>
                <w:szCs w:val="21"/>
                <w:u w:val="single"/>
                <w:lang w:val="en-US" w:eastAsia="zh-CN"/>
              </w:rPr>
              <w:t>1</w:t>
            </w:r>
          </w:p>
        </w:tc>
        <w:tc>
          <w:tcPr>
            <w:tcW w:w="1162" w:type="dxa"/>
            <w:gridSpan w:val="3"/>
            <w:vAlign w:val="center"/>
          </w:tcPr>
          <w:p>
            <w:pPr>
              <w:pStyle w:val="26"/>
              <w:rPr>
                <w:kern w:val="2"/>
                <w:szCs w:val="21"/>
                <w:u w:val="single"/>
                <w:lang w:val="en-US" w:eastAsia="zh-CN"/>
              </w:rPr>
            </w:pPr>
          </w:p>
        </w:tc>
        <w:tc>
          <w:tcPr>
            <w:tcW w:w="1589" w:type="dxa"/>
            <w:vAlign w:val="center"/>
          </w:tcPr>
          <w:p>
            <w:pPr>
              <w:pStyle w:val="26"/>
              <w:rPr>
                <w:kern w:val="2"/>
                <w:szCs w:val="21"/>
                <w:u w:val="single"/>
                <w:lang w:val="en-US" w:eastAsia="zh-CN"/>
              </w:rPr>
            </w:pPr>
            <w:r>
              <w:rPr>
                <w:rFonts w:hint="eastAsia"/>
                <w:kern w:val="2"/>
                <w:szCs w:val="21"/>
                <w:u w:val="single"/>
                <w:lang w:val="en-US" w:eastAsia="zh-CN"/>
              </w:rPr>
              <w:t>新购置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导热油锅炉</w:t>
            </w:r>
          </w:p>
        </w:tc>
        <w:tc>
          <w:tcPr>
            <w:tcW w:w="3393" w:type="dxa"/>
            <w:vAlign w:val="center"/>
          </w:tcPr>
          <w:p>
            <w:pPr>
              <w:pStyle w:val="26"/>
              <w:rPr>
                <w:kern w:val="2"/>
                <w:szCs w:val="21"/>
                <w:u w:val="single"/>
                <w:lang w:val="en-US" w:eastAsia="zh-CN"/>
              </w:rPr>
            </w:pPr>
            <w:r>
              <w:rPr>
                <w:kern w:val="2"/>
                <w:szCs w:val="21"/>
                <w:u w:val="single"/>
                <w:lang w:val="en-US" w:eastAsia="zh-CN"/>
              </w:rPr>
              <w:t>YLW-1400</w:t>
            </w:r>
            <w:r>
              <w:rPr>
                <w:rFonts w:hint="eastAsia"/>
                <w:kern w:val="2"/>
                <w:szCs w:val="21"/>
                <w:u w:val="single"/>
                <w:lang w:val="en-US" w:eastAsia="zh-CN"/>
              </w:rPr>
              <w:t>常州</w:t>
            </w:r>
          </w:p>
        </w:tc>
        <w:tc>
          <w:tcPr>
            <w:tcW w:w="1613" w:type="dxa"/>
            <w:vAlign w:val="center"/>
          </w:tcPr>
          <w:p>
            <w:pPr>
              <w:pStyle w:val="26"/>
              <w:rPr>
                <w:kern w:val="2"/>
                <w:szCs w:val="21"/>
                <w:u w:val="single"/>
                <w:lang w:val="en-US" w:eastAsia="zh-CN"/>
              </w:rPr>
            </w:pPr>
            <w:r>
              <w:rPr>
                <w:kern w:val="2"/>
                <w:szCs w:val="21"/>
                <w:u w:val="single"/>
                <w:lang w:val="en-US" w:eastAsia="zh-CN"/>
              </w:rPr>
              <w:t>1</w:t>
            </w:r>
          </w:p>
        </w:tc>
        <w:tc>
          <w:tcPr>
            <w:tcW w:w="1162" w:type="dxa"/>
            <w:gridSpan w:val="3"/>
            <w:vAlign w:val="center"/>
          </w:tcPr>
          <w:p>
            <w:pPr>
              <w:pStyle w:val="26"/>
              <w:rPr>
                <w:kern w:val="2"/>
                <w:szCs w:val="21"/>
                <w:u w:val="single"/>
                <w:lang w:val="en-US" w:eastAsia="zh-CN"/>
              </w:rPr>
            </w:pPr>
          </w:p>
        </w:tc>
        <w:tc>
          <w:tcPr>
            <w:tcW w:w="1589" w:type="dxa"/>
            <w:vAlign w:val="center"/>
          </w:tcPr>
          <w:p>
            <w:pPr>
              <w:pStyle w:val="26"/>
              <w:rPr>
                <w:kern w:val="2"/>
                <w:szCs w:val="21"/>
                <w:u w:val="single"/>
                <w:lang w:val="en-US" w:eastAsia="zh-CN"/>
              </w:rPr>
            </w:pPr>
            <w:r>
              <w:rPr>
                <w:rFonts w:hint="eastAsia"/>
                <w:kern w:val="2"/>
                <w:szCs w:val="21"/>
                <w:u w:val="single"/>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定型废气处理装置</w:t>
            </w:r>
          </w:p>
        </w:tc>
        <w:tc>
          <w:tcPr>
            <w:tcW w:w="3393" w:type="dxa"/>
            <w:vAlign w:val="center"/>
          </w:tcPr>
          <w:p>
            <w:pPr>
              <w:pStyle w:val="26"/>
              <w:rPr>
                <w:kern w:val="2"/>
                <w:szCs w:val="21"/>
                <w:u w:val="single"/>
                <w:lang w:val="en-US" w:eastAsia="zh-CN"/>
              </w:rPr>
            </w:pPr>
            <w:r>
              <w:rPr>
                <w:rFonts w:hint="eastAsia"/>
                <w:kern w:val="2"/>
                <w:szCs w:val="21"/>
                <w:u w:val="single"/>
                <w:lang w:val="en-US" w:eastAsia="zh-CN"/>
              </w:rPr>
              <w:t>绍兴</w:t>
            </w:r>
          </w:p>
        </w:tc>
        <w:tc>
          <w:tcPr>
            <w:tcW w:w="1613" w:type="dxa"/>
            <w:vAlign w:val="center"/>
          </w:tcPr>
          <w:p>
            <w:pPr>
              <w:pStyle w:val="26"/>
              <w:rPr>
                <w:kern w:val="2"/>
                <w:szCs w:val="21"/>
                <w:u w:val="single"/>
                <w:lang w:val="en-US" w:eastAsia="zh-CN"/>
              </w:rPr>
            </w:pPr>
            <w:r>
              <w:rPr>
                <w:kern w:val="2"/>
                <w:szCs w:val="21"/>
                <w:u w:val="single"/>
                <w:lang w:val="en-US" w:eastAsia="zh-CN"/>
              </w:rPr>
              <w:t>2</w:t>
            </w:r>
          </w:p>
        </w:tc>
        <w:tc>
          <w:tcPr>
            <w:tcW w:w="1162" w:type="dxa"/>
            <w:gridSpan w:val="3"/>
            <w:vAlign w:val="center"/>
          </w:tcPr>
          <w:p>
            <w:pPr>
              <w:pStyle w:val="26"/>
              <w:rPr>
                <w:kern w:val="2"/>
                <w:szCs w:val="21"/>
                <w:u w:val="single"/>
                <w:lang w:val="en-US" w:eastAsia="zh-CN"/>
              </w:rPr>
            </w:pPr>
          </w:p>
        </w:tc>
        <w:tc>
          <w:tcPr>
            <w:tcW w:w="1589" w:type="dxa"/>
            <w:vAlign w:val="center"/>
          </w:tcPr>
          <w:p>
            <w:pPr>
              <w:pStyle w:val="26"/>
              <w:rPr>
                <w:kern w:val="2"/>
                <w:szCs w:val="21"/>
                <w:u w:val="single"/>
                <w:lang w:val="en-US" w:eastAsia="zh-CN"/>
              </w:rPr>
            </w:pPr>
            <w:r>
              <w:rPr>
                <w:rFonts w:hint="eastAsia"/>
                <w:kern w:val="2"/>
                <w:szCs w:val="21"/>
                <w:u w:val="single"/>
                <w:lang w:val="en-US" w:eastAsia="zh-CN"/>
              </w:rPr>
              <w:t>新购置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097" w:type="dxa"/>
            <w:vAlign w:val="center"/>
          </w:tcPr>
          <w:p>
            <w:pPr>
              <w:pStyle w:val="26"/>
              <w:rPr>
                <w:kern w:val="2"/>
                <w:szCs w:val="21"/>
                <w:u w:val="single"/>
                <w:lang w:val="en-US" w:eastAsia="zh-CN"/>
              </w:rPr>
            </w:pPr>
            <w:r>
              <w:rPr>
                <w:kern w:val="2"/>
                <w:szCs w:val="21"/>
                <w:u w:val="single"/>
                <w:lang w:val="en-US" w:eastAsia="zh-CN"/>
              </w:rPr>
              <w:t>10</w:t>
            </w:r>
            <w:r>
              <w:rPr>
                <w:rFonts w:hint="eastAsia"/>
                <w:kern w:val="2"/>
                <w:szCs w:val="21"/>
                <w:u w:val="single"/>
                <w:lang w:val="en-US" w:eastAsia="zh-CN"/>
              </w:rPr>
              <w:t>吨蒸汽锅炉</w:t>
            </w:r>
          </w:p>
        </w:tc>
        <w:tc>
          <w:tcPr>
            <w:tcW w:w="3393" w:type="dxa"/>
            <w:vAlign w:val="center"/>
          </w:tcPr>
          <w:p>
            <w:pPr>
              <w:pStyle w:val="26"/>
              <w:rPr>
                <w:kern w:val="2"/>
                <w:szCs w:val="21"/>
                <w:u w:val="single"/>
                <w:lang w:val="en-US" w:eastAsia="zh-CN"/>
              </w:rPr>
            </w:pPr>
            <w:r>
              <w:rPr>
                <w:kern w:val="2"/>
                <w:szCs w:val="21"/>
                <w:u w:val="single"/>
                <w:lang w:val="en-US" w:eastAsia="zh-CN"/>
              </w:rPr>
              <w:t>/</w:t>
            </w:r>
          </w:p>
        </w:tc>
        <w:tc>
          <w:tcPr>
            <w:tcW w:w="1613" w:type="dxa"/>
            <w:vAlign w:val="center"/>
          </w:tcPr>
          <w:p>
            <w:pPr>
              <w:pStyle w:val="26"/>
              <w:rPr>
                <w:kern w:val="2"/>
                <w:szCs w:val="21"/>
                <w:u w:val="single"/>
                <w:lang w:val="en-US" w:eastAsia="zh-CN"/>
              </w:rPr>
            </w:pPr>
            <w:r>
              <w:rPr>
                <w:kern w:val="2"/>
                <w:szCs w:val="21"/>
                <w:u w:val="single"/>
                <w:lang w:val="en-US" w:eastAsia="zh-CN"/>
              </w:rPr>
              <w:t>1</w:t>
            </w:r>
          </w:p>
        </w:tc>
        <w:tc>
          <w:tcPr>
            <w:tcW w:w="1162" w:type="dxa"/>
            <w:gridSpan w:val="3"/>
            <w:vAlign w:val="center"/>
          </w:tcPr>
          <w:p>
            <w:pPr>
              <w:pStyle w:val="26"/>
              <w:rPr>
                <w:kern w:val="2"/>
                <w:szCs w:val="21"/>
                <w:u w:val="single"/>
                <w:lang w:val="en-US" w:eastAsia="zh-CN"/>
              </w:rPr>
            </w:pPr>
          </w:p>
        </w:tc>
        <w:tc>
          <w:tcPr>
            <w:tcW w:w="1589" w:type="dxa"/>
            <w:vAlign w:val="center"/>
          </w:tcPr>
          <w:p>
            <w:pPr>
              <w:pStyle w:val="26"/>
              <w:rPr>
                <w:kern w:val="2"/>
                <w:szCs w:val="21"/>
                <w:u w:val="single"/>
                <w:lang w:val="en-US" w:eastAsia="zh-CN"/>
              </w:rPr>
            </w:pPr>
            <w:r>
              <w:rPr>
                <w:rFonts w:hint="eastAsia"/>
                <w:kern w:val="2"/>
                <w:szCs w:val="21"/>
                <w:u w:val="single"/>
                <w:lang w:val="en-US" w:eastAsia="zh-CN"/>
              </w:rPr>
              <w:t>新购置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097" w:type="dxa"/>
            <w:vAlign w:val="center"/>
          </w:tcPr>
          <w:p>
            <w:pPr>
              <w:pStyle w:val="26"/>
              <w:rPr>
                <w:kern w:val="2"/>
                <w:szCs w:val="21"/>
                <w:u w:val="single"/>
                <w:lang w:val="en-US" w:eastAsia="zh-CN"/>
              </w:rPr>
            </w:pPr>
            <w:r>
              <w:rPr>
                <w:kern w:val="2"/>
                <w:szCs w:val="21"/>
                <w:u w:val="single"/>
                <w:lang w:val="en-US" w:eastAsia="zh-CN"/>
              </w:rPr>
              <w:t>6.5</w:t>
            </w:r>
            <w:r>
              <w:rPr>
                <w:rFonts w:hint="eastAsia"/>
                <w:kern w:val="2"/>
                <w:szCs w:val="21"/>
                <w:u w:val="single"/>
                <w:lang w:val="en-US" w:eastAsia="zh-CN"/>
              </w:rPr>
              <w:t>吨蒸汽锅炉</w:t>
            </w:r>
          </w:p>
        </w:tc>
        <w:tc>
          <w:tcPr>
            <w:tcW w:w="3393" w:type="dxa"/>
            <w:vAlign w:val="center"/>
          </w:tcPr>
          <w:p>
            <w:pPr>
              <w:pStyle w:val="26"/>
              <w:rPr>
                <w:kern w:val="2"/>
                <w:szCs w:val="21"/>
                <w:u w:val="single"/>
                <w:lang w:val="en-US" w:eastAsia="zh-CN"/>
              </w:rPr>
            </w:pPr>
            <w:r>
              <w:rPr>
                <w:kern w:val="2"/>
                <w:szCs w:val="21"/>
                <w:u w:val="single"/>
                <w:lang w:val="en-US" w:eastAsia="zh-CN"/>
              </w:rPr>
              <w:t>/</w:t>
            </w:r>
          </w:p>
        </w:tc>
        <w:tc>
          <w:tcPr>
            <w:tcW w:w="1613" w:type="dxa"/>
            <w:vAlign w:val="center"/>
          </w:tcPr>
          <w:p>
            <w:pPr>
              <w:pStyle w:val="26"/>
              <w:rPr>
                <w:kern w:val="2"/>
                <w:szCs w:val="21"/>
                <w:u w:val="single"/>
                <w:lang w:val="en-US" w:eastAsia="zh-CN"/>
              </w:rPr>
            </w:pPr>
            <w:r>
              <w:rPr>
                <w:kern w:val="2"/>
                <w:szCs w:val="21"/>
                <w:u w:val="single"/>
                <w:lang w:val="en-US" w:eastAsia="zh-CN"/>
              </w:rPr>
              <w:t>1</w:t>
            </w:r>
          </w:p>
        </w:tc>
        <w:tc>
          <w:tcPr>
            <w:tcW w:w="1162" w:type="dxa"/>
            <w:gridSpan w:val="3"/>
            <w:vAlign w:val="center"/>
          </w:tcPr>
          <w:p>
            <w:pPr>
              <w:pStyle w:val="26"/>
              <w:rPr>
                <w:kern w:val="2"/>
                <w:szCs w:val="21"/>
                <w:u w:val="single"/>
                <w:lang w:val="en-US" w:eastAsia="zh-CN"/>
              </w:rPr>
            </w:pPr>
          </w:p>
        </w:tc>
        <w:tc>
          <w:tcPr>
            <w:tcW w:w="1589" w:type="dxa"/>
            <w:vAlign w:val="center"/>
          </w:tcPr>
          <w:p>
            <w:pPr>
              <w:pStyle w:val="26"/>
              <w:rPr>
                <w:kern w:val="2"/>
                <w:szCs w:val="21"/>
                <w:u w:val="single"/>
                <w:lang w:val="en-US" w:eastAsia="zh-CN"/>
              </w:rPr>
            </w:pPr>
            <w:r>
              <w:rPr>
                <w:rFonts w:hint="eastAsia"/>
                <w:kern w:val="2"/>
                <w:szCs w:val="21"/>
                <w:u w:val="single"/>
                <w:lang w:val="en-US"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854" w:type="dxa"/>
            <w:gridSpan w:val="7"/>
            <w:vAlign w:val="center"/>
          </w:tcPr>
          <w:p>
            <w:pPr>
              <w:pStyle w:val="26"/>
              <w:rPr>
                <w:kern w:val="2"/>
                <w:szCs w:val="21"/>
                <w:u w:val="single"/>
                <w:lang w:val="en-US" w:eastAsia="zh-CN"/>
              </w:rPr>
            </w:pPr>
            <w:r>
              <w:rPr>
                <w:rFonts w:hint="eastAsia"/>
                <w:kern w:val="2"/>
                <w:szCs w:val="21"/>
                <w:u w:val="single"/>
                <w:lang w:val="en-US" w:eastAsia="zh-CN"/>
              </w:rPr>
              <w:t>二、纺纱生产设备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清棉机</w:t>
            </w:r>
          </w:p>
        </w:tc>
        <w:tc>
          <w:tcPr>
            <w:tcW w:w="3393" w:type="dxa"/>
            <w:vAlign w:val="center"/>
          </w:tcPr>
          <w:p>
            <w:pPr>
              <w:pStyle w:val="26"/>
              <w:rPr>
                <w:kern w:val="2"/>
                <w:szCs w:val="21"/>
                <w:u w:val="single"/>
                <w:lang w:val="en-US" w:eastAsia="zh-CN"/>
              </w:rPr>
            </w:pPr>
            <w:r>
              <w:rPr>
                <w:kern w:val="2"/>
                <w:szCs w:val="21"/>
                <w:u w:val="single"/>
                <w:lang w:val="en-US" w:eastAsia="zh-CN"/>
              </w:rPr>
              <w:t>A002C/A006B/A092/A076C</w:t>
            </w:r>
          </w:p>
        </w:tc>
        <w:tc>
          <w:tcPr>
            <w:tcW w:w="1650" w:type="dxa"/>
            <w:gridSpan w:val="2"/>
            <w:vAlign w:val="center"/>
          </w:tcPr>
          <w:p>
            <w:pPr>
              <w:pStyle w:val="26"/>
              <w:rPr>
                <w:kern w:val="2"/>
                <w:szCs w:val="21"/>
                <w:u w:val="single"/>
                <w:lang w:val="en-US" w:eastAsia="zh-CN"/>
              </w:rPr>
            </w:pPr>
            <w:r>
              <w:rPr>
                <w:rFonts w:hint="eastAsia"/>
                <w:kern w:val="2"/>
                <w:szCs w:val="21"/>
                <w:u w:val="single"/>
                <w:lang w:val="en-US" w:eastAsia="zh-CN"/>
              </w:rPr>
              <w:t>台</w:t>
            </w:r>
          </w:p>
        </w:tc>
        <w:tc>
          <w:tcPr>
            <w:tcW w:w="1110" w:type="dxa"/>
            <w:vAlign w:val="center"/>
          </w:tcPr>
          <w:p>
            <w:pPr>
              <w:pStyle w:val="26"/>
              <w:rPr>
                <w:kern w:val="2"/>
                <w:szCs w:val="21"/>
                <w:u w:val="single"/>
                <w:lang w:val="en-US" w:eastAsia="zh-CN"/>
              </w:rPr>
            </w:pPr>
            <w:r>
              <w:rPr>
                <w:kern w:val="2"/>
                <w:szCs w:val="21"/>
                <w:u w:val="single"/>
                <w:lang w:val="en-US" w:eastAsia="zh-CN"/>
              </w:rPr>
              <w:t>4</w:t>
            </w:r>
          </w:p>
        </w:tc>
        <w:tc>
          <w:tcPr>
            <w:tcW w:w="1604" w:type="dxa"/>
            <w:gridSpan w:val="2"/>
            <w:vAlign w:val="center"/>
          </w:tcPr>
          <w:p>
            <w:pPr>
              <w:pStyle w:val="26"/>
              <w:rPr>
                <w:kern w:val="2"/>
                <w:szCs w:val="21"/>
                <w:u w:val="single"/>
                <w:lang w:val="en-US" w:eastAsia="zh-CN"/>
              </w:rPr>
            </w:pPr>
            <w:r>
              <w:rPr>
                <w:rFonts w:hint="eastAsia"/>
                <w:kern w:val="2"/>
                <w:szCs w:val="21"/>
                <w:u w:val="single"/>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梳棉机</w:t>
            </w:r>
          </w:p>
        </w:tc>
        <w:tc>
          <w:tcPr>
            <w:tcW w:w="3393" w:type="dxa"/>
            <w:vAlign w:val="center"/>
          </w:tcPr>
          <w:p>
            <w:pPr>
              <w:pStyle w:val="26"/>
              <w:rPr>
                <w:kern w:val="2"/>
                <w:szCs w:val="21"/>
                <w:u w:val="single"/>
                <w:lang w:val="en-US" w:eastAsia="zh-CN"/>
              </w:rPr>
            </w:pPr>
            <w:r>
              <w:rPr>
                <w:kern w:val="2"/>
                <w:szCs w:val="21"/>
                <w:u w:val="single"/>
                <w:lang w:val="en-US" w:eastAsia="zh-CN"/>
              </w:rPr>
              <w:t>A186D</w:t>
            </w:r>
          </w:p>
        </w:tc>
        <w:tc>
          <w:tcPr>
            <w:tcW w:w="1650" w:type="dxa"/>
            <w:gridSpan w:val="2"/>
            <w:vAlign w:val="center"/>
          </w:tcPr>
          <w:p>
            <w:pPr>
              <w:pStyle w:val="26"/>
              <w:rPr>
                <w:kern w:val="2"/>
                <w:szCs w:val="21"/>
                <w:u w:val="single"/>
                <w:lang w:val="en-US" w:eastAsia="zh-CN"/>
              </w:rPr>
            </w:pPr>
            <w:r>
              <w:rPr>
                <w:rFonts w:hint="eastAsia"/>
                <w:kern w:val="2"/>
                <w:szCs w:val="21"/>
                <w:u w:val="single"/>
                <w:lang w:val="en-US" w:eastAsia="zh-CN"/>
              </w:rPr>
              <w:t>台</w:t>
            </w:r>
          </w:p>
        </w:tc>
        <w:tc>
          <w:tcPr>
            <w:tcW w:w="1110" w:type="dxa"/>
            <w:vAlign w:val="center"/>
          </w:tcPr>
          <w:p>
            <w:pPr>
              <w:pStyle w:val="26"/>
              <w:rPr>
                <w:kern w:val="2"/>
                <w:szCs w:val="21"/>
                <w:u w:val="single"/>
                <w:lang w:val="en-US" w:eastAsia="zh-CN"/>
              </w:rPr>
            </w:pPr>
            <w:r>
              <w:rPr>
                <w:kern w:val="2"/>
                <w:szCs w:val="21"/>
                <w:u w:val="single"/>
                <w:lang w:val="en-US" w:eastAsia="zh-CN"/>
              </w:rPr>
              <w:t>1</w:t>
            </w:r>
          </w:p>
        </w:tc>
        <w:tc>
          <w:tcPr>
            <w:tcW w:w="1604" w:type="dxa"/>
            <w:gridSpan w:val="2"/>
            <w:vAlign w:val="center"/>
          </w:tcPr>
          <w:p>
            <w:pPr>
              <w:ind w:firstLine="480"/>
              <w:rPr>
                <w:u w:val="single"/>
              </w:rPr>
            </w:pPr>
            <w:r>
              <w:rPr>
                <w:rFonts w:hint="eastAsia"/>
                <w:u w:val="singl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并条机</w:t>
            </w:r>
          </w:p>
        </w:tc>
        <w:tc>
          <w:tcPr>
            <w:tcW w:w="3393" w:type="dxa"/>
            <w:vAlign w:val="center"/>
          </w:tcPr>
          <w:p>
            <w:pPr>
              <w:pStyle w:val="26"/>
              <w:rPr>
                <w:kern w:val="2"/>
                <w:szCs w:val="21"/>
                <w:u w:val="single"/>
                <w:lang w:val="en-US" w:eastAsia="zh-CN"/>
              </w:rPr>
            </w:pPr>
            <w:r>
              <w:rPr>
                <w:kern w:val="2"/>
                <w:szCs w:val="21"/>
                <w:u w:val="single"/>
                <w:lang w:val="en-US" w:eastAsia="zh-CN"/>
              </w:rPr>
              <w:t>FA304</w:t>
            </w:r>
          </w:p>
        </w:tc>
        <w:tc>
          <w:tcPr>
            <w:tcW w:w="1650" w:type="dxa"/>
            <w:gridSpan w:val="2"/>
            <w:vAlign w:val="center"/>
          </w:tcPr>
          <w:p>
            <w:pPr>
              <w:pStyle w:val="26"/>
              <w:rPr>
                <w:kern w:val="2"/>
                <w:szCs w:val="21"/>
                <w:u w:val="single"/>
                <w:lang w:val="en-US" w:eastAsia="zh-CN"/>
              </w:rPr>
            </w:pPr>
            <w:r>
              <w:rPr>
                <w:rFonts w:hint="eastAsia"/>
                <w:kern w:val="2"/>
                <w:szCs w:val="21"/>
                <w:u w:val="single"/>
                <w:lang w:val="en-US" w:eastAsia="zh-CN"/>
              </w:rPr>
              <w:t>台</w:t>
            </w:r>
          </w:p>
        </w:tc>
        <w:tc>
          <w:tcPr>
            <w:tcW w:w="1110" w:type="dxa"/>
            <w:vAlign w:val="center"/>
          </w:tcPr>
          <w:p>
            <w:pPr>
              <w:pStyle w:val="26"/>
              <w:rPr>
                <w:kern w:val="2"/>
                <w:szCs w:val="21"/>
                <w:u w:val="single"/>
                <w:lang w:val="en-US" w:eastAsia="zh-CN"/>
              </w:rPr>
            </w:pPr>
            <w:r>
              <w:rPr>
                <w:kern w:val="2"/>
                <w:szCs w:val="21"/>
                <w:u w:val="single"/>
                <w:lang w:val="en-US" w:eastAsia="zh-CN"/>
              </w:rPr>
              <w:t>1</w:t>
            </w:r>
          </w:p>
        </w:tc>
        <w:tc>
          <w:tcPr>
            <w:tcW w:w="1604" w:type="dxa"/>
            <w:gridSpan w:val="2"/>
            <w:vAlign w:val="center"/>
          </w:tcPr>
          <w:p>
            <w:pPr>
              <w:ind w:firstLine="480"/>
              <w:rPr>
                <w:u w:val="single"/>
              </w:rPr>
            </w:pPr>
            <w:r>
              <w:rPr>
                <w:rFonts w:hint="eastAsia"/>
                <w:u w:val="singl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粗纱机</w:t>
            </w:r>
          </w:p>
        </w:tc>
        <w:tc>
          <w:tcPr>
            <w:tcW w:w="3393" w:type="dxa"/>
            <w:vAlign w:val="center"/>
          </w:tcPr>
          <w:p>
            <w:pPr>
              <w:pStyle w:val="26"/>
              <w:rPr>
                <w:kern w:val="2"/>
                <w:szCs w:val="21"/>
                <w:u w:val="single"/>
                <w:lang w:val="en-US" w:eastAsia="zh-CN"/>
              </w:rPr>
            </w:pPr>
            <w:r>
              <w:rPr>
                <w:kern w:val="2"/>
                <w:szCs w:val="21"/>
                <w:u w:val="single"/>
                <w:lang w:val="en-US" w:eastAsia="zh-CN"/>
              </w:rPr>
              <w:t>A456C</w:t>
            </w:r>
          </w:p>
        </w:tc>
        <w:tc>
          <w:tcPr>
            <w:tcW w:w="1650" w:type="dxa"/>
            <w:gridSpan w:val="2"/>
            <w:vAlign w:val="center"/>
          </w:tcPr>
          <w:p>
            <w:pPr>
              <w:pStyle w:val="26"/>
              <w:rPr>
                <w:kern w:val="2"/>
                <w:szCs w:val="21"/>
                <w:u w:val="single"/>
                <w:lang w:val="en-US" w:eastAsia="zh-CN"/>
              </w:rPr>
            </w:pPr>
            <w:r>
              <w:rPr>
                <w:rFonts w:hint="eastAsia"/>
                <w:kern w:val="2"/>
                <w:szCs w:val="21"/>
                <w:u w:val="single"/>
                <w:lang w:val="en-US" w:eastAsia="zh-CN"/>
              </w:rPr>
              <w:t>台</w:t>
            </w:r>
          </w:p>
        </w:tc>
        <w:tc>
          <w:tcPr>
            <w:tcW w:w="1110" w:type="dxa"/>
            <w:vAlign w:val="center"/>
          </w:tcPr>
          <w:p>
            <w:pPr>
              <w:pStyle w:val="26"/>
              <w:rPr>
                <w:kern w:val="2"/>
                <w:szCs w:val="21"/>
                <w:u w:val="single"/>
                <w:lang w:val="en-US" w:eastAsia="zh-CN"/>
              </w:rPr>
            </w:pPr>
            <w:r>
              <w:rPr>
                <w:kern w:val="2"/>
                <w:szCs w:val="21"/>
                <w:u w:val="single"/>
                <w:lang w:val="en-US" w:eastAsia="zh-CN"/>
              </w:rPr>
              <w:t>1</w:t>
            </w:r>
          </w:p>
        </w:tc>
        <w:tc>
          <w:tcPr>
            <w:tcW w:w="1604" w:type="dxa"/>
            <w:gridSpan w:val="2"/>
            <w:vAlign w:val="center"/>
          </w:tcPr>
          <w:p>
            <w:pPr>
              <w:ind w:firstLine="480"/>
              <w:rPr>
                <w:u w:val="single"/>
              </w:rPr>
            </w:pPr>
            <w:r>
              <w:rPr>
                <w:rFonts w:hint="eastAsia"/>
                <w:u w:val="singl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细纱机</w:t>
            </w:r>
          </w:p>
        </w:tc>
        <w:tc>
          <w:tcPr>
            <w:tcW w:w="3393" w:type="dxa"/>
            <w:vAlign w:val="center"/>
          </w:tcPr>
          <w:p>
            <w:pPr>
              <w:pStyle w:val="26"/>
              <w:rPr>
                <w:kern w:val="2"/>
                <w:szCs w:val="21"/>
                <w:u w:val="single"/>
                <w:lang w:val="en-US" w:eastAsia="zh-CN"/>
              </w:rPr>
            </w:pPr>
            <w:r>
              <w:rPr>
                <w:kern w:val="2"/>
                <w:szCs w:val="21"/>
                <w:u w:val="single"/>
                <w:lang w:val="en-US" w:eastAsia="zh-CN"/>
              </w:rPr>
              <w:t>FA506</w:t>
            </w:r>
          </w:p>
        </w:tc>
        <w:tc>
          <w:tcPr>
            <w:tcW w:w="1650" w:type="dxa"/>
            <w:gridSpan w:val="2"/>
            <w:vAlign w:val="center"/>
          </w:tcPr>
          <w:p>
            <w:pPr>
              <w:pStyle w:val="26"/>
              <w:rPr>
                <w:kern w:val="2"/>
                <w:szCs w:val="21"/>
                <w:u w:val="single"/>
                <w:lang w:val="en-US" w:eastAsia="zh-CN"/>
              </w:rPr>
            </w:pPr>
            <w:r>
              <w:rPr>
                <w:rFonts w:hint="eastAsia"/>
                <w:kern w:val="2"/>
                <w:szCs w:val="21"/>
                <w:u w:val="single"/>
                <w:lang w:val="en-US" w:eastAsia="zh-CN"/>
              </w:rPr>
              <w:t>台</w:t>
            </w:r>
          </w:p>
        </w:tc>
        <w:tc>
          <w:tcPr>
            <w:tcW w:w="1110" w:type="dxa"/>
            <w:vAlign w:val="center"/>
          </w:tcPr>
          <w:p>
            <w:pPr>
              <w:pStyle w:val="26"/>
              <w:rPr>
                <w:kern w:val="2"/>
                <w:szCs w:val="21"/>
                <w:u w:val="single"/>
                <w:lang w:val="en-US" w:eastAsia="zh-CN"/>
              </w:rPr>
            </w:pPr>
            <w:r>
              <w:rPr>
                <w:kern w:val="2"/>
                <w:szCs w:val="21"/>
                <w:u w:val="single"/>
                <w:lang w:val="en-US" w:eastAsia="zh-CN"/>
              </w:rPr>
              <w:t>1</w:t>
            </w:r>
          </w:p>
        </w:tc>
        <w:tc>
          <w:tcPr>
            <w:tcW w:w="1604" w:type="dxa"/>
            <w:gridSpan w:val="2"/>
            <w:vAlign w:val="center"/>
          </w:tcPr>
          <w:p>
            <w:pPr>
              <w:ind w:firstLine="480"/>
              <w:rPr>
                <w:u w:val="single"/>
              </w:rPr>
            </w:pPr>
            <w:r>
              <w:rPr>
                <w:rFonts w:hint="eastAsia"/>
                <w:u w:val="singl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络筒机</w:t>
            </w:r>
          </w:p>
        </w:tc>
        <w:tc>
          <w:tcPr>
            <w:tcW w:w="3393" w:type="dxa"/>
            <w:vAlign w:val="center"/>
          </w:tcPr>
          <w:p>
            <w:pPr>
              <w:pStyle w:val="26"/>
              <w:rPr>
                <w:kern w:val="2"/>
                <w:szCs w:val="21"/>
                <w:u w:val="single"/>
                <w:lang w:val="en-US" w:eastAsia="zh-CN"/>
              </w:rPr>
            </w:pPr>
            <w:r>
              <w:rPr>
                <w:kern w:val="2"/>
                <w:szCs w:val="21"/>
                <w:u w:val="single"/>
                <w:lang w:val="en-US" w:eastAsia="zh-CN"/>
              </w:rPr>
              <w:t>1332M</w:t>
            </w:r>
          </w:p>
        </w:tc>
        <w:tc>
          <w:tcPr>
            <w:tcW w:w="1650" w:type="dxa"/>
            <w:gridSpan w:val="2"/>
            <w:vAlign w:val="center"/>
          </w:tcPr>
          <w:p>
            <w:pPr>
              <w:pStyle w:val="26"/>
              <w:rPr>
                <w:kern w:val="2"/>
                <w:szCs w:val="21"/>
                <w:u w:val="single"/>
                <w:lang w:val="en-US" w:eastAsia="zh-CN"/>
              </w:rPr>
            </w:pPr>
            <w:r>
              <w:rPr>
                <w:rFonts w:hint="eastAsia"/>
                <w:kern w:val="2"/>
                <w:szCs w:val="21"/>
                <w:u w:val="single"/>
                <w:lang w:val="en-US" w:eastAsia="zh-CN"/>
              </w:rPr>
              <w:t>台</w:t>
            </w:r>
          </w:p>
        </w:tc>
        <w:tc>
          <w:tcPr>
            <w:tcW w:w="1110" w:type="dxa"/>
            <w:vAlign w:val="center"/>
          </w:tcPr>
          <w:p>
            <w:pPr>
              <w:pStyle w:val="26"/>
              <w:rPr>
                <w:kern w:val="2"/>
                <w:szCs w:val="21"/>
                <w:u w:val="single"/>
                <w:lang w:val="en-US" w:eastAsia="zh-CN"/>
              </w:rPr>
            </w:pPr>
            <w:r>
              <w:rPr>
                <w:kern w:val="2"/>
                <w:szCs w:val="21"/>
                <w:u w:val="single"/>
                <w:lang w:val="en-US" w:eastAsia="zh-CN"/>
              </w:rPr>
              <w:t>1</w:t>
            </w:r>
          </w:p>
        </w:tc>
        <w:tc>
          <w:tcPr>
            <w:tcW w:w="1604" w:type="dxa"/>
            <w:gridSpan w:val="2"/>
            <w:vAlign w:val="center"/>
          </w:tcPr>
          <w:p>
            <w:pPr>
              <w:ind w:firstLine="480"/>
              <w:rPr>
                <w:u w:val="single"/>
              </w:rPr>
            </w:pPr>
            <w:r>
              <w:rPr>
                <w:rFonts w:hint="eastAsia"/>
                <w:u w:val="singl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097" w:type="dxa"/>
            <w:vAlign w:val="center"/>
          </w:tcPr>
          <w:p>
            <w:pPr>
              <w:pStyle w:val="26"/>
              <w:rPr>
                <w:kern w:val="2"/>
                <w:szCs w:val="21"/>
                <w:u w:val="single"/>
                <w:lang w:val="en-US" w:eastAsia="zh-CN"/>
              </w:rPr>
            </w:pPr>
            <w:r>
              <w:rPr>
                <w:rFonts w:hint="eastAsia"/>
                <w:kern w:val="2"/>
                <w:szCs w:val="21"/>
                <w:u w:val="single"/>
                <w:lang w:val="en-US" w:eastAsia="zh-CN"/>
              </w:rPr>
              <w:t>捻线机</w:t>
            </w:r>
          </w:p>
        </w:tc>
        <w:tc>
          <w:tcPr>
            <w:tcW w:w="3393" w:type="dxa"/>
            <w:vAlign w:val="center"/>
          </w:tcPr>
          <w:p>
            <w:pPr>
              <w:pStyle w:val="26"/>
              <w:rPr>
                <w:kern w:val="2"/>
                <w:szCs w:val="21"/>
                <w:u w:val="single"/>
                <w:lang w:val="en-US" w:eastAsia="zh-CN"/>
              </w:rPr>
            </w:pPr>
            <w:r>
              <w:rPr>
                <w:kern w:val="2"/>
                <w:szCs w:val="21"/>
                <w:u w:val="single"/>
                <w:lang w:val="en-US" w:eastAsia="zh-CN"/>
              </w:rPr>
              <w:t>A631E-</w:t>
            </w:r>
            <w:r>
              <w:rPr>
                <w:rFonts w:hint="eastAsia"/>
                <w:kern w:val="2"/>
                <w:szCs w:val="21"/>
                <w:u w:val="single"/>
                <w:lang w:val="en-US" w:eastAsia="zh-CN"/>
              </w:rPr>
              <w:t>Ⅱ</w:t>
            </w:r>
          </w:p>
        </w:tc>
        <w:tc>
          <w:tcPr>
            <w:tcW w:w="1650" w:type="dxa"/>
            <w:gridSpan w:val="2"/>
            <w:vAlign w:val="center"/>
          </w:tcPr>
          <w:p>
            <w:pPr>
              <w:pStyle w:val="26"/>
              <w:rPr>
                <w:kern w:val="2"/>
                <w:szCs w:val="21"/>
                <w:u w:val="single"/>
                <w:lang w:val="en-US" w:eastAsia="zh-CN"/>
              </w:rPr>
            </w:pPr>
            <w:r>
              <w:rPr>
                <w:rFonts w:hint="eastAsia"/>
                <w:kern w:val="2"/>
                <w:szCs w:val="21"/>
                <w:u w:val="single"/>
                <w:lang w:val="en-US" w:eastAsia="zh-CN"/>
              </w:rPr>
              <w:t>台</w:t>
            </w:r>
          </w:p>
        </w:tc>
        <w:tc>
          <w:tcPr>
            <w:tcW w:w="1110" w:type="dxa"/>
            <w:vAlign w:val="center"/>
          </w:tcPr>
          <w:p>
            <w:pPr>
              <w:pStyle w:val="26"/>
              <w:rPr>
                <w:kern w:val="2"/>
                <w:szCs w:val="21"/>
                <w:u w:val="single"/>
                <w:lang w:val="en-US" w:eastAsia="zh-CN"/>
              </w:rPr>
            </w:pPr>
            <w:r>
              <w:rPr>
                <w:kern w:val="2"/>
                <w:szCs w:val="21"/>
                <w:u w:val="single"/>
                <w:lang w:val="en-US" w:eastAsia="zh-CN"/>
              </w:rPr>
              <w:t>1</w:t>
            </w:r>
          </w:p>
        </w:tc>
        <w:tc>
          <w:tcPr>
            <w:tcW w:w="1604" w:type="dxa"/>
            <w:gridSpan w:val="2"/>
            <w:vAlign w:val="center"/>
          </w:tcPr>
          <w:p>
            <w:pPr>
              <w:ind w:firstLine="480"/>
              <w:rPr>
                <w:u w:val="single"/>
              </w:rPr>
            </w:pPr>
            <w:r>
              <w:rPr>
                <w:rFonts w:hint="eastAsia"/>
                <w:u w:val="single"/>
              </w:rPr>
              <w:t>利旧</w:t>
            </w:r>
          </w:p>
        </w:tc>
      </w:tr>
    </w:tbl>
    <w:p>
      <w:pPr>
        <w:ind w:firstLine="480"/>
        <w:rPr>
          <w:u w:val="single"/>
        </w:rPr>
      </w:pPr>
      <w:r>
        <w:rPr>
          <w:rFonts w:hint="eastAsia"/>
          <w:u w:val="single"/>
        </w:rPr>
        <w:t>根据《产业结构调整指导目录（</w:t>
      </w:r>
      <w:r>
        <w:rPr>
          <w:u w:val="single"/>
        </w:rPr>
        <w:t>2011</w:t>
      </w:r>
      <w:r>
        <w:rPr>
          <w:rFonts w:hint="eastAsia"/>
          <w:u w:val="single"/>
        </w:rPr>
        <w:t>年版）》，①技改后新购置的印染生产设备不属于“未经改造的74型染整设备，蒸汽加热敞开无密闭的印染平洗槽，使用年限超过15年的国产和使用年限超过20年的进口印染前处理设备、拉幅和定形设备、圆网和平网印花机、连续染色机”等淘汰设备；②纺纱生产设备不属于““1”字头成卷、梳棉、清花、并条、粗纱、细纱设备，1332系列络筒机，1511型有梭织机，“1”字头整经、浆纱机等全部“1”字头的纺纱织造设备； A512、A513系列细纱机；B581、B582型精纺细纱机，BC581、BC582型粗纺细纱机，B591绒线细纱机，B601、B601A型毛捻线机，BC272、BC272B型粗梳毛纺梳毛机，B751型绒线成球机，B701A型绒线摇绞机，B250、B311、B311C、B311C（CZ）、B311C（DJ）型精梳机，H112、H112A型毛分条整经机、H212型毛织机等毛纺织设备；90年以前生产、未经技术改造的各类国产毛纺细纱机 ”。</w:t>
      </w:r>
    </w:p>
    <w:p>
      <w:pPr>
        <w:ind w:firstLine="480"/>
        <w:rPr>
          <w:u w:val="single"/>
        </w:rPr>
      </w:pPr>
      <w:r>
        <w:rPr>
          <w:rFonts w:hint="eastAsia"/>
          <w:u w:val="single"/>
        </w:rPr>
        <w:t>综上所述，技改后项目生产设备均不属于《产业结构调整指导目录（</w:t>
      </w:r>
      <w:r>
        <w:rPr>
          <w:u w:val="single"/>
        </w:rPr>
        <w:t>2011</w:t>
      </w:r>
      <w:r>
        <w:rPr>
          <w:rFonts w:hint="eastAsia"/>
          <w:u w:val="single"/>
        </w:rPr>
        <w:t>年版）》中淘汰设备，因此，技改后生产设备符合《产业结构调整指导目录（</w:t>
      </w:r>
      <w:r>
        <w:rPr>
          <w:u w:val="single"/>
        </w:rPr>
        <w:t>2011</w:t>
      </w:r>
      <w:r>
        <w:rPr>
          <w:rFonts w:hint="eastAsia"/>
          <w:u w:val="single"/>
        </w:rPr>
        <w:t>年版）》相关要求。</w:t>
      </w:r>
    </w:p>
    <w:p>
      <w:pPr>
        <w:pStyle w:val="26"/>
        <w:rPr>
          <w:b/>
          <w:bCs/>
        </w:rPr>
      </w:pPr>
      <w:r>
        <w:rPr>
          <w:rFonts w:hint="eastAsia"/>
          <w:b/>
          <w:bCs/>
        </w:rPr>
        <w:t>表4.1-8 技改前后主要生产设备对比一览表</w:t>
      </w:r>
    </w:p>
    <w:tbl>
      <w:tblPr>
        <w:tblStyle w:val="23"/>
        <w:tblW w:w="96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648"/>
        <w:gridCol w:w="2348"/>
        <w:gridCol w:w="2348"/>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12" w:hRule="atLeast"/>
          <w:tblHeader/>
          <w:jc w:val="center"/>
        </w:trPr>
        <w:tc>
          <w:tcPr>
            <w:tcW w:w="2648" w:type="dxa"/>
            <w:vAlign w:val="center"/>
          </w:tcPr>
          <w:p>
            <w:pPr>
              <w:pStyle w:val="26"/>
              <w:rPr>
                <w:kern w:val="2"/>
                <w:szCs w:val="21"/>
                <w:lang w:val="en-US" w:eastAsia="zh-CN"/>
              </w:rPr>
            </w:pPr>
            <w:r>
              <w:rPr>
                <w:rFonts w:hint="eastAsia"/>
                <w:kern w:val="2"/>
                <w:szCs w:val="21"/>
                <w:lang w:val="en-US" w:eastAsia="zh-CN"/>
              </w:rPr>
              <w:t>设备名称</w:t>
            </w:r>
          </w:p>
        </w:tc>
        <w:tc>
          <w:tcPr>
            <w:tcW w:w="2348" w:type="dxa"/>
            <w:vAlign w:val="center"/>
          </w:tcPr>
          <w:p>
            <w:pPr>
              <w:pStyle w:val="26"/>
              <w:rPr>
                <w:kern w:val="2"/>
                <w:szCs w:val="21"/>
                <w:lang w:val="en-US" w:eastAsia="zh-CN"/>
              </w:rPr>
            </w:pPr>
            <w:r>
              <w:rPr>
                <w:rFonts w:hint="eastAsia"/>
                <w:kern w:val="2"/>
                <w:szCs w:val="21"/>
                <w:lang w:val="en-US" w:eastAsia="zh-CN"/>
              </w:rPr>
              <w:t>技改前数量（台）</w:t>
            </w:r>
          </w:p>
        </w:tc>
        <w:tc>
          <w:tcPr>
            <w:tcW w:w="2348" w:type="dxa"/>
            <w:vAlign w:val="center"/>
          </w:tcPr>
          <w:p>
            <w:pPr>
              <w:pStyle w:val="26"/>
              <w:rPr>
                <w:kern w:val="2"/>
                <w:szCs w:val="21"/>
                <w:lang w:val="en-US" w:eastAsia="zh-CN"/>
              </w:rPr>
            </w:pPr>
            <w:r>
              <w:rPr>
                <w:rFonts w:hint="eastAsia"/>
                <w:kern w:val="2"/>
                <w:szCs w:val="21"/>
                <w:lang w:val="en-US" w:eastAsia="zh-CN"/>
              </w:rPr>
              <w:t>技改后数量（台）</w:t>
            </w:r>
          </w:p>
        </w:tc>
        <w:tc>
          <w:tcPr>
            <w:tcW w:w="2350" w:type="dxa"/>
            <w:vAlign w:val="center"/>
          </w:tcPr>
          <w:p>
            <w:pPr>
              <w:pStyle w:val="26"/>
              <w:rPr>
                <w:kern w:val="2"/>
                <w:szCs w:val="21"/>
                <w:lang w:val="en-US" w:eastAsia="zh-CN"/>
              </w:rPr>
            </w:pPr>
            <w:r>
              <w:rPr>
                <w:rFonts w:hint="eastAsia"/>
                <w:kern w:val="2"/>
                <w:szCs w:val="21"/>
                <w:lang w:val="en-US" w:eastAsia="zh-CN"/>
              </w:rPr>
              <w:t>技改前后增减量（台）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9694" w:type="dxa"/>
            <w:gridSpan w:val="4"/>
            <w:vAlign w:val="center"/>
          </w:tcPr>
          <w:p>
            <w:pPr>
              <w:pStyle w:val="26"/>
              <w:rPr>
                <w:kern w:val="2"/>
                <w:szCs w:val="21"/>
                <w:lang w:val="en-US" w:eastAsia="zh-CN"/>
              </w:rPr>
            </w:pPr>
            <w:r>
              <w:rPr>
                <w:rFonts w:hint="eastAsia"/>
                <w:kern w:val="2"/>
                <w:szCs w:val="21"/>
                <w:lang w:val="en-US" w:eastAsia="zh-CN"/>
              </w:rPr>
              <w:t>一、印染生产设备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spacing w:line="240" w:lineRule="auto"/>
              <w:rPr>
                <w:kern w:val="2"/>
                <w:szCs w:val="21"/>
                <w:lang w:val="en-US" w:eastAsia="zh-CN"/>
              </w:rPr>
            </w:pPr>
            <w:r>
              <w:rPr>
                <w:rFonts w:hint="eastAsia"/>
                <w:kern w:val="2"/>
                <w:szCs w:val="21"/>
                <w:lang w:val="en-US" w:eastAsia="zh-CN"/>
              </w:rPr>
              <w:t>高温高压气流染色机</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48" w:type="dxa"/>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6</w:t>
            </w:r>
          </w:p>
        </w:tc>
        <w:tc>
          <w:tcPr>
            <w:tcW w:w="2350"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1</w:t>
            </w:r>
            <w:r>
              <w:rPr>
                <w:rFonts w:hint="eastAsia"/>
                <w:kern w:val="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连续绳状水洗机</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48" w:type="dxa"/>
            <w:vAlign w:val="center"/>
          </w:tcPr>
          <w:p>
            <w:pPr>
              <w:pStyle w:val="26"/>
              <w:rPr>
                <w:kern w:val="2"/>
                <w:szCs w:val="21"/>
                <w:lang w:val="en-US" w:eastAsia="zh-CN"/>
              </w:rPr>
            </w:pPr>
            <w:r>
              <w:rPr>
                <w:kern w:val="2"/>
                <w:szCs w:val="21"/>
                <w:lang w:val="en-US" w:eastAsia="zh-CN"/>
              </w:rPr>
              <w:t>1</w:t>
            </w:r>
          </w:p>
        </w:tc>
        <w:tc>
          <w:tcPr>
            <w:tcW w:w="2350"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定型机</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48" w:type="dxa"/>
            <w:vAlign w:val="center"/>
          </w:tcPr>
          <w:p>
            <w:pPr>
              <w:pStyle w:val="26"/>
              <w:rPr>
                <w:kern w:val="2"/>
                <w:szCs w:val="21"/>
                <w:lang w:val="en-US" w:eastAsia="zh-CN"/>
              </w:rPr>
            </w:pPr>
            <w:r>
              <w:rPr>
                <w:kern w:val="2"/>
                <w:szCs w:val="21"/>
                <w:lang w:val="en-US" w:eastAsia="zh-CN"/>
              </w:rPr>
              <w:t>2</w:t>
            </w:r>
          </w:p>
        </w:tc>
        <w:tc>
          <w:tcPr>
            <w:tcW w:w="2350"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脱水机</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48" w:type="dxa"/>
            <w:vAlign w:val="center"/>
          </w:tcPr>
          <w:p>
            <w:pPr>
              <w:pStyle w:val="26"/>
              <w:rPr>
                <w:kern w:val="2"/>
                <w:szCs w:val="21"/>
                <w:lang w:val="en-US" w:eastAsia="zh-CN"/>
              </w:rPr>
            </w:pPr>
            <w:r>
              <w:rPr>
                <w:kern w:val="2"/>
                <w:szCs w:val="21"/>
                <w:lang w:val="en-US" w:eastAsia="zh-CN"/>
              </w:rPr>
              <w:t>3</w:t>
            </w:r>
          </w:p>
        </w:tc>
        <w:tc>
          <w:tcPr>
            <w:tcW w:w="2350"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开幅机</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48" w:type="dxa"/>
            <w:vAlign w:val="center"/>
          </w:tcPr>
          <w:p>
            <w:pPr>
              <w:pStyle w:val="26"/>
              <w:rPr>
                <w:kern w:val="2"/>
                <w:szCs w:val="21"/>
                <w:lang w:val="en-US" w:eastAsia="zh-CN"/>
              </w:rPr>
            </w:pPr>
            <w:r>
              <w:rPr>
                <w:kern w:val="2"/>
                <w:szCs w:val="21"/>
                <w:lang w:val="en-US" w:eastAsia="zh-CN"/>
              </w:rPr>
              <w:t>2</w:t>
            </w:r>
          </w:p>
        </w:tc>
        <w:tc>
          <w:tcPr>
            <w:tcW w:w="2350"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烧毛机</w:t>
            </w:r>
          </w:p>
        </w:tc>
        <w:tc>
          <w:tcPr>
            <w:tcW w:w="2348" w:type="dxa"/>
            <w:vAlign w:val="center"/>
          </w:tcPr>
          <w:p>
            <w:pPr>
              <w:pStyle w:val="26"/>
              <w:rPr>
                <w:kern w:val="2"/>
                <w:szCs w:val="21"/>
                <w:lang w:val="en-US" w:eastAsia="zh-CN"/>
              </w:rPr>
            </w:pPr>
            <w:r>
              <w:rPr>
                <w:kern w:val="2"/>
                <w:szCs w:val="21"/>
                <w:lang w:val="en-US" w:eastAsia="zh-CN"/>
              </w:rPr>
              <w:t>1</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50"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平幅炼煮漂机</w:t>
            </w:r>
          </w:p>
        </w:tc>
        <w:tc>
          <w:tcPr>
            <w:tcW w:w="2348" w:type="dxa"/>
            <w:vAlign w:val="center"/>
          </w:tcPr>
          <w:p>
            <w:pPr>
              <w:pStyle w:val="26"/>
              <w:rPr>
                <w:kern w:val="2"/>
                <w:szCs w:val="21"/>
                <w:lang w:val="en-US" w:eastAsia="zh-CN"/>
              </w:rPr>
            </w:pPr>
            <w:r>
              <w:rPr>
                <w:kern w:val="2"/>
                <w:szCs w:val="21"/>
                <w:lang w:val="en-US" w:eastAsia="zh-CN"/>
              </w:rPr>
              <w:t>1</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50"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丝光机</w:t>
            </w:r>
          </w:p>
        </w:tc>
        <w:tc>
          <w:tcPr>
            <w:tcW w:w="2348" w:type="dxa"/>
            <w:vAlign w:val="center"/>
          </w:tcPr>
          <w:p>
            <w:pPr>
              <w:pStyle w:val="26"/>
              <w:rPr>
                <w:kern w:val="2"/>
                <w:szCs w:val="21"/>
                <w:lang w:val="en-US" w:eastAsia="zh-CN"/>
              </w:rPr>
            </w:pPr>
            <w:r>
              <w:rPr>
                <w:kern w:val="2"/>
                <w:szCs w:val="21"/>
                <w:lang w:val="en-US" w:eastAsia="zh-CN"/>
              </w:rPr>
              <w:t>1</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50"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kern w:val="2"/>
                <w:szCs w:val="21"/>
                <w:lang w:val="en-US" w:eastAsia="zh-CN"/>
              </w:rPr>
              <w:t>641</w:t>
            </w:r>
            <w:r>
              <w:rPr>
                <w:rFonts w:hint="eastAsia"/>
                <w:kern w:val="2"/>
                <w:szCs w:val="21"/>
                <w:lang w:val="en-US" w:eastAsia="zh-CN"/>
              </w:rPr>
              <w:t>显色机</w:t>
            </w:r>
          </w:p>
        </w:tc>
        <w:tc>
          <w:tcPr>
            <w:tcW w:w="2348" w:type="dxa"/>
            <w:vAlign w:val="center"/>
          </w:tcPr>
          <w:p>
            <w:pPr>
              <w:pStyle w:val="26"/>
              <w:rPr>
                <w:kern w:val="2"/>
                <w:szCs w:val="21"/>
                <w:lang w:val="en-US" w:eastAsia="zh-CN"/>
              </w:rPr>
            </w:pPr>
            <w:r>
              <w:rPr>
                <w:kern w:val="2"/>
                <w:szCs w:val="21"/>
                <w:lang w:val="en-US" w:eastAsia="zh-CN"/>
              </w:rPr>
              <w:t>1</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50"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打底机</w:t>
            </w:r>
          </w:p>
        </w:tc>
        <w:tc>
          <w:tcPr>
            <w:tcW w:w="2348" w:type="dxa"/>
            <w:vAlign w:val="center"/>
          </w:tcPr>
          <w:p>
            <w:pPr>
              <w:pStyle w:val="26"/>
              <w:rPr>
                <w:kern w:val="2"/>
                <w:szCs w:val="21"/>
                <w:lang w:val="en-US" w:eastAsia="zh-CN"/>
              </w:rPr>
            </w:pPr>
            <w:r>
              <w:rPr>
                <w:kern w:val="2"/>
                <w:szCs w:val="21"/>
                <w:lang w:val="en-US" w:eastAsia="zh-CN"/>
              </w:rPr>
              <w:t>2</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50"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热风拉幅定型机机</w:t>
            </w:r>
          </w:p>
        </w:tc>
        <w:tc>
          <w:tcPr>
            <w:tcW w:w="2348" w:type="dxa"/>
            <w:vAlign w:val="center"/>
          </w:tcPr>
          <w:p>
            <w:pPr>
              <w:pStyle w:val="26"/>
              <w:rPr>
                <w:kern w:val="2"/>
                <w:szCs w:val="21"/>
                <w:lang w:val="en-US" w:eastAsia="zh-CN"/>
              </w:rPr>
            </w:pPr>
            <w:r>
              <w:rPr>
                <w:kern w:val="2"/>
                <w:szCs w:val="21"/>
                <w:lang w:val="en-US" w:eastAsia="zh-CN"/>
              </w:rPr>
              <w:t>2</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50"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缩水机</w:t>
            </w:r>
          </w:p>
        </w:tc>
        <w:tc>
          <w:tcPr>
            <w:tcW w:w="2348" w:type="dxa"/>
            <w:vAlign w:val="center"/>
          </w:tcPr>
          <w:p>
            <w:pPr>
              <w:pStyle w:val="26"/>
              <w:rPr>
                <w:kern w:val="2"/>
                <w:szCs w:val="21"/>
                <w:lang w:val="en-US" w:eastAsia="zh-CN"/>
              </w:rPr>
            </w:pPr>
            <w:r>
              <w:rPr>
                <w:kern w:val="2"/>
                <w:szCs w:val="21"/>
                <w:lang w:val="en-US" w:eastAsia="zh-CN"/>
              </w:rPr>
              <w:t>1</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50"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卷布机</w:t>
            </w:r>
          </w:p>
        </w:tc>
        <w:tc>
          <w:tcPr>
            <w:tcW w:w="2348" w:type="dxa"/>
            <w:vAlign w:val="center"/>
          </w:tcPr>
          <w:p>
            <w:pPr>
              <w:pStyle w:val="26"/>
              <w:rPr>
                <w:kern w:val="2"/>
                <w:szCs w:val="21"/>
                <w:lang w:val="en-US" w:eastAsia="zh-CN"/>
              </w:rPr>
            </w:pPr>
            <w:r>
              <w:rPr>
                <w:kern w:val="2"/>
                <w:szCs w:val="21"/>
                <w:lang w:val="en-US" w:eastAsia="zh-CN"/>
              </w:rPr>
              <w:t>1</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50"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导热油锅炉</w:t>
            </w:r>
          </w:p>
        </w:tc>
        <w:tc>
          <w:tcPr>
            <w:tcW w:w="2348" w:type="dxa"/>
            <w:vAlign w:val="center"/>
          </w:tcPr>
          <w:p>
            <w:pPr>
              <w:pStyle w:val="26"/>
              <w:rPr>
                <w:kern w:val="2"/>
                <w:szCs w:val="21"/>
                <w:lang w:val="en-US" w:eastAsia="zh-CN"/>
              </w:rPr>
            </w:pPr>
            <w:r>
              <w:rPr>
                <w:rFonts w:hint="eastAsia"/>
                <w:kern w:val="2"/>
                <w:szCs w:val="21"/>
                <w:lang w:val="en-US" w:eastAsia="zh-CN"/>
              </w:rPr>
              <w:t>1</w:t>
            </w:r>
          </w:p>
        </w:tc>
        <w:tc>
          <w:tcPr>
            <w:tcW w:w="2348" w:type="dxa"/>
            <w:vAlign w:val="center"/>
          </w:tcPr>
          <w:p>
            <w:pPr>
              <w:pStyle w:val="26"/>
              <w:rPr>
                <w:kern w:val="2"/>
                <w:szCs w:val="21"/>
                <w:lang w:val="en-US" w:eastAsia="zh-CN"/>
              </w:rPr>
            </w:pPr>
            <w:r>
              <w:rPr>
                <w:kern w:val="2"/>
                <w:szCs w:val="21"/>
                <w:lang w:val="en-US" w:eastAsia="zh-CN"/>
              </w:rPr>
              <w:t>1</w:t>
            </w:r>
          </w:p>
        </w:tc>
        <w:tc>
          <w:tcPr>
            <w:tcW w:w="2350" w:type="dxa"/>
            <w:vAlign w:val="center"/>
          </w:tcPr>
          <w:p>
            <w:pPr>
              <w:pStyle w:val="26"/>
              <w:rPr>
                <w:kern w:val="2"/>
                <w:szCs w:val="21"/>
                <w:lang w:val="en-US" w:eastAsia="zh-CN"/>
              </w:rPr>
            </w:pPr>
            <w:r>
              <w:rPr>
                <w:rFonts w:hint="eastAsia"/>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定型废气处理装置</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48" w:type="dxa"/>
            <w:vAlign w:val="center"/>
          </w:tcPr>
          <w:p>
            <w:pPr>
              <w:pStyle w:val="26"/>
              <w:rPr>
                <w:kern w:val="2"/>
                <w:szCs w:val="21"/>
                <w:lang w:val="en-US" w:eastAsia="zh-CN"/>
              </w:rPr>
            </w:pPr>
            <w:r>
              <w:rPr>
                <w:kern w:val="2"/>
                <w:szCs w:val="21"/>
                <w:lang w:val="en-US" w:eastAsia="zh-CN"/>
              </w:rPr>
              <w:t>2</w:t>
            </w:r>
          </w:p>
        </w:tc>
        <w:tc>
          <w:tcPr>
            <w:tcW w:w="2350" w:type="dxa"/>
            <w:vAlign w:val="center"/>
          </w:tcPr>
          <w:p>
            <w:pPr>
              <w:pStyle w:val="26"/>
              <w:rPr>
                <w:kern w:val="2"/>
                <w:szCs w:val="21"/>
                <w:lang w:val="en-US" w:eastAsia="zh-CN"/>
              </w:rPr>
            </w:pPr>
            <w:r>
              <w:rPr>
                <w:rFonts w:hint="eastAsia"/>
                <w:kern w:val="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kern w:val="2"/>
                <w:szCs w:val="21"/>
                <w:lang w:val="en-US" w:eastAsia="zh-CN"/>
              </w:rPr>
              <w:t>10</w:t>
            </w:r>
            <w:r>
              <w:rPr>
                <w:rFonts w:hint="eastAsia"/>
                <w:kern w:val="2"/>
                <w:szCs w:val="21"/>
                <w:lang w:val="en-US" w:eastAsia="zh-CN"/>
              </w:rPr>
              <w:t>吨蒸汽锅炉</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48" w:type="dxa"/>
            <w:vAlign w:val="center"/>
          </w:tcPr>
          <w:p>
            <w:pPr>
              <w:pStyle w:val="26"/>
              <w:rPr>
                <w:kern w:val="2"/>
                <w:szCs w:val="21"/>
                <w:lang w:val="en-US" w:eastAsia="zh-CN"/>
              </w:rPr>
            </w:pPr>
            <w:r>
              <w:rPr>
                <w:kern w:val="2"/>
                <w:szCs w:val="21"/>
                <w:lang w:val="en-US" w:eastAsia="zh-CN"/>
              </w:rPr>
              <w:t>1</w:t>
            </w:r>
          </w:p>
        </w:tc>
        <w:tc>
          <w:tcPr>
            <w:tcW w:w="2350" w:type="dxa"/>
            <w:vAlign w:val="center"/>
          </w:tcPr>
          <w:p>
            <w:pPr>
              <w:pStyle w:val="26"/>
              <w:rPr>
                <w:kern w:val="2"/>
                <w:szCs w:val="21"/>
                <w:lang w:val="en-US" w:eastAsia="zh-CN"/>
              </w:rPr>
            </w:pPr>
            <w:r>
              <w:rPr>
                <w:rFonts w:hint="eastAsia"/>
                <w:kern w:val="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kern w:val="2"/>
                <w:szCs w:val="21"/>
                <w:lang w:val="en-US" w:eastAsia="zh-CN"/>
              </w:rPr>
              <w:t>6.5</w:t>
            </w:r>
            <w:r>
              <w:rPr>
                <w:rFonts w:hint="eastAsia"/>
                <w:kern w:val="2"/>
                <w:szCs w:val="21"/>
                <w:lang w:val="en-US" w:eastAsia="zh-CN"/>
              </w:rPr>
              <w:t>吨蒸汽锅炉</w:t>
            </w:r>
          </w:p>
        </w:tc>
        <w:tc>
          <w:tcPr>
            <w:tcW w:w="2348" w:type="dxa"/>
            <w:vAlign w:val="center"/>
          </w:tcPr>
          <w:p>
            <w:pPr>
              <w:pStyle w:val="26"/>
              <w:rPr>
                <w:kern w:val="2"/>
                <w:szCs w:val="21"/>
                <w:lang w:val="en-US" w:eastAsia="zh-CN"/>
              </w:rPr>
            </w:pPr>
            <w:r>
              <w:rPr>
                <w:rFonts w:hint="eastAsia"/>
                <w:kern w:val="2"/>
                <w:szCs w:val="21"/>
                <w:lang w:val="en-US" w:eastAsia="zh-CN"/>
              </w:rPr>
              <w:t>1</w:t>
            </w:r>
          </w:p>
        </w:tc>
        <w:tc>
          <w:tcPr>
            <w:tcW w:w="2348" w:type="dxa"/>
            <w:vAlign w:val="center"/>
          </w:tcPr>
          <w:p>
            <w:pPr>
              <w:pStyle w:val="26"/>
              <w:rPr>
                <w:kern w:val="2"/>
                <w:szCs w:val="21"/>
                <w:lang w:val="en-US" w:eastAsia="zh-CN"/>
              </w:rPr>
            </w:pPr>
            <w:r>
              <w:rPr>
                <w:kern w:val="2"/>
                <w:szCs w:val="21"/>
                <w:lang w:val="en-US" w:eastAsia="zh-CN"/>
              </w:rPr>
              <w:t>1</w:t>
            </w:r>
          </w:p>
        </w:tc>
        <w:tc>
          <w:tcPr>
            <w:tcW w:w="2350" w:type="dxa"/>
            <w:vAlign w:val="center"/>
          </w:tcPr>
          <w:p>
            <w:pPr>
              <w:pStyle w:val="26"/>
              <w:rPr>
                <w:kern w:val="2"/>
                <w:szCs w:val="21"/>
                <w:lang w:val="en-US" w:eastAsia="zh-CN"/>
              </w:rPr>
            </w:pPr>
            <w:r>
              <w:rPr>
                <w:rFonts w:hint="eastAsia"/>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9694" w:type="dxa"/>
            <w:gridSpan w:val="4"/>
            <w:vAlign w:val="center"/>
          </w:tcPr>
          <w:p>
            <w:pPr>
              <w:pStyle w:val="26"/>
              <w:rPr>
                <w:kern w:val="2"/>
                <w:szCs w:val="21"/>
                <w:lang w:val="en-US" w:eastAsia="zh-CN"/>
              </w:rPr>
            </w:pPr>
            <w:r>
              <w:rPr>
                <w:rFonts w:hint="eastAsia"/>
                <w:kern w:val="2"/>
                <w:szCs w:val="21"/>
                <w:lang w:val="en-US" w:eastAsia="zh-CN"/>
              </w:rPr>
              <w:t>二、纺纱生产设备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清棉机</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4</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4</w:t>
            </w:r>
          </w:p>
        </w:tc>
        <w:tc>
          <w:tcPr>
            <w:tcW w:w="2350" w:type="dxa"/>
            <w:vAlign w:val="center"/>
          </w:tcPr>
          <w:p>
            <w:pPr>
              <w:pStyle w:val="26"/>
              <w:rPr>
                <w:kern w:val="2"/>
                <w:szCs w:val="21"/>
                <w:lang w:val="en-US" w:eastAsia="zh-CN"/>
              </w:rPr>
            </w:pPr>
            <w:r>
              <w:rPr>
                <w:rFonts w:hint="eastAsia"/>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梳棉机</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40</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40</w:t>
            </w:r>
          </w:p>
        </w:tc>
        <w:tc>
          <w:tcPr>
            <w:tcW w:w="2350" w:type="dxa"/>
            <w:vAlign w:val="center"/>
          </w:tcPr>
          <w:p>
            <w:pPr>
              <w:pStyle w:val="26"/>
              <w:rPr>
                <w:kern w:val="2"/>
                <w:szCs w:val="21"/>
                <w:lang w:val="en-US" w:eastAsia="zh-CN"/>
              </w:rPr>
            </w:pPr>
            <w:r>
              <w:rPr>
                <w:rFonts w:hint="eastAsia"/>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并条机</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25</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25</w:t>
            </w:r>
          </w:p>
        </w:tc>
        <w:tc>
          <w:tcPr>
            <w:tcW w:w="2350" w:type="dxa"/>
            <w:vAlign w:val="center"/>
          </w:tcPr>
          <w:p>
            <w:pPr>
              <w:pStyle w:val="26"/>
              <w:rPr>
                <w:kern w:val="2"/>
                <w:szCs w:val="21"/>
                <w:lang w:val="en-US" w:eastAsia="zh-CN"/>
              </w:rPr>
            </w:pPr>
            <w:r>
              <w:rPr>
                <w:rFonts w:hint="eastAsia"/>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粗纱机</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20</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20</w:t>
            </w:r>
          </w:p>
        </w:tc>
        <w:tc>
          <w:tcPr>
            <w:tcW w:w="2350" w:type="dxa"/>
            <w:vAlign w:val="center"/>
          </w:tcPr>
          <w:p>
            <w:pPr>
              <w:pStyle w:val="26"/>
              <w:rPr>
                <w:kern w:val="2"/>
                <w:szCs w:val="21"/>
                <w:lang w:val="en-US" w:eastAsia="zh-CN"/>
              </w:rPr>
            </w:pPr>
            <w:r>
              <w:rPr>
                <w:rFonts w:hint="eastAsia"/>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细纱机</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100</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100</w:t>
            </w:r>
          </w:p>
        </w:tc>
        <w:tc>
          <w:tcPr>
            <w:tcW w:w="2350" w:type="dxa"/>
            <w:vAlign w:val="center"/>
          </w:tcPr>
          <w:p>
            <w:pPr>
              <w:pStyle w:val="26"/>
              <w:rPr>
                <w:kern w:val="2"/>
                <w:szCs w:val="21"/>
                <w:lang w:val="en-US" w:eastAsia="zh-CN"/>
              </w:rPr>
            </w:pPr>
            <w:r>
              <w:rPr>
                <w:rFonts w:hint="eastAsia"/>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络筒机</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60</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60</w:t>
            </w:r>
          </w:p>
        </w:tc>
        <w:tc>
          <w:tcPr>
            <w:tcW w:w="2350" w:type="dxa"/>
            <w:vAlign w:val="center"/>
          </w:tcPr>
          <w:p>
            <w:pPr>
              <w:pStyle w:val="26"/>
              <w:rPr>
                <w:kern w:val="2"/>
                <w:szCs w:val="21"/>
                <w:lang w:val="en-US" w:eastAsia="zh-CN"/>
              </w:rPr>
            </w:pPr>
            <w:r>
              <w:rPr>
                <w:rFonts w:hint="eastAsia"/>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捻线机</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50</w:t>
            </w:r>
          </w:p>
        </w:tc>
        <w:tc>
          <w:tcPr>
            <w:tcW w:w="2348" w:type="dxa"/>
            <w:vAlign w:val="center"/>
          </w:tcPr>
          <w:p>
            <w:pPr>
              <w:pStyle w:val="26"/>
              <w:ind w:firstLine="0" w:firstLineChars="0"/>
              <w:rPr>
                <w:kern w:val="2"/>
                <w:szCs w:val="21"/>
                <w:lang w:val="en-US" w:eastAsia="zh-CN"/>
              </w:rPr>
            </w:pPr>
            <w:r>
              <w:rPr>
                <w:rFonts w:hint="eastAsia"/>
                <w:color w:val="auto"/>
                <w:kern w:val="2"/>
                <w:szCs w:val="21"/>
                <w:lang w:val="en-US" w:eastAsia="zh-CN"/>
              </w:rPr>
              <w:t>50</w:t>
            </w:r>
          </w:p>
        </w:tc>
        <w:tc>
          <w:tcPr>
            <w:tcW w:w="2350" w:type="dxa"/>
            <w:vAlign w:val="center"/>
          </w:tcPr>
          <w:p>
            <w:pPr>
              <w:pStyle w:val="26"/>
              <w:rPr>
                <w:kern w:val="2"/>
                <w:szCs w:val="21"/>
                <w:lang w:val="en-US" w:eastAsia="zh-CN"/>
              </w:rPr>
            </w:pPr>
            <w:r>
              <w:rPr>
                <w:rFonts w:hint="eastAsia"/>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9694" w:type="dxa"/>
            <w:gridSpan w:val="4"/>
            <w:vAlign w:val="center"/>
          </w:tcPr>
          <w:p>
            <w:pPr>
              <w:pStyle w:val="26"/>
              <w:rPr>
                <w:kern w:val="2"/>
                <w:szCs w:val="21"/>
                <w:lang w:val="en-US" w:eastAsia="zh-CN"/>
              </w:rPr>
            </w:pPr>
            <w:r>
              <w:rPr>
                <w:rFonts w:hint="eastAsia"/>
                <w:kern w:val="2"/>
                <w:szCs w:val="21"/>
                <w:lang w:val="en-US" w:eastAsia="zh-CN"/>
              </w:rPr>
              <w:t>三织布生产设备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织布机</w:t>
            </w:r>
          </w:p>
        </w:tc>
        <w:tc>
          <w:tcPr>
            <w:tcW w:w="2348" w:type="dxa"/>
            <w:vAlign w:val="center"/>
          </w:tcPr>
          <w:p>
            <w:pPr>
              <w:pStyle w:val="26"/>
              <w:rPr>
                <w:kern w:val="2"/>
                <w:szCs w:val="21"/>
                <w:lang w:val="en-US" w:eastAsia="zh-CN"/>
              </w:rPr>
            </w:pPr>
            <w:r>
              <w:rPr>
                <w:rFonts w:hint="eastAsia"/>
                <w:kern w:val="2"/>
                <w:szCs w:val="21"/>
                <w:lang w:val="en-US" w:eastAsia="zh-CN"/>
              </w:rPr>
              <w:t>1500</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50" w:type="dxa"/>
            <w:vAlign w:val="center"/>
          </w:tcPr>
          <w:p>
            <w:pPr>
              <w:pStyle w:val="26"/>
              <w:rPr>
                <w:kern w:val="2"/>
                <w:szCs w:val="21"/>
                <w:lang w:val="en-US" w:eastAsia="zh-CN"/>
              </w:rPr>
            </w:pPr>
            <w:r>
              <w:rPr>
                <w:rFonts w:hint="eastAsia"/>
                <w:kern w:val="2"/>
                <w:szCs w:val="21"/>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2648" w:type="dxa"/>
            <w:vAlign w:val="center"/>
          </w:tcPr>
          <w:p>
            <w:pPr>
              <w:pStyle w:val="26"/>
              <w:rPr>
                <w:kern w:val="2"/>
                <w:szCs w:val="21"/>
                <w:lang w:val="en-US" w:eastAsia="zh-CN"/>
              </w:rPr>
            </w:pPr>
            <w:r>
              <w:rPr>
                <w:rFonts w:hint="eastAsia"/>
                <w:kern w:val="2"/>
                <w:szCs w:val="21"/>
                <w:lang w:val="en-US" w:eastAsia="zh-CN"/>
              </w:rPr>
              <w:t>捻线机</w:t>
            </w:r>
          </w:p>
        </w:tc>
        <w:tc>
          <w:tcPr>
            <w:tcW w:w="2348" w:type="dxa"/>
            <w:vAlign w:val="center"/>
          </w:tcPr>
          <w:p>
            <w:pPr>
              <w:pStyle w:val="26"/>
              <w:rPr>
                <w:kern w:val="2"/>
                <w:szCs w:val="21"/>
                <w:lang w:val="en-US" w:eastAsia="zh-CN"/>
              </w:rPr>
            </w:pPr>
            <w:r>
              <w:rPr>
                <w:rFonts w:hint="eastAsia"/>
                <w:kern w:val="2"/>
                <w:szCs w:val="21"/>
                <w:lang w:val="en-US" w:eastAsia="zh-CN"/>
              </w:rPr>
              <w:t>600</w:t>
            </w:r>
          </w:p>
        </w:tc>
        <w:tc>
          <w:tcPr>
            <w:tcW w:w="2348" w:type="dxa"/>
            <w:vAlign w:val="center"/>
          </w:tcPr>
          <w:p>
            <w:pPr>
              <w:pStyle w:val="26"/>
              <w:rPr>
                <w:kern w:val="2"/>
                <w:szCs w:val="21"/>
                <w:lang w:val="en-US" w:eastAsia="zh-CN"/>
              </w:rPr>
            </w:pPr>
            <w:r>
              <w:rPr>
                <w:rFonts w:hint="eastAsia"/>
                <w:kern w:val="2"/>
                <w:szCs w:val="21"/>
                <w:lang w:val="en-US" w:eastAsia="zh-CN"/>
              </w:rPr>
              <w:t>0</w:t>
            </w:r>
          </w:p>
        </w:tc>
        <w:tc>
          <w:tcPr>
            <w:tcW w:w="2350" w:type="dxa"/>
            <w:vAlign w:val="center"/>
          </w:tcPr>
          <w:p>
            <w:pPr>
              <w:pStyle w:val="26"/>
              <w:rPr>
                <w:kern w:val="2"/>
                <w:szCs w:val="21"/>
                <w:lang w:val="en-US" w:eastAsia="zh-CN"/>
              </w:rPr>
            </w:pPr>
            <w:r>
              <w:rPr>
                <w:rFonts w:hint="eastAsia"/>
                <w:kern w:val="2"/>
                <w:szCs w:val="21"/>
                <w:lang w:val="en-US" w:eastAsia="zh-CN"/>
              </w:rPr>
              <w:t>-600</w:t>
            </w:r>
          </w:p>
        </w:tc>
      </w:tr>
    </w:tbl>
    <w:p>
      <w:pPr>
        <w:pStyle w:val="26"/>
      </w:pPr>
    </w:p>
    <w:p>
      <w:pPr>
        <w:pStyle w:val="4"/>
      </w:pPr>
      <w:r>
        <w:rPr>
          <w:rFonts w:hint="eastAsia"/>
        </w:rPr>
        <w:t>公用工程</w:t>
      </w:r>
    </w:p>
    <w:p>
      <w:pPr>
        <w:ind w:firstLine="480"/>
      </w:pPr>
      <w:r>
        <w:t>1</w:t>
      </w:r>
      <w:r>
        <w:rPr>
          <w:rFonts w:hint="eastAsia"/>
        </w:rPr>
        <w:t>、给排水</w:t>
      </w:r>
    </w:p>
    <w:p>
      <w:pPr>
        <w:ind w:firstLine="480"/>
      </w:pPr>
      <w:r>
        <w:rPr>
          <w:rFonts w:hint="eastAsia"/>
        </w:rPr>
        <w:t>①给水</w:t>
      </w:r>
    </w:p>
    <w:p>
      <w:pPr>
        <w:ind w:firstLine="480"/>
      </w:pPr>
      <w:r>
        <w:rPr>
          <w:rFonts w:hint="eastAsia"/>
        </w:rPr>
        <w:t>由德科现有供水系统供水。</w:t>
      </w:r>
    </w:p>
    <w:p>
      <w:pPr>
        <w:ind w:firstLine="480"/>
      </w:pPr>
      <w:r>
        <w:rPr>
          <w:rFonts w:hint="eastAsia"/>
        </w:rPr>
        <w:t>②排水</w:t>
      </w:r>
    </w:p>
    <w:p>
      <w:pPr>
        <w:ind w:firstLine="480"/>
      </w:pPr>
      <w:r>
        <w:rPr>
          <w:rFonts w:hint="eastAsia"/>
        </w:rPr>
        <w:t>厂区内生活污水经化粪池处理后排入厂区污水管道汇入市政污水管网，最终进入营田镇污水处理厂进一步处理后排入湘江；印染车间生产废水经印染生产区污水处理站处理后排入厂区污水管网进入市政污水管网，最终进入营田镇污水处理厂进一步处理后排入湘江。</w:t>
      </w:r>
    </w:p>
    <w:p>
      <w:pPr>
        <w:ind w:firstLine="480"/>
      </w:pPr>
      <w:r>
        <w:t>2</w:t>
      </w:r>
      <w:r>
        <w:rPr>
          <w:rFonts w:hint="eastAsia"/>
        </w:rPr>
        <w:t>、供电</w:t>
      </w:r>
    </w:p>
    <w:p>
      <w:pPr>
        <w:ind w:firstLine="480"/>
      </w:pPr>
      <w:r>
        <w:rPr>
          <w:rFonts w:hint="eastAsia"/>
        </w:rPr>
        <w:t>由德科现有供电系统供电，由城镇电网供电。</w:t>
      </w:r>
    </w:p>
    <w:p>
      <w:pPr>
        <w:ind w:firstLine="480"/>
      </w:pPr>
      <w:r>
        <w:t>3</w:t>
      </w:r>
      <w:r>
        <w:rPr>
          <w:rFonts w:hint="eastAsia"/>
        </w:rPr>
        <w:t>、供热</w:t>
      </w:r>
    </w:p>
    <w:p>
      <w:pPr>
        <w:ind w:firstLine="480"/>
      </w:pPr>
      <w:r>
        <w:rPr>
          <w:rFonts w:hint="eastAsia"/>
        </w:rPr>
        <w:t>厂区内印染过程需要热源，新增</w:t>
      </w:r>
      <w:r>
        <w:t>10</w:t>
      </w:r>
      <w:r>
        <w:rPr>
          <w:rFonts w:hint="eastAsia"/>
        </w:rPr>
        <w:t>吨燃生物质蒸汽锅炉为印染生产过程蒸汽，蒸汽为直通蒸汽；利用现有的</w:t>
      </w:r>
      <w:r>
        <w:t>4</w:t>
      </w:r>
      <w:r>
        <w:rPr>
          <w:rFonts w:hint="eastAsia"/>
        </w:rPr>
        <w:t>吨导热油作为定型机热能来源，为间接加热。</w:t>
      </w:r>
    </w:p>
    <w:p>
      <w:pPr>
        <w:pStyle w:val="4"/>
      </w:pPr>
      <w:r>
        <w:rPr>
          <w:rFonts w:hint="eastAsia"/>
        </w:rPr>
        <w:t>工作制度与劳动定员</w:t>
      </w:r>
    </w:p>
    <w:p>
      <w:pPr>
        <w:ind w:firstLine="480"/>
      </w:pPr>
      <w:r>
        <w:rPr>
          <w:rFonts w:hint="eastAsia"/>
        </w:rPr>
        <w:t>工作制度：实行</w:t>
      </w:r>
      <w:r>
        <w:t>2</w:t>
      </w:r>
      <w:r>
        <w:rPr>
          <w:rFonts w:hint="eastAsia"/>
        </w:rPr>
        <w:t>班制生产、</w:t>
      </w:r>
      <w:r>
        <w:t>8</w:t>
      </w:r>
      <w:r>
        <w:rPr>
          <w:rFonts w:hint="eastAsia"/>
        </w:rPr>
        <w:t>小时</w:t>
      </w:r>
      <w:r>
        <w:t>/</w:t>
      </w:r>
      <w:r>
        <w:rPr>
          <w:rFonts w:hint="eastAsia"/>
        </w:rPr>
        <w:t>班、年工作日为</w:t>
      </w:r>
      <w:r>
        <w:t>300</w:t>
      </w:r>
      <w:r>
        <w:rPr>
          <w:rFonts w:hint="eastAsia"/>
        </w:rPr>
        <w:t>天。</w:t>
      </w:r>
    </w:p>
    <w:p>
      <w:pPr>
        <w:ind w:firstLine="480"/>
      </w:pPr>
      <w:r>
        <w:rPr>
          <w:rFonts w:hint="eastAsia"/>
        </w:rPr>
        <w:t>劳动定员：由于印染车间进行技改后，由原来手工操作技改成设备自动化生产，印染车间劳动定员减少，技改后，厂区共有员工</w:t>
      </w:r>
      <w:r>
        <w:t>600</w:t>
      </w:r>
      <w:r>
        <w:rPr>
          <w:rFonts w:hint="eastAsia"/>
        </w:rPr>
        <w:t>人，其中印染车间</w:t>
      </w:r>
      <w:r>
        <w:t>100</w:t>
      </w:r>
      <w:r>
        <w:rPr>
          <w:rFonts w:hint="eastAsia"/>
        </w:rPr>
        <w:t>人、纺纱车间</w:t>
      </w:r>
      <w:r>
        <w:t>500</w:t>
      </w:r>
      <w:r>
        <w:rPr>
          <w:rFonts w:hint="eastAsia"/>
        </w:rPr>
        <w:t>人。</w:t>
      </w:r>
    </w:p>
    <w:p>
      <w:pPr>
        <w:pStyle w:val="4"/>
      </w:pPr>
      <w:r>
        <w:rPr>
          <w:rFonts w:hint="eastAsia"/>
        </w:rPr>
        <w:t>其他</w:t>
      </w:r>
    </w:p>
    <w:p>
      <w:pPr>
        <w:ind w:firstLine="480"/>
      </w:pPr>
      <w:r>
        <w:rPr>
          <w:rFonts w:hint="eastAsia"/>
        </w:rPr>
        <w:t>厂区内设有食堂，员工在食堂就餐，但不住宿。</w:t>
      </w:r>
    </w:p>
    <w:p>
      <w:pPr>
        <w:pStyle w:val="3"/>
      </w:pPr>
      <w:bookmarkStart w:id="24" w:name="_Toc8041"/>
      <w:r>
        <w:rPr>
          <w:rFonts w:hint="eastAsia"/>
        </w:rPr>
        <w:t>技改后工艺流程</w:t>
      </w:r>
      <w:bookmarkEnd w:id="24"/>
    </w:p>
    <w:p>
      <w:pPr>
        <w:pStyle w:val="4"/>
      </w:pPr>
      <w:r>
        <w:rPr>
          <w:rFonts w:hint="eastAsia"/>
        </w:rPr>
        <w:t>技改后纺纱工艺流程</w:t>
      </w:r>
    </w:p>
    <w:p>
      <w:pPr>
        <w:ind w:firstLine="480"/>
      </w:pPr>
      <w:r>
        <w:rPr>
          <w:rFonts w:hint="eastAsia"/>
        </w:rPr>
        <w:t>本次技改前后，纺纱工艺未发生变化，其工艺流程图见图</w:t>
      </w:r>
      <w:r>
        <w:t>3.2-1</w:t>
      </w:r>
      <w:r>
        <w:rPr>
          <w:rFonts w:hint="eastAsia"/>
        </w:rPr>
        <w:t>。</w:t>
      </w:r>
    </w:p>
    <w:p>
      <w:pPr>
        <w:pStyle w:val="4"/>
      </w:pPr>
      <w:r>
        <w:rPr>
          <w:rFonts w:hint="eastAsia"/>
        </w:rPr>
        <w:t>技改后印染工艺流程</w:t>
      </w:r>
    </w:p>
    <w:p>
      <w:pPr>
        <w:ind w:firstLine="480"/>
      </w:pPr>
      <w:r>
        <w:rPr>
          <w:rFonts w:hint="eastAsia"/>
        </w:rPr>
        <w:t>本次技改项目对印染生产工艺流程进行了简化，减少了烧毛、煮练、丝光等工序，其印染生产工艺流程见图</w:t>
      </w:r>
      <w:r>
        <w:t>4.2-1</w:t>
      </w:r>
      <w:r>
        <w:rPr>
          <w:rFonts w:hint="eastAsia"/>
        </w:rPr>
        <w:t>。</w:t>
      </w:r>
    </w:p>
    <w:p>
      <w:pPr>
        <w:ind w:firstLine="0" w:firstLineChars="0"/>
        <w:jc w:val="center"/>
        <w:rPr>
          <w:b/>
          <w:bCs/>
          <w:sz w:val="21"/>
          <w:szCs w:val="21"/>
        </w:rPr>
      </w:pPr>
      <w:r>
        <w:rPr>
          <w:rFonts w:hint="eastAsia"/>
          <w:b/>
          <w:bCs/>
          <w:sz w:val="21"/>
          <w:szCs w:val="21"/>
        </w:rPr>
        <w:object>
          <v:shape id="_x0000_i1033" o:spt="75" type="#_x0000_t75" style="height:153.15pt;width:452.95pt;" o:ole="t" filled="f" o:preferrelative="t" stroked="f" coordsize="21600,21600">
            <v:path/>
            <v:fill on="f" focussize="0,0"/>
            <v:stroke on="f" joinstyle="miter"/>
            <v:imagedata r:id="rId29" o:title=""/>
            <o:lock v:ext="edit" aspectratio="f"/>
            <w10:wrap type="none"/>
            <w10:anchorlock/>
          </v:shape>
          <o:OLEObject Type="Embed" ProgID="Visio.Drawing.11" ShapeID="_x0000_i1033" DrawAspect="Content" ObjectID="_1468075732" r:id="rId28">
            <o:LockedField>false</o:LockedField>
          </o:OLEObject>
        </w:object>
      </w:r>
    </w:p>
    <w:p>
      <w:pPr>
        <w:ind w:firstLine="0" w:firstLineChars="0"/>
        <w:jc w:val="center"/>
        <w:rPr>
          <w:b/>
          <w:bCs/>
          <w:sz w:val="21"/>
          <w:szCs w:val="21"/>
        </w:rPr>
      </w:pPr>
      <w:r>
        <w:rPr>
          <w:rFonts w:hint="eastAsia"/>
          <w:b/>
          <w:bCs/>
          <w:sz w:val="21"/>
          <w:szCs w:val="21"/>
        </w:rPr>
        <w:t>图</w:t>
      </w:r>
      <w:r>
        <w:rPr>
          <w:b/>
          <w:bCs/>
          <w:sz w:val="21"/>
          <w:szCs w:val="21"/>
        </w:rPr>
        <w:t xml:space="preserve">4.2-1  </w:t>
      </w:r>
      <w:r>
        <w:rPr>
          <w:rFonts w:hint="eastAsia"/>
          <w:b/>
          <w:bCs/>
          <w:sz w:val="21"/>
          <w:szCs w:val="21"/>
        </w:rPr>
        <w:t>技改后印染生产工艺流程及产污节点图</w:t>
      </w:r>
    </w:p>
    <w:p>
      <w:pPr>
        <w:ind w:firstLine="0" w:firstLineChars="0"/>
        <w:rPr>
          <w:b/>
          <w:bCs/>
        </w:rPr>
      </w:pPr>
      <w:r>
        <w:rPr>
          <w:rFonts w:hint="eastAsia"/>
          <w:b/>
          <w:bCs/>
        </w:rPr>
        <w:t>工艺流程简述：</w:t>
      </w:r>
    </w:p>
    <w:p>
      <w:pPr>
        <w:ind w:firstLine="480"/>
        <w:rPr>
          <w:rFonts w:hAnsi="宋体"/>
        </w:rPr>
      </w:pPr>
      <w:r>
        <w:rPr>
          <w:rFonts w:hint="eastAsia"/>
        </w:rPr>
        <w:t>①洗布：</w:t>
      </w:r>
      <w:r>
        <w:rPr>
          <w:rFonts w:hint="eastAsia" w:hAnsi="宋体"/>
        </w:rPr>
        <w:t>主要用</w:t>
      </w:r>
      <w:r>
        <w:rPr>
          <w:rFonts w:hAnsi="宋体"/>
        </w:rPr>
        <w:t>80</w:t>
      </w:r>
      <w:r>
        <w:rPr>
          <w:rFonts w:hint="eastAsia" w:hAnsi="宋体"/>
        </w:rPr>
        <w:t>℃热水清洗布匹上的杂质。</w:t>
      </w:r>
      <w:r>
        <w:rPr>
          <w:rFonts w:hint="eastAsia"/>
        </w:rPr>
        <w:t>采用蒸汽直接加热洗布水，洗布过程会有洗布废水产生</w:t>
      </w:r>
      <w:r>
        <w:rPr>
          <w:rFonts w:hint="eastAsia" w:hAnsi="宋体"/>
        </w:rPr>
        <w:t>。</w:t>
      </w:r>
    </w:p>
    <w:p>
      <w:pPr>
        <w:ind w:firstLine="480"/>
      </w:pPr>
      <w:r>
        <w:rPr>
          <w:rFonts w:hint="eastAsia" w:hAnsi="宋体"/>
        </w:rPr>
        <w:t>②染色：经洗布后，向机缸内加入硫化黑、硫化碱、无醛固色剂、盐等进行染色处理，</w:t>
      </w:r>
      <w:r>
        <w:rPr>
          <w:rFonts w:hint="eastAsia"/>
        </w:rPr>
        <w:t>采用蒸汽直接加热染色液，</w:t>
      </w:r>
      <w:r>
        <w:rPr>
          <w:rFonts w:hint="eastAsia" w:ascii="宋体" w:hAnsi="宋体"/>
        </w:rPr>
        <w:t>染色温</w:t>
      </w:r>
      <w:r>
        <w:rPr>
          <w:rFonts w:hint="eastAsia"/>
        </w:rPr>
        <w:t>度控制在</w:t>
      </w:r>
      <w:r>
        <w:t>100</w:t>
      </w:r>
      <w:r>
        <w:rPr>
          <w:rFonts w:hint="eastAsia" w:ascii="宋体" w:hAnsi="宋体" w:cs="宋体"/>
        </w:rPr>
        <w:t>℃</w:t>
      </w:r>
      <w:r>
        <w:rPr>
          <w:rFonts w:hint="eastAsia"/>
        </w:rPr>
        <w:t>，保温</w:t>
      </w:r>
      <w:r>
        <w:t>40min</w:t>
      </w:r>
      <w:r>
        <w:rPr>
          <w:rFonts w:hint="eastAsia"/>
        </w:rPr>
        <w:t>后排水。</w:t>
      </w:r>
      <w:r>
        <w:rPr>
          <w:rFonts w:hint="eastAsia" w:hAnsi="宋体"/>
        </w:rPr>
        <w:t>染色工序产生的废水主要为染色废水</w:t>
      </w:r>
    </w:p>
    <w:p>
      <w:pPr>
        <w:ind w:firstLine="480"/>
        <w:rPr>
          <w:rFonts w:hAnsi="宋体"/>
        </w:rPr>
      </w:pPr>
      <w:r>
        <w:rPr>
          <w:rFonts w:hint="eastAsia" w:hAnsi="宋体"/>
        </w:rPr>
        <w:t>③清洗：</w:t>
      </w:r>
      <w:r>
        <w:rPr>
          <w:rFonts w:hint="eastAsia"/>
        </w:rPr>
        <w:t>染色后加入皂洗剂</w:t>
      </w:r>
      <w:r>
        <w:t>3g/L</w:t>
      </w:r>
      <w:r>
        <w:rPr>
          <w:rFonts w:hint="eastAsia"/>
        </w:rPr>
        <w:t>皂洗，在</w:t>
      </w:r>
      <w:r>
        <w:t>80</w:t>
      </w:r>
      <w:r>
        <w:rPr>
          <w:rFonts w:hint="eastAsia" w:ascii="宋体" w:hAnsi="宋体" w:cs="宋体"/>
        </w:rPr>
        <w:t>℃</w:t>
      </w:r>
      <w:r>
        <w:rPr>
          <w:rFonts w:hint="eastAsia"/>
        </w:rPr>
        <w:t>下保温</w:t>
      </w:r>
      <w:r>
        <w:t>10min</w:t>
      </w:r>
      <w:r>
        <w:rPr>
          <w:rFonts w:hint="eastAsia"/>
        </w:rPr>
        <w:t>，皂洗后用</w:t>
      </w:r>
      <w:r>
        <w:t>60</w:t>
      </w:r>
      <w:r>
        <w:rPr>
          <w:rFonts w:hint="eastAsia" w:ascii="宋体" w:hAnsi="宋体" w:cs="宋体"/>
        </w:rPr>
        <w:t>℃</w:t>
      </w:r>
      <w:r>
        <w:rPr>
          <w:rFonts w:hint="eastAsia"/>
        </w:rPr>
        <w:t>热水清</w:t>
      </w:r>
      <w:r>
        <w:rPr>
          <w:rFonts w:hint="eastAsia" w:ascii="宋体" w:hAnsi="宋体"/>
        </w:rPr>
        <w:t>洗。</w:t>
      </w:r>
      <w:r>
        <w:rPr>
          <w:rFonts w:hint="eastAsia" w:hAnsi="宋体"/>
        </w:rPr>
        <w:t>清洗过程会有清洗洗水产生。</w:t>
      </w:r>
    </w:p>
    <w:p>
      <w:pPr>
        <w:ind w:firstLine="480"/>
        <w:rPr>
          <w:rFonts w:hAnsi="宋体"/>
        </w:rPr>
      </w:pPr>
      <w:r>
        <w:rPr>
          <w:rFonts w:hint="eastAsia" w:hAnsi="宋体"/>
        </w:rPr>
        <w:t>④定型：为使织物在染色加工过程中出现的经向弹力、纬向门幅统一，印染完的织物必须进行后整理。定型是利用织物在潮湿状态下具有一定的可塑性能，将其门幅拉至规定的尺寸，从而消除部分内应力，调整经纬纱在织物中的形态。在高温定型过程中，在排气口将产生油雾及少量有机物废气，有时伴随异味，经收集治理后从屋顶排放。针织全棉布的后整理定型温度</w:t>
      </w:r>
      <w:r>
        <w:rPr>
          <w:rFonts w:hAnsi="宋体"/>
        </w:rPr>
        <w:t>180</w:t>
      </w:r>
      <w:r>
        <w:rPr>
          <w:rFonts w:hint="eastAsia" w:hAnsi="宋体"/>
        </w:rPr>
        <w:t>℃。定型过程中会有定型废气产生。</w:t>
      </w:r>
    </w:p>
    <w:p>
      <w:pPr>
        <w:pStyle w:val="3"/>
      </w:pPr>
      <w:bookmarkStart w:id="25" w:name="_Toc5246"/>
      <w:r>
        <w:rPr>
          <w:rFonts w:hint="eastAsia"/>
        </w:rPr>
        <w:t>技改后平衡图</w:t>
      </w:r>
      <w:bookmarkEnd w:id="25"/>
    </w:p>
    <w:p>
      <w:pPr>
        <w:ind w:firstLine="480"/>
      </w:pPr>
      <w:r>
        <w:rPr>
          <w:rFonts w:hint="eastAsia"/>
        </w:rPr>
        <w:t>1、水平衡</w:t>
      </w:r>
    </w:p>
    <w:p>
      <w:pPr>
        <w:ind w:firstLine="480"/>
      </w:pPr>
      <w:r>
        <w:rPr>
          <w:rFonts w:hint="eastAsia"/>
        </w:rPr>
        <w:t>根据工程分析可知，厂区用水主要为印染车间生产用水和厂区员工日常生活用水。印染车间水平衡见图4.3-1，厂区内水平衡图见图4.3-2。</w:t>
      </w:r>
    </w:p>
    <w:p>
      <w:pPr>
        <w:ind w:firstLine="480"/>
      </w:pPr>
    </w:p>
    <w:p>
      <w:pPr>
        <w:ind w:firstLine="0" w:firstLineChars="0"/>
      </w:pPr>
      <w:r>
        <w:rPr>
          <w:rFonts w:hint="eastAsia"/>
        </w:rPr>
        <w:object>
          <v:shape id="_x0000_i1034" o:spt="75" type="#_x0000_t75" style="height:341.2pt;width:481.45pt;" o:ole="t" filled="f" o:preferrelative="t" stroked="f" coordsize="21600,21600">
            <v:path/>
            <v:fill on="f" focussize="0,0"/>
            <v:stroke on="f" joinstyle="miter"/>
            <v:imagedata r:id="rId31" o:title=""/>
            <o:lock v:ext="edit" aspectratio="f"/>
            <w10:wrap type="none"/>
            <w10:anchorlock/>
          </v:shape>
          <o:OLEObject Type="Embed" ProgID="Visio.Drawing.11" ShapeID="_x0000_i1034" DrawAspect="Content" ObjectID="_1468075733" r:id="rId30">
            <o:LockedField>false</o:LockedField>
          </o:OLEObject>
        </w:object>
      </w:r>
    </w:p>
    <w:p>
      <w:pPr>
        <w:ind w:firstLine="0" w:firstLineChars="0"/>
      </w:pPr>
      <w:r>
        <w:object>
          <v:shape id="_x0000_i1035" o:spt="75" type="#_x0000_t75" style="height:424.5pt;width:477.65pt;" o:ole="t" filled="f" o:preferrelative="t" stroked="f" coordsize="21600,21600">
            <v:path/>
            <v:fill on="f" focussize="0,0"/>
            <v:stroke on="f" joinstyle="miter"/>
            <v:imagedata r:id="rId33" o:title=""/>
            <o:lock v:ext="edit" aspectratio="f"/>
            <w10:wrap type="none"/>
            <w10:anchorlock/>
          </v:shape>
          <o:OLEObject Type="Embed" ProgID="Visio.Drawing.11" ShapeID="_x0000_i1035" DrawAspect="Content" ObjectID="_1468075734" r:id="rId32">
            <o:LockedField>false</o:LockedField>
          </o:OLEObject>
        </w:object>
      </w:r>
    </w:p>
    <w:p>
      <w:pPr>
        <w:ind w:firstLine="480"/>
      </w:pPr>
      <w:r>
        <w:rPr>
          <w:rFonts w:hint="eastAsia"/>
        </w:rPr>
        <w:t>2、蒸汽平衡图</w:t>
      </w:r>
    </w:p>
    <w:p>
      <w:pPr>
        <w:ind w:firstLine="480"/>
      </w:pPr>
      <w:r>
        <w:rPr>
          <w:rFonts w:hint="eastAsia"/>
        </w:rPr>
        <w:t>技改后，厂区仅印染车间使用蒸汽，主要用于洗布、染色过程，其厂区蒸汽平衡、蒸汽平衡见图</w:t>
      </w:r>
      <w:r>
        <w:t>4.3-</w:t>
      </w:r>
      <w:r>
        <w:rPr>
          <w:rFonts w:hint="eastAsia"/>
        </w:rPr>
        <w:t>3</w:t>
      </w:r>
    </w:p>
    <w:p>
      <w:pPr>
        <w:ind w:firstLine="0" w:firstLineChars="0"/>
      </w:pPr>
      <w:r>
        <w:object>
          <v:shape id="_x0000_i1036" o:spt="75" type="#_x0000_t75" style="height:191.3pt;width:480.9pt;" o:ole="t" filled="f" o:preferrelative="t" stroked="f" coordsize="21600,21600">
            <v:path/>
            <v:fill on="f" focussize="0,0"/>
            <v:stroke on="f"/>
            <v:imagedata r:id="rId35" o:title=""/>
            <o:lock v:ext="edit" aspectratio="f"/>
            <w10:wrap type="none"/>
            <w10:anchorlock/>
          </v:shape>
          <o:OLEObject Type="Embed" ProgID="Visio.Drawing.11" ShapeID="_x0000_i1036" DrawAspect="Content" ObjectID="_1468075735" r:id="rId34">
            <o:LockedField>false</o:LockedField>
          </o:OLEObject>
        </w:object>
      </w:r>
    </w:p>
    <w:p>
      <w:pPr>
        <w:ind w:firstLine="480"/>
      </w:pPr>
      <w:r>
        <w:rPr>
          <w:rFonts w:hint="eastAsia"/>
        </w:rPr>
        <w:t>3、技改后物料平衡</w:t>
      </w:r>
    </w:p>
    <w:p>
      <w:pPr>
        <w:ind w:firstLine="480"/>
      </w:pPr>
      <w:r>
        <w:rPr>
          <w:rFonts w:hint="eastAsia"/>
        </w:rPr>
        <w:t>根据企业提供信息，各产品物料平衡见表4.3-1。</w:t>
      </w:r>
    </w:p>
    <w:p>
      <w:pPr>
        <w:pStyle w:val="26"/>
        <w:rPr>
          <w:b/>
          <w:bCs/>
        </w:rPr>
      </w:pPr>
      <w:r>
        <w:rPr>
          <w:rFonts w:hint="eastAsia"/>
          <w:b/>
          <w:bCs/>
        </w:rPr>
        <w:t>表4.3-1 技改后厂区物料平衡</w:t>
      </w:r>
    </w:p>
    <w:tbl>
      <w:tblPr>
        <w:tblStyle w:val="23"/>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1"/>
        <w:gridCol w:w="2322"/>
        <w:gridCol w:w="1"/>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43" w:type="dxa"/>
            <w:gridSpan w:val="2"/>
          </w:tcPr>
          <w:p>
            <w:pPr>
              <w:pStyle w:val="26"/>
              <w:rPr>
                <w:szCs w:val="21"/>
                <w:lang w:val="en-US" w:eastAsia="zh-CN"/>
              </w:rPr>
            </w:pPr>
            <w:r>
              <w:rPr>
                <w:rFonts w:hint="eastAsia"/>
                <w:szCs w:val="21"/>
                <w:lang w:val="en-US" w:eastAsia="zh-CN"/>
              </w:rPr>
              <w:t>投入</w:t>
            </w:r>
          </w:p>
        </w:tc>
        <w:tc>
          <w:tcPr>
            <w:tcW w:w="4645" w:type="dxa"/>
            <w:gridSpan w:val="3"/>
          </w:tcPr>
          <w:p>
            <w:pPr>
              <w:pStyle w:val="26"/>
              <w:rPr>
                <w:szCs w:val="21"/>
                <w:lang w:val="en-US" w:eastAsia="zh-CN"/>
              </w:rPr>
            </w:pPr>
            <w:r>
              <w:rPr>
                <w:rFonts w:hint="eastAsia"/>
                <w:szCs w:val="21"/>
                <w:lang w:val="en-US" w:eastAsia="zh-CN"/>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2" w:type="dxa"/>
          </w:tcPr>
          <w:p>
            <w:pPr>
              <w:pStyle w:val="26"/>
              <w:rPr>
                <w:szCs w:val="21"/>
                <w:lang w:val="en-US" w:eastAsia="zh-CN"/>
              </w:rPr>
            </w:pPr>
            <w:r>
              <w:rPr>
                <w:rFonts w:hint="eastAsia"/>
                <w:szCs w:val="21"/>
                <w:lang w:val="en-US" w:eastAsia="zh-CN"/>
              </w:rPr>
              <w:t>物料名称</w:t>
            </w:r>
          </w:p>
        </w:tc>
        <w:tc>
          <w:tcPr>
            <w:tcW w:w="2321" w:type="dxa"/>
          </w:tcPr>
          <w:p>
            <w:pPr>
              <w:pStyle w:val="26"/>
              <w:rPr>
                <w:szCs w:val="21"/>
                <w:lang w:val="en-US" w:eastAsia="zh-CN"/>
              </w:rPr>
            </w:pPr>
            <w:r>
              <w:rPr>
                <w:rFonts w:hint="eastAsia"/>
                <w:szCs w:val="21"/>
                <w:lang w:val="en-US" w:eastAsia="zh-CN"/>
              </w:rPr>
              <w:t>投入量</w:t>
            </w:r>
          </w:p>
        </w:tc>
        <w:tc>
          <w:tcPr>
            <w:tcW w:w="2322" w:type="dxa"/>
          </w:tcPr>
          <w:p>
            <w:pPr>
              <w:pStyle w:val="26"/>
              <w:rPr>
                <w:szCs w:val="21"/>
                <w:lang w:val="en-US" w:eastAsia="zh-CN"/>
              </w:rPr>
            </w:pPr>
            <w:r>
              <w:rPr>
                <w:rFonts w:hint="eastAsia"/>
                <w:szCs w:val="21"/>
                <w:lang w:val="en-US" w:eastAsia="zh-CN"/>
              </w:rPr>
              <w:t>产品名称</w:t>
            </w:r>
          </w:p>
        </w:tc>
        <w:tc>
          <w:tcPr>
            <w:tcW w:w="2323" w:type="dxa"/>
            <w:gridSpan w:val="2"/>
          </w:tcPr>
          <w:p>
            <w:pPr>
              <w:pStyle w:val="26"/>
              <w:rPr>
                <w:szCs w:val="21"/>
                <w:lang w:val="en-US" w:eastAsia="zh-CN"/>
              </w:rPr>
            </w:pPr>
            <w:r>
              <w:rPr>
                <w:rFonts w:hint="eastAsia"/>
                <w:szCs w:val="21"/>
                <w:lang w:val="en-US" w:eastAsia="zh-CN"/>
              </w:rPr>
              <w:t>产出量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5"/>
          </w:tcPr>
          <w:p>
            <w:pPr>
              <w:pStyle w:val="26"/>
              <w:rPr>
                <w:szCs w:val="21"/>
                <w:lang w:val="en-US" w:eastAsia="zh-CN"/>
              </w:rPr>
            </w:pPr>
            <w:r>
              <w:rPr>
                <w:rFonts w:hint="eastAsia"/>
                <w:szCs w:val="21"/>
                <w:lang w:val="en-US" w:eastAsia="zh-CN"/>
              </w:rPr>
              <w:t>一、纺纱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2" w:type="dxa"/>
          </w:tcPr>
          <w:p>
            <w:pPr>
              <w:pStyle w:val="26"/>
              <w:rPr>
                <w:szCs w:val="21"/>
                <w:lang w:val="en-US" w:eastAsia="zh-CN"/>
              </w:rPr>
            </w:pPr>
            <w:r>
              <w:rPr>
                <w:rFonts w:hint="eastAsia"/>
                <w:kern w:val="2"/>
                <w:szCs w:val="21"/>
                <w:lang w:val="en-US" w:eastAsia="zh-CN"/>
              </w:rPr>
              <w:t>涤纶短纤</w:t>
            </w:r>
          </w:p>
        </w:tc>
        <w:tc>
          <w:tcPr>
            <w:tcW w:w="2321" w:type="dxa"/>
          </w:tcPr>
          <w:p>
            <w:pPr>
              <w:pStyle w:val="26"/>
              <w:rPr>
                <w:szCs w:val="21"/>
                <w:lang w:val="en-US" w:eastAsia="zh-CN"/>
              </w:rPr>
            </w:pPr>
            <w:r>
              <w:rPr>
                <w:rFonts w:hint="eastAsia"/>
                <w:kern w:val="2"/>
                <w:szCs w:val="21"/>
                <w:lang w:val="en-US" w:eastAsia="zh-CN"/>
              </w:rPr>
              <w:t>303吨/a</w:t>
            </w:r>
          </w:p>
        </w:tc>
        <w:tc>
          <w:tcPr>
            <w:tcW w:w="2323" w:type="dxa"/>
            <w:gridSpan w:val="2"/>
          </w:tcPr>
          <w:p>
            <w:pPr>
              <w:pStyle w:val="26"/>
              <w:rPr>
                <w:szCs w:val="21"/>
                <w:lang w:val="en-US" w:eastAsia="zh-CN"/>
              </w:rPr>
            </w:pPr>
            <w:r>
              <w:rPr>
                <w:rFonts w:hint="eastAsia"/>
                <w:szCs w:val="21"/>
                <w:lang w:val="en-US" w:eastAsia="zh-CN"/>
              </w:rPr>
              <w:t>纱线</w:t>
            </w:r>
          </w:p>
        </w:tc>
        <w:tc>
          <w:tcPr>
            <w:tcW w:w="2322" w:type="dxa"/>
          </w:tcPr>
          <w:p>
            <w:pPr>
              <w:pStyle w:val="26"/>
              <w:rPr>
                <w:szCs w:val="21"/>
                <w:lang w:val="en-US" w:eastAsia="zh-CN"/>
              </w:rPr>
            </w:pPr>
            <w:r>
              <w:rPr>
                <w:rFonts w:hint="eastAsia"/>
                <w:szCs w:val="21"/>
                <w:lang w:val="en-US" w:eastAsia="zh-CN"/>
              </w:rPr>
              <w:t>300</w:t>
            </w:r>
            <w:r>
              <w:rPr>
                <w:rFonts w:hint="eastAsia"/>
                <w:kern w:val="2"/>
                <w:szCs w:val="21"/>
                <w:lang w:val="en-US" w:eastAsia="zh-CN"/>
              </w:rPr>
              <w:t>吨/a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2" w:type="dxa"/>
          </w:tcPr>
          <w:p>
            <w:pPr>
              <w:pStyle w:val="26"/>
              <w:rPr>
                <w:szCs w:val="21"/>
                <w:lang w:val="en-US" w:eastAsia="zh-CN"/>
              </w:rPr>
            </w:pPr>
            <w:r>
              <w:rPr>
                <w:rFonts w:hint="eastAsia"/>
                <w:szCs w:val="21"/>
                <w:lang w:val="en-US" w:eastAsia="zh-CN"/>
              </w:rPr>
              <w:t>/</w:t>
            </w:r>
          </w:p>
        </w:tc>
        <w:tc>
          <w:tcPr>
            <w:tcW w:w="2321" w:type="dxa"/>
          </w:tcPr>
          <w:p>
            <w:pPr>
              <w:pStyle w:val="26"/>
              <w:rPr>
                <w:szCs w:val="21"/>
                <w:lang w:val="en-US" w:eastAsia="zh-CN"/>
              </w:rPr>
            </w:pPr>
            <w:r>
              <w:rPr>
                <w:rFonts w:hint="eastAsia"/>
                <w:szCs w:val="21"/>
                <w:lang w:val="en-US" w:eastAsia="zh-CN"/>
              </w:rPr>
              <w:t>/</w:t>
            </w:r>
          </w:p>
        </w:tc>
        <w:tc>
          <w:tcPr>
            <w:tcW w:w="2323" w:type="dxa"/>
            <w:gridSpan w:val="2"/>
          </w:tcPr>
          <w:p>
            <w:pPr>
              <w:pStyle w:val="26"/>
              <w:rPr>
                <w:szCs w:val="21"/>
                <w:lang w:val="en-US" w:eastAsia="zh-CN"/>
              </w:rPr>
            </w:pPr>
            <w:r>
              <w:rPr>
                <w:rFonts w:hint="eastAsia"/>
                <w:szCs w:val="21"/>
                <w:lang w:val="en-US" w:eastAsia="zh-CN"/>
              </w:rPr>
              <w:t>杂质</w:t>
            </w:r>
          </w:p>
        </w:tc>
        <w:tc>
          <w:tcPr>
            <w:tcW w:w="2322" w:type="dxa"/>
          </w:tcPr>
          <w:p>
            <w:pPr>
              <w:pStyle w:val="26"/>
              <w:rPr>
                <w:szCs w:val="21"/>
                <w:lang w:val="en-US" w:eastAsia="zh-CN"/>
              </w:rPr>
            </w:pPr>
            <w:r>
              <w:rPr>
                <w:rFonts w:hint="eastAsia"/>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2" w:type="dxa"/>
          </w:tcPr>
          <w:p>
            <w:pPr>
              <w:pStyle w:val="26"/>
              <w:rPr>
                <w:szCs w:val="21"/>
                <w:lang w:val="en-US" w:eastAsia="zh-CN"/>
              </w:rPr>
            </w:pPr>
            <w:r>
              <w:rPr>
                <w:rFonts w:hint="eastAsia"/>
                <w:szCs w:val="21"/>
                <w:lang w:val="en-US" w:eastAsia="zh-CN"/>
              </w:rPr>
              <w:t>/</w:t>
            </w:r>
          </w:p>
        </w:tc>
        <w:tc>
          <w:tcPr>
            <w:tcW w:w="2321" w:type="dxa"/>
          </w:tcPr>
          <w:p>
            <w:pPr>
              <w:pStyle w:val="26"/>
              <w:rPr>
                <w:szCs w:val="21"/>
                <w:lang w:val="en-US" w:eastAsia="zh-CN"/>
              </w:rPr>
            </w:pPr>
            <w:r>
              <w:rPr>
                <w:rFonts w:hint="eastAsia"/>
                <w:szCs w:val="21"/>
                <w:lang w:val="en-US" w:eastAsia="zh-CN"/>
              </w:rPr>
              <w:t>/</w:t>
            </w:r>
          </w:p>
        </w:tc>
        <w:tc>
          <w:tcPr>
            <w:tcW w:w="2323" w:type="dxa"/>
            <w:gridSpan w:val="2"/>
          </w:tcPr>
          <w:p>
            <w:pPr>
              <w:pStyle w:val="26"/>
              <w:rPr>
                <w:szCs w:val="21"/>
                <w:lang w:val="en-US" w:eastAsia="zh-CN"/>
              </w:rPr>
            </w:pPr>
            <w:r>
              <w:rPr>
                <w:rFonts w:hint="eastAsia"/>
                <w:szCs w:val="21"/>
                <w:lang w:val="en-US" w:eastAsia="zh-CN"/>
              </w:rPr>
              <w:t>废弃原料、粉尘</w:t>
            </w:r>
          </w:p>
        </w:tc>
        <w:tc>
          <w:tcPr>
            <w:tcW w:w="2322" w:type="dxa"/>
          </w:tcPr>
          <w:p>
            <w:pPr>
              <w:pStyle w:val="26"/>
              <w:rPr>
                <w:szCs w:val="21"/>
                <w:lang w:val="en-US" w:eastAsia="zh-CN"/>
              </w:rPr>
            </w:pPr>
            <w:r>
              <w:rPr>
                <w:rFonts w:hint="eastAsia"/>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2" w:type="dxa"/>
          </w:tcPr>
          <w:p>
            <w:pPr>
              <w:pStyle w:val="26"/>
              <w:rPr>
                <w:szCs w:val="21"/>
                <w:lang w:val="en-US" w:eastAsia="zh-CN"/>
              </w:rPr>
            </w:pPr>
            <w:r>
              <w:rPr>
                <w:rFonts w:hint="eastAsia"/>
                <w:szCs w:val="21"/>
                <w:lang w:val="en-US" w:eastAsia="zh-CN"/>
              </w:rPr>
              <w:t>小计</w:t>
            </w:r>
          </w:p>
        </w:tc>
        <w:tc>
          <w:tcPr>
            <w:tcW w:w="2321" w:type="dxa"/>
          </w:tcPr>
          <w:p>
            <w:pPr>
              <w:pStyle w:val="26"/>
              <w:rPr>
                <w:szCs w:val="21"/>
                <w:lang w:val="en-US" w:eastAsia="zh-CN"/>
              </w:rPr>
            </w:pPr>
            <w:r>
              <w:rPr>
                <w:rFonts w:hint="eastAsia"/>
                <w:kern w:val="2"/>
                <w:szCs w:val="21"/>
                <w:lang w:val="en-US" w:eastAsia="zh-CN"/>
              </w:rPr>
              <w:t>303吨/a</w:t>
            </w:r>
          </w:p>
        </w:tc>
        <w:tc>
          <w:tcPr>
            <w:tcW w:w="2323" w:type="dxa"/>
            <w:gridSpan w:val="2"/>
          </w:tcPr>
          <w:p>
            <w:pPr>
              <w:pStyle w:val="26"/>
              <w:rPr>
                <w:szCs w:val="21"/>
                <w:lang w:val="en-US" w:eastAsia="zh-CN"/>
              </w:rPr>
            </w:pPr>
            <w:r>
              <w:rPr>
                <w:rFonts w:hint="eastAsia"/>
                <w:szCs w:val="21"/>
                <w:lang w:val="en-US" w:eastAsia="zh-CN"/>
              </w:rPr>
              <w:t>小计</w:t>
            </w:r>
          </w:p>
        </w:tc>
        <w:tc>
          <w:tcPr>
            <w:tcW w:w="2322" w:type="dxa"/>
          </w:tcPr>
          <w:p>
            <w:pPr>
              <w:pStyle w:val="26"/>
              <w:rPr>
                <w:szCs w:val="21"/>
                <w:lang w:val="en-US" w:eastAsia="zh-CN"/>
              </w:rPr>
            </w:pPr>
            <w:r>
              <w:rPr>
                <w:rFonts w:hint="eastAsia"/>
                <w:kern w:val="2"/>
                <w:szCs w:val="21"/>
                <w:lang w:val="en-US" w:eastAsia="zh-CN"/>
              </w:rPr>
              <w:t>303吨/a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8" w:type="dxa"/>
            <w:gridSpan w:val="5"/>
          </w:tcPr>
          <w:p>
            <w:pPr>
              <w:pStyle w:val="26"/>
              <w:rPr>
                <w:szCs w:val="21"/>
                <w:lang w:val="en-US" w:eastAsia="zh-CN"/>
              </w:rPr>
            </w:pPr>
            <w:r>
              <w:rPr>
                <w:rFonts w:hint="eastAsia"/>
                <w:szCs w:val="21"/>
                <w:lang w:val="en-US" w:eastAsia="zh-CN"/>
              </w:rPr>
              <w:t>二、印染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2" w:type="dxa"/>
            <w:vAlign w:val="center"/>
          </w:tcPr>
          <w:p>
            <w:pPr>
              <w:pStyle w:val="26"/>
              <w:rPr>
                <w:szCs w:val="21"/>
                <w:lang w:val="en-US" w:eastAsia="zh-CN"/>
              </w:rPr>
            </w:pPr>
            <w:r>
              <w:rPr>
                <w:kern w:val="2"/>
                <w:szCs w:val="21"/>
                <w:lang w:val="en-US" w:eastAsia="zh-CN"/>
              </w:rPr>
              <w:t>10</w:t>
            </w:r>
            <w:r>
              <w:rPr>
                <w:rFonts w:hint="eastAsia"/>
                <w:kern w:val="2"/>
                <w:szCs w:val="21"/>
                <w:lang w:val="en-US" w:eastAsia="zh-CN"/>
              </w:rPr>
              <w:t>支变斜</w:t>
            </w:r>
          </w:p>
        </w:tc>
        <w:tc>
          <w:tcPr>
            <w:tcW w:w="2321" w:type="dxa"/>
            <w:vAlign w:val="center"/>
          </w:tcPr>
          <w:p>
            <w:pPr>
              <w:pStyle w:val="26"/>
              <w:rPr>
                <w:szCs w:val="21"/>
                <w:lang w:val="en-US" w:eastAsia="zh-CN"/>
              </w:rPr>
            </w:pPr>
            <w:r>
              <w:rPr>
                <w:rFonts w:hint="eastAsia"/>
                <w:kern w:val="2"/>
                <w:szCs w:val="21"/>
                <w:lang w:val="en-US" w:eastAsia="zh-CN"/>
              </w:rPr>
              <w:t>320万m/a</w:t>
            </w:r>
          </w:p>
        </w:tc>
        <w:tc>
          <w:tcPr>
            <w:tcW w:w="2323" w:type="dxa"/>
            <w:gridSpan w:val="2"/>
            <w:vAlign w:val="center"/>
          </w:tcPr>
          <w:p>
            <w:pPr>
              <w:pStyle w:val="26"/>
              <w:rPr>
                <w:szCs w:val="21"/>
                <w:lang w:val="en-US" w:eastAsia="zh-CN"/>
              </w:rPr>
            </w:pPr>
            <w:r>
              <w:rPr>
                <w:rFonts w:hint="eastAsia"/>
                <w:szCs w:val="21"/>
                <w:lang w:val="en-US" w:eastAsia="zh-CN"/>
              </w:rPr>
              <w:t>产品</w:t>
            </w:r>
          </w:p>
        </w:tc>
        <w:tc>
          <w:tcPr>
            <w:tcW w:w="2322" w:type="dxa"/>
          </w:tcPr>
          <w:p>
            <w:pPr>
              <w:pStyle w:val="26"/>
              <w:rPr>
                <w:szCs w:val="21"/>
                <w:lang w:val="en-US" w:eastAsia="zh-CN"/>
              </w:rPr>
            </w:pPr>
            <w:r>
              <w:rPr>
                <w:rFonts w:hint="eastAsia"/>
                <w:szCs w:val="21"/>
                <w:lang w:val="en-US" w:eastAsia="zh-CN"/>
              </w:rPr>
              <w:t>1920</w:t>
            </w:r>
            <w:r>
              <w:rPr>
                <w:rFonts w:hint="eastAsia"/>
                <w:kern w:val="2"/>
                <w:szCs w:val="21"/>
                <w:lang w:val="en-US" w:eastAsia="zh-CN"/>
              </w:rPr>
              <w:t>万m/a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2" w:type="dxa"/>
            <w:vAlign w:val="center"/>
          </w:tcPr>
          <w:p>
            <w:pPr>
              <w:pStyle w:val="26"/>
              <w:rPr>
                <w:szCs w:val="21"/>
                <w:lang w:val="en-US" w:eastAsia="zh-CN"/>
              </w:rPr>
            </w:pPr>
            <w:r>
              <w:rPr>
                <w:kern w:val="2"/>
                <w:szCs w:val="21"/>
                <w:lang w:val="en-US" w:eastAsia="zh-CN"/>
              </w:rPr>
              <w:t>10</w:t>
            </w:r>
            <w:r>
              <w:rPr>
                <w:rFonts w:hint="eastAsia"/>
                <w:kern w:val="2"/>
                <w:szCs w:val="21"/>
                <w:lang w:val="en-US" w:eastAsia="zh-CN"/>
              </w:rPr>
              <w:t>支富贵</w:t>
            </w:r>
          </w:p>
        </w:tc>
        <w:tc>
          <w:tcPr>
            <w:tcW w:w="2321" w:type="dxa"/>
            <w:vAlign w:val="center"/>
          </w:tcPr>
          <w:p>
            <w:pPr>
              <w:pStyle w:val="26"/>
              <w:rPr>
                <w:szCs w:val="21"/>
                <w:lang w:val="en-US" w:eastAsia="zh-CN"/>
              </w:rPr>
            </w:pPr>
            <w:r>
              <w:rPr>
                <w:rFonts w:hint="eastAsia"/>
                <w:szCs w:val="21"/>
                <w:lang w:val="en-US" w:eastAsia="zh-CN"/>
              </w:rPr>
              <w:t>1600</w:t>
            </w:r>
            <w:r>
              <w:rPr>
                <w:rFonts w:hint="eastAsia"/>
                <w:kern w:val="2"/>
                <w:szCs w:val="21"/>
                <w:lang w:val="en-US" w:eastAsia="zh-CN"/>
              </w:rPr>
              <w:t>万m/a</w:t>
            </w:r>
          </w:p>
        </w:tc>
        <w:tc>
          <w:tcPr>
            <w:tcW w:w="2323" w:type="dxa"/>
            <w:gridSpan w:val="2"/>
            <w:vAlign w:val="center"/>
          </w:tcPr>
          <w:p>
            <w:pPr>
              <w:pStyle w:val="26"/>
              <w:rPr>
                <w:szCs w:val="21"/>
                <w:lang w:val="en-US" w:eastAsia="zh-CN"/>
              </w:rPr>
            </w:pPr>
          </w:p>
        </w:tc>
        <w:tc>
          <w:tcPr>
            <w:tcW w:w="2322" w:type="dxa"/>
          </w:tcPr>
          <w:p>
            <w:pPr>
              <w:pStyle w:val="26"/>
              <w:rPr>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2" w:type="dxa"/>
          </w:tcPr>
          <w:p>
            <w:pPr>
              <w:pStyle w:val="26"/>
              <w:rPr>
                <w:szCs w:val="21"/>
                <w:lang w:val="en-US" w:eastAsia="zh-CN"/>
              </w:rPr>
            </w:pPr>
            <w:r>
              <w:rPr>
                <w:rFonts w:hint="eastAsia"/>
                <w:szCs w:val="21"/>
                <w:lang w:val="en-US" w:eastAsia="zh-CN"/>
              </w:rPr>
              <w:t>小计</w:t>
            </w:r>
          </w:p>
        </w:tc>
        <w:tc>
          <w:tcPr>
            <w:tcW w:w="2321" w:type="dxa"/>
          </w:tcPr>
          <w:p>
            <w:pPr>
              <w:pStyle w:val="26"/>
              <w:rPr>
                <w:szCs w:val="21"/>
                <w:lang w:val="en-US" w:eastAsia="zh-CN"/>
              </w:rPr>
            </w:pPr>
            <w:r>
              <w:rPr>
                <w:rFonts w:hint="eastAsia"/>
                <w:szCs w:val="21"/>
                <w:lang w:val="en-US" w:eastAsia="zh-CN"/>
              </w:rPr>
              <w:t>1920</w:t>
            </w:r>
            <w:r>
              <w:rPr>
                <w:rFonts w:hint="eastAsia"/>
                <w:kern w:val="2"/>
                <w:szCs w:val="21"/>
                <w:lang w:val="en-US" w:eastAsia="zh-CN"/>
              </w:rPr>
              <w:t>万m/a</w:t>
            </w:r>
          </w:p>
        </w:tc>
        <w:tc>
          <w:tcPr>
            <w:tcW w:w="2323" w:type="dxa"/>
            <w:gridSpan w:val="2"/>
          </w:tcPr>
          <w:p>
            <w:pPr>
              <w:pStyle w:val="26"/>
              <w:rPr>
                <w:szCs w:val="21"/>
                <w:lang w:val="en-US" w:eastAsia="zh-CN"/>
              </w:rPr>
            </w:pPr>
            <w:r>
              <w:rPr>
                <w:rFonts w:hint="eastAsia"/>
                <w:szCs w:val="21"/>
                <w:lang w:val="en-US" w:eastAsia="zh-CN"/>
              </w:rPr>
              <w:t>小计</w:t>
            </w:r>
          </w:p>
        </w:tc>
        <w:tc>
          <w:tcPr>
            <w:tcW w:w="2322" w:type="dxa"/>
          </w:tcPr>
          <w:p>
            <w:pPr>
              <w:pStyle w:val="26"/>
              <w:rPr>
                <w:szCs w:val="21"/>
                <w:lang w:val="en-US" w:eastAsia="zh-CN"/>
              </w:rPr>
            </w:pPr>
            <w:r>
              <w:rPr>
                <w:rFonts w:hint="eastAsia"/>
                <w:szCs w:val="21"/>
                <w:lang w:val="en-US" w:eastAsia="zh-CN"/>
              </w:rPr>
              <w:t>1920</w:t>
            </w:r>
            <w:r>
              <w:rPr>
                <w:rFonts w:hint="eastAsia"/>
                <w:kern w:val="2"/>
                <w:szCs w:val="21"/>
                <w:lang w:val="en-US" w:eastAsia="zh-CN"/>
              </w:rPr>
              <w:t>万m/a</w:t>
            </w:r>
          </w:p>
        </w:tc>
      </w:tr>
    </w:tbl>
    <w:p>
      <w:pPr>
        <w:ind w:firstLine="480"/>
      </w:pPr>
    </w:p>
    <w:p>
      <w:pPr>
        <w:pStyle w:val="3"/>
      </w:pPr>
      <w:bookmarkStart w:id="26" w:name="_Toc32242"/>
      <w:r>
        <w:rPr>
          <w:rFonts w:hint="eastAsia"/>
        </w:rPr>
        <w:t>技改后污染源强分析</w:t>
      </w:r>
      <w:bookmarkEnd w:id="26"/>
    </w:p>
    <w:p>
      <w:pPr>
        <w:pStyle w:val="4"/>
      </w:pPr>
      <w:r>
        <w:rPr>
          <w:rFonts w:hint="eastAsia"/>
        </w:rPr>
        <w:t>废水</w:t>
      </w:r>
    </w:p>
    <w:p>
      <w:pPr>
        <w:pStyle w:val="5"/>
      </w:pPr>
      <w:r>
        <w:rPr>
          <w:rFonts w:hint="eastAsia"/>
        </w:rPr>
        <w:t>技改后废水污染源分析</w:t>
      </w:r>
    </w:p>
    <w:p>
      <w:pPr>
        <w:ind w:firstLine="480"/>
        <w:rPr>
          <w:u w:val="single"/>
        </w:rPr>
      </w:pPr>
      <w:r>
        <w:rPr>
          <w:rFonts w:hint="eastAsia"/>
          <w:u w:val="single"/>
        </w:rPr>
        <w:t>根据现有工程可知，纺纱过程无生产废水产生。本次技改后，厂区废水主要为印染车间生产废水和全厂员工日常生活产生的生产废水。</w:t>
      </w:r>
    </w:p>
    <w:p>
      <w:pPr>
        <w:ind w:firstLine="480"/>
        <w:rPr>
          <w:u w:val="single"/>
        </w:rPr>
      </w:pPr>
      <w:r>
        <w:rPr>
          <w:rFonts w:hint="eastAsia"/>
          <w:u w:val="single"/>
        </w:rPr>
        <w:t>1、印染车间废水</w:t>
      </w:r>
    </w:p>
    <w:p>
      <w:pPr>
        <w:ind w:firstLine="480"/>
        <w:rPr>
          <w:u w:val="single"/>
        </w:rPr>
      </w:pPr>
      <w:r>
        <w:rPr>
          <w:rFonts w:hint="eastAsia"/>
          <w:u w:val="single"/>
        </w:rPr>
        <w:t>印染生产过程产生的废水主要有洗布废水、染色废水、清洗和甩干废水等工艺废水，车间地面和设备冲洗废水，间接冷却水；厂区内蒸汽直接加入设备中进行加温，无蒸汽冷凝水产生。</w:t>
      </w:r>
    </w:p>
    <w:p>
      <w:pPr>
        <w:ind w:firstLine="480"/>
        <w:rPr>
          <w:u w:val="single"/>
        </w:rPr>
      </w:pPr>
      <w:r>
        <w:rPr>
          <w:rFonts w:hint="eastAsia"/>
          <w:u w:val="single"/>
        </w:rPr>
        <w:t>（1）工艺废水</w:t>
      </w:r>
    </w:p>
    <w:p>
      <w:pPr>
        <w:ind w:firstLine="480"/>
        <w:rPr>
          <w:u w:val="single"/>
        </w:rPr>
      </w:pPr>
      <w:r>
        <w:rPr>
          <w:rFonts w:hint="eastAsia"/>
          <w:u w:val="single"/>
        </w:rPr>
        <w:t>工艺废水包括洗布废水、染色废水和清洗废水。</w:t>
      </w:r>
    </w:p>
    <w:p>
      <w:pPr>
        <w:ind w:firstLine="480"/>
        <w:rPr>
          <w:u w:val="single"/>
        </w:rPr>
      </w:pPr>
      <w:r>
        <w:rPr>
          <w:rFonts w:hint="eastAsia"/>
          <w:u w:val="single"/>
        </w:rPr>
        <w:t>①洗布废水</w:t>
      </w:r>
    </w:p>
    <w:p>
      <w:pPr>
        <w:ind w:firstLine="480"/>
        <w:rPr>
          <w:u w:val="single"/>
        </w:rPr>
      </w:pPr>
      <w:r>
        <w:rPr>
          <w:rFonts w:hint="eastAsia"/>
          <w:u w:val="single"/>
        </w:rPr>
        <w:t>技改后，洗布工艺总用水量为16t/d，其中蒸汽量为1.6</w:t>
      </w:r>
      <w:r>
        <w:rPr>
          <w:u w:val="single"/>
        </w:rPr>
        <w:t>t/d</w:t>
      </w:r>
      <w:r>
        <w:rPr>
          <w:rFonts w:hint="eastAsia"/>
          <w:u w:val="single"/>
        </w:rPr>
        <w:t>、新鲜冷水量为14.4</w:t>
      </w:r>
      <w:r>
        <w:rPr>
          <w:u w:val="single"/>
        </w:rPr>
        <w:t>t/d</w:t>
      </w:r>
      <w:r>
        <w:rPr>
          <w:rFonts w:hint="eastAsia"/>
          <w:u w:val="single"/>
        </w:rPr>
        <w:t>，洗布废水按照用水量</w:t>
      </w:r>
      <w:r>
        <w:rPr>
          <w:u w:val="single"/>
        </w:rPr>
        <w:t>90%</w:t>
      </w:r>
      <w:r>
        <w:rPr>
          <w:rFonts w:hint="eastAsia"/>
          <w:u w:val="single"/>
        </w:rPr>
        <w:t>计，则洗布废水量为14.4</w:t>
      </w:r>
      <w:r>
        <w:rPr>
          <w:u w:val="single"/>
        </w:rPr>
        <w:t>m</w:t>
      </w:r>
      <w:r>
        <w:rPr>
          <w:u w:val="single"/>
          <w:vertAlign w:val="superscript"/>
        </w:rPr>
        <w:t>3</w:t>
      </w:r>
      <w:r>
        <w:rPr>
          <w:u w:val="single"/>
        </w:rPr>
        <w:t>/d</w:t>
      </w:r>
      <w:r>
        <w:rPr>
          <w:rFonts w:hint="eastAsia"/>
          <w:u w:val="single"/>
        </w:rPr>
        <w:t>，该废水直接排入厂区污水处理站。</w:t>
      </w:r>
    </w:p>
    <w:p>
      <w:pPr>
        <w:ind w:firstLine="480"/>
        <w:rPr>
          <w:u w:val="single"/>
        </w:rPr>
      </w:pPr>
      <w:r>
        <w:rPr>
          <w:rFonts w:hint="eastAsia"/>
          <w:u w:val="single"/>
        </w:rPr>
        <w:t>②染色废水</w:t>
      </w:r>
    </w:p>
    <w:p>
      <w:pPr>
        <w:ind w:firstLine="480"/>
        <w:rPr>
          <w:u w:val="single"/>
        </w:rPr>
      </w:pPr>
      <w:r>
        <w:rPr>
          <w:rFonts w:hint="eastAsia"/>
          <w:u w:val="single"/>
        </w:rPr>
        <w:t>技改后，染色工序总用水量为1600t/d，其中蒸汽量为96t/d，染色废水按照用水量</w:t>
      </w:r>
      <w:r>
        <w:rPr>
          <w:u w:val="single"/>
        </w:rPr>
        <w:t>90%</w:t>
      </w:r>
      <w:r>
        <w:rPr>
          <w:rFonts w:hint="eastAsia"/>
          <w:u w:val="single"/>
        </w:rPr>
        <w:t>计，染色废水量为1440</w:t>
      </w:r>
      <w:r>
        <w:rPr>
          <w:u w:val="single"/>
        </w:rPr>
        <w:t>m</w:t>
      </w:r>
      <w:r>
        <w:rPr>
          <w:u w:val="single"/>
          <w:vertAlign w:val="superscript"/>
        </w:rPr>
        <w:t>3</w:t>
      </w:r>
      <w:r>
        <w:rPr>
          <w:u w:val="single"/>
        </w:rPr>
        <w:t>/d</w:t>
      </w:r>
      <w:r>
        <w:rPr>
          <w:rFonts w:hint="eastAsia"/>
          <w:u w:val="single"/>
        </w:rPr>
        <w:t>。根据企业提供的工艺参数，每缸染色时间为</w:t>
      </w:r>
      <w:r>
        <w:rPr>
          <w:u w:val="single"/>
        </w:rPr>
        <w:t>4</w:t>
      </w:r>
      <w:r>
        <w:rPr>
          <w:rFonts w:hint="eastAsia"/>
          <w:u w:val="single"/>
        </w:rPr>
        <w:t>小时，每天4缸。由于染液在染色过程中会有少量的沉渣产生，则染色废水需定期进行排放，每天每个缸排放废水平均为</w:t>
      </w:r>
      <w:r>
        <w:rPr>
          <w:u w:val="single"/>
        </w:rPr>
        <w:t>1</w:t>
      </w:r>
      <w:r>
        <w:rPr>
          <w:rFonts w:hint="eastAsia"/>
          <w:u w:val="single"/>
        </w:rPr>
        <w:t>缸水，则企业染色废水套用量为960t/d、排入厂区污水处理站废水量为480t/d。因此，染色工序蒸汽用量为96t/d、废水套用水量为960t/d、中水回用量为544t/d。</w:t>
      </w:r>
    </w:p>
    <w:p>
      <w:pPr>
        <w:ind w:firstLine="480"/>
        <w:rPr>
          <w:u w:val="single"/>
        </w:rPr>
      </w:pPr>
      <w:r>
        <w:rPr>
          <w:rFonts w:hint="eastAsia"/>
          <w:u w:val="single"/>
        </w:rPr>
        <w:t>③清洗废水（包含甩干废水）</w:t>
      </w:r>
    </w:p>
    <w:p>
      <w:pPr>
        <w:ind w:firstLine="480"/>
        <w:rPr>
          <w:u w:val="single"/>
        </w:rPr>
      </w:pPr>
      <w:r>
        <w:rPr>
          <w:rFonts w:hint="eastAsia"/>
          <w:u w:val="single"/>
        </w:rPr>
        <w:t>技改后，清洗工艺用水量为640t/d，其中蒸汽量为6.4</w:t>
      </w:r>
      <w:r>
        <w:rPr>
          <w:u w:val="single"/>
        </w:rPr>
        <w:t>t/d</w:t>
      </w:r>
      <w:r>
        <w:rPr>
          <w:rFonts w:hint="eastAsia"/>
          <w:u w:val="single"/>
        </w:rPr>
        <w:t>。清洗废水按照用水量</w:t>
      </w:r>
      <w:r>
        <w:rPr>
          <w:u w:val="single"/>
        </w:rPr>
        <w:t>90%</w:t>
      </w:r>
      <w:r>
        <w:rPr>
          <w:rFonts w:hint="eastAsia"/>
          <w:u w:val="single"/>
        </w:rPr>
        <w:t>计，则清洗废水量为57</w:t>
      </w:r>
      <w:r>
        <w:rPr>
          <w:u w:val="single"/>
        </w:rPr>
        <w:t>6m</w:t>
      </w:r>
      <w:r>
        <w:rPr>
          <w:u w:val="single"/>
          <w:vertAlign w:val="superscript"/>
        </w:rPr>
        <w:t>3</w:t>
      </w:r>
      <w:r>
        <w:rPr>
          <w:u w:val="single"/>
        </w:rPr>
        <w:t>/d</w:t>
      </w:r>
      <w:r>
        <w:rPr>
          <w:rFonts w:hint="eastAsia"/>
          <w:u w:val="single"/>
        </w:rPr>
        <w:t>，该废水直接排入厂区污水处理站。</w:t>
      </w:r>
    </w:p>
    <w:p>
      <w:pPr>
        <w:ind w:firstLine="480"/>
        <w:rPr>
          <w:u w:val="single"/>
        </w:rPr>
      </w:pPr>
      <w:r>
        <w:rPr>
          <w:rFonts w:hint="eastAsia"/>
          <w:u w:val="single"/>
        </w:rPr>
        <w:t>（2）车间地面和设备冲洗水</w:t>
      </w:r>
    </w:p>
    <w:p>
      <w:pPr>
        <w:ind w:firstLine="480"/>
        <w:rPr>
          <w:u w:val="single"/>
        </w:rPr>
      </w:pPr>
      <w:r>
        <w:rPr>
          <w:rFonts w:hint="eastAsia"/>
          <w:u w:val="single"/>
        </w:rPr>
        <w:t>技改后，企业车间地面和设备冲洗水采用中水，类比企业原有印染车间情况，该冲洗废水产生量约为9</w:t>
      </w:r>
      <w:r>
        <w:rPr>
          <w:u w:val="single"/>
        </w:rPr>
        <w:t>m</w:t>
      </w:r>
      <w:r>
        <w:rPr>
          <w:u w:val="single"/>
          <w:vertAlign w:val="superscript"/>
        </w:rPr>
        <w:t>3</w:t>
      </w:r>
      <w:r>
        <w:rPr>
          <w:u w:val="single"/>
        </w:rPr>
        <w:t>/d</w:t>
      </w:r>
      <w:r>
        <w:rPr>
          <w:rFonts w:hint="eastAsia"/>
          <w:u w:val="single"/>
        </w:rPr>
        <w:t>。</w:t>
      </w:r>
    </w:p>
    <w:p>
      <w:pPr>
        <w:ind w:firstLine="480"/>
        <w:rPr>
          <w:u w:val="single"/>
        </w:rPr>
      </w:pPr>
      <w:r>
        <w:rPr>
          <w:rFonts w:hint="eastAsia"/>
          <w:u w:val="single"/>
        </w:rPr>
        <w:t>（3）间接冷却水</w:t>
      </w:r>
    </w:p>
    <w:p>
      <w:pPr>
        <w:ind w:firstLine="480"/>
        <w:rPr>
          <w:u w:val="single"/>
        </w:rPr>
      </w:pPr>
      <w:r>
        <w:rPr>
          <w:rFonts w:hint="eastAsia"/>
          <w:u w:val="single"/>
        </w:rPr>
        <w:t>技改后，企业间接冷却水产生量为</w:t>
      </w:r>
      <w:r>
        <w:rPr>
          <w:u w:val="single"/>
        </w:rPr>
        <w:t>40m</w:t>
      </w:r>
      <w:r>
        <w:rPr>
          <w:u w:val="single"/>
          <w:vertAlign w:val="superscript"/>
        </w:rPr>
        <w:t>3</w:t>
      </w:r>
      <w:r>
        <w:rPr>
          <w:u w:val="single"/>
        </w:rPr>
        <w:t>/d</w:t>
      </w:r>
      <w:r>
        <w:rPr>
          <w:rFonts w:hint="eastAsia"/>
          <w:u w:val="single"/>
        </w:rPr>
        <w:t>，该冷却水经冷却水池收集后循环使用，不外排。</w:t>
      </w:r>
    </w:p>
    <w:p>
      <w:pPr>
        <w:ind w:firstLine="480"/>
        <w:rPr>
          <w:u w:val="single"/>
        </w:rPr>
      </w:pPr>
      <w:r>
        <w:rPr>
          <w:rFonts w:hint="eastAsia"/>
          <w:u w:val="single"/>
        </w:rPr>
        <w:t>2、生活污水</w:t>
      </w:r>
    </w:p>
    <w:p>
      <w:pPr>
        <w:ind w:firstLine="480"/>
        <w:rPr>
          <w:u w:val="single"/>
        </w:rPr>
      </w:pPr>
      <w:r>
        <w:rPr>
          <w:rFonts w:hint="eastAsia"/>
          <w:u w:val="single"/>
        </w:rPr>
        <w:t>技术改造后，厂区内定员为21</w:t>
      </w:r>
      <w:r>
        <w:rPr>
          <w:u w:val="single"/>
        </w:rPr>
        <w:t>00</w:t>
      </w:r>
      <w:r>
        <w:rPr>
          <w:rFonts w:hint="eastAsia"/>
          <w:u w:val="single"/>
        </w:rPr>
        <w:t>人，仅在厂区内就餐，不住宿。根据《湖南省地方标准用水定额》（</w:t>
      </w:r>
      <w:r>
        <w:rPr>
          <w:u w:val="single"/>
        </w:rPr>
        <w:t>GB43/T388-2014</w:t>
      </w:r>
      <w:r>
        <w:rPr>
          <w:rFonts w:hint="eastAsia"/>
          <w:u w:val="single"/>
        </w:rPr>
        <w:t>），劳动定员生活用水量按</w:t>
      </w:r>
      <w:r>
        <w:rPr>
          <w:u w:val="single"/>
        </w:rPr>
        <w:t>80L/</w:t>
      </w:r>
      <w:r>
        <w:rPr>
          <w:rFonts w:hint="eastAsia"/>
          <w:u w:val="single"/>
        </w:rPr>
        <w:t>人·</w:t>
      </w:r>
      <w:r>
        <w:rPr>
          <w:u w:val="single"/>
        </w:rPr>
        <w:t>d</w:t>
      </w:r>
      <w:r>
        <w:rPr>
          <w:rFonts w:hint="eastAsia"/>
          <w:u w:val="single"/>
        </w:rPr>
        <w:t>，则员工生活用水量为504</w:t>
      </w:r>
      <w:r>
        <w:rPr>
          <w:u w:val="single"/>
        </w:rPr>
        <w:t>00m</w:t>
      </w:r>
      <w:r>
        <w:rPr>
          <w:u w:val="single"/>
          <w:vertAlign w:val="superscript"/>
        </w:rPr>
        <w:t>3</w:t>
      </w:r>
      <w:r>
        <w:rPr>
          <w:u w:val="single"/>
        </w:rPr>
        <w:t>/a</w:t>
      </w:r>
      <w:r>
        <w:rPr>
          <w:rFonts w:hint="eastAsia"/>
          <w:u w:val="single"/>
        </w:rPr>
        <w:t>，生活污水量按生活用水量</w:t>
      </w:r>
      <w:r>
        <w:rPr>
          <w:u w:val="single"/>
        </w:rPr>
        <w:t>80%</w:t>
      </w:r>
      <w:r>
        <w:rPr>
          <w:rFonts w:hint="eastAsia"/>
          <w:u w:val="single"/>
        </w:rPr>
        <w:t>计，则生活污水量为4032</w:t>
      </w:r>
      <w:r>
        <w:rPr>
          <w:u w:val="single"/>
        </w:rPr>
        <w:t>0m</w:t>
      </w:r>
      <w:r>
        <w:rPr>
          <w:u w:val="single"/>
          <w:vertAlign w:val="superscript"/>
        </w:rPr>
        <w:t>3</w:t>
      </w:r>
      <w:r>
        <w:rPr>
          <w:u w:val="single"/>
        </w:rPr>
        <w:t>/a</w:t>
      </w:r>
      <w:r>
        <w:rPr>
          <w:rFonts w:hint="eastAsia"/>
          <w:u w:val="single"/>
        </w:rPr>
        <w:t>。</w:t>
      </w:r>
    </w:p>
    <w:p>
      <w:pPr>
        <w:ind w:firstLine="480"/>
      </w:pPr>
      <w:r>
        <w:rPr>
          <w:rFonts w:hint="eastAsia"/>
        </w:rPr>
        <w:t>3、相关指标分析</w:t>
      </w:r>
    </w:p>
    <w:p>
      <w:pPr>
        <w:ind w:firstLine="480"/>
        <w:rPr>
          <w:u w:val="single"/>
        </w:rPr>
      </w:pPr>
      <w:r>
        <w:rPr>
          <w:rFonts w:hint="eastAsia"/>
          <w:u w:val="single"/>
        </w:rPr>
        <w:t>（1）废水回收系统</w:t>
      </w:r>
    </w:p>
    <w:p>
      <w:pPr>
        <w:ind w:firstLine="480"/>
        <w:rPr>
          <w:u w:val="single"/>
        </w:rPr>
      </w:pPr>
      <w:r>
        <w:rPr>
          <w:rFonts w:hint="eastAsia"/>
          <w:u w:val="single"/>
        </w:rPr>
        <w:t>本次技改为解决现有工程印染车间单位产品用水量、排水量指标和水重复利用率不能满足《印染行业准入条件</w:t>
      </w:r>
      <w:r>
        <w:rPr>
          <w:u w:val="single"/>
        </w:rPr>
        <w:t>(2010</w:t>
      </w:r>
      <w:r>
        <w:rPr>
          <w:rFonts w:hint="eastAsia"/>
          <w:u w:val="single"/>
        </w:rPr>
        <w:t>年修订版</w:t>
      </w:r>
      <w:r>
        <w:rPr>
          <w:u w:val="single"/>
        </w:rPr>
        <w:t>)</w:t>
      </w:r>
      <w:r>
        <w:rPr>
          <w:rFonts w:hint="eastAsia"/>
          <w:u w:val="single"/>
        </w:rPr>
        <w:t>》和《纺织染整工业水污染物排放标准》相关要求，新建废水回用系统。</w:t>
      </w:r>
    </w:p>
    <w:p>
      <w:pPr>
        <w:ind w:firstLine="480"/>
        <w:rPr>
          <w:u w:val="single"/>
        </w:rPr>
      </w:pPr>
      <w:r>
        <w:rPr>
          <w:rFonts w:hint="eastAsia"/>
          <w:u w:val="single"/>
        </w:rPr>
        <w:t>①冷水却循环系统：新建一个4m</w:t>
      </w:r>
      <w:r>
        <w:rPr>
          <w:rFonts w:hint="eastAsia"/>
          <w:u w:val="single"/>
          <w:vertAlign w:val="superscript"/>
        </w:rPr>
        <w:t>3</w:t>
      </w:r>
      <w:r>
        <w:rPr>
          <w:rFonts w:hint="eastAsia"/>
          <w:u w:val="single"/>
        </w:rPr>
        <w:t>冷却水回收池，染色过程采用冷水夹套进行冷却，冷却废水排入冷却水回收池内进行循环利用，不外排。</w:t>
      </w:r>
    </w:p>
    <w:p>
      <w:pPr>
        <w:ind w:firstLine="480"/>
        <w:rPr>
          <w:u w:val="single"/>
        </w:rPr>
      </w:pPr>
      <w:r>
        <w:rPr>
          <w:rFonts w:hint="eastAsia"/>
          <w:u w:val="single"/>
        </w:rPr>
        <w:t>②染色废水套用回收系统：由于技改后仅进行黑色一种颜色进行染色，染液中不含其他不同类型的染料，因此，染液回收后可用于后续染色。新建一个24m</w:t>
      </w:r>
      <w:r>
        <w:rPr>
          <w:rFonts w:hint="eastAsia"/>
          <w:u w:val="single"/>
          <w:vertAlign w:val="superscript"/>
        </w:rPr>
        <w:t>3</w:t>
      </w:r>
      <w:r>
        <w:rPr>
          <w:rFonts w:hint="eastAsia"/>
          <w:u w:val="single"/>
        </w:rPr>
        <w:t>染液回收池，对生产过程产生的染液进行回收，同时新建一个60m</w:t>
      </w:r>
      <w:r>
        <w:rPr>
          <w:rFonts w:hint="eastAsia"/>
          <w:u w:val="single"/>
          <w:vertAlign w:val="superscript"/>
        </w:rPr>
        <w:t>3</w:t>
      </w:r>
      <w:r>
        <w:rPr>
          <w:rFonts w:hint="eastAsia"/>
          <w:u w:val="single"/>
        </w:rPr>
        <w:t>染液回收暂存罐，染液从回收暂存罐返回生产线。</w:t>
      </w:r>
    </w:p>
    <w:p>
      <w:pPr>
        <w:ind w:firstLine="480"/>
        <w:rPr>
          <w:u w:val="single"/>
        </w:rPr>
      </w:pPr>
      <w:r>
        <w:rPr>
          <w:rFonts w:hint="eastAsia"/>
          <w:u w:val="single"/>
        </w:rPr>
        <w:t>③中水回用系统：新建一个600m</w:t>
      </w:r>
      <w:r>
        <w:rPr>
          <w:rFonts w:hint="eastAsia"/>
          <w:u w:val="single"/>
          <w:vertAlign w:val="superscript"/>
        </w:rPr>
        <w:t>3</w:t>
      </w:r>
      <w:r>
        <w:rPr>
          <w:rFonts w:hint="eastAsia"/>
          <w:u w:val="single"/>
        </w:rPr>
        <w:t>中水回收池和2个60m</w:t>
      </w:r>
      <w:r>
        <w:rPr>
          <w:rFonts w:hint="eastAsia"/>
          <w:u w:val="single"/>
          <w:vertAlign w:val="superscript"/>
        </w:rPr>
        <w:t>3</w:t>
      </w:r>
      <w:r>
        <w:rPr>
          <w:rFonts w:hint="eastAsia"/>
          <w:u w:val="single"/>
        </w:rPr>
        <w:t>中水回收罐；污水处理站处理后的尾水部分进入中水回收池进行暂存，利用管道将中水回收池水泵入中水回收罐，中水回收罐中的水用于印染工段需要补充的常温水、地面与设施冲洗用水。根据企业生产工艺要求，生产性废水经污水处理站处理达到《纺织染整工业水污染物排放标准》中间接排放标准后可以满足生产中染液配料水质要求，不影响其产品品质；地面、设施冲洗对水质要求不高，经污水处理站处理达到《纺织染整工业水污染物排放标准》中间接排放标准的废水可以用于地面、设施冲洗。</w:t>
      </w:r>
    </w:p>
    <w:p>
      <w:pPr>
        <w:ind w:firstLine="480"/>
        <w:rPr>
          <w:u w:val="single"/>
        </w:rPr>
      </w:pPr>
      <w:r>
        <w:rPr>
          <w:rFonts w:hint="eastAsia"/>
          <w:u w:val="single"/>
        </w:rPr>
        <w:t>（2）相关指标情况</w:t>
      </w:r>
    </w:p>
    <w:p>
      <w:pPr>
        <w:ind w:firstLine="480"/>
        <w:rPr>
          <w:u w:val="single"/>
        </w:rPr>
      </w:pPr>
      <w:r>
        <w:rPr>
          <w:rFonts w:hint="eastAsia"/>
          <w:u w:val="single"/>
        </w:rPr>
        <w:t>本次技改后，厂区内印染生产规模为年印染1920万</w:t>
      </w:r>
      <w:r>
        <w:rPr>
          <w:u w:val="single"/>
        </w:rPr>
        <w:t>m</w:t>
      </w:r>
      <w:r>
        <w:rPr>
          <w:rFonts w:hint="eastAsia"/>
          <w:u w:val="single"/>
        </w:rPr>
        <w:t>锦棉（日产6.4万</w:t>
      </w:r>
      <w:r>
        <w:rPr>
          <w:u w:val="single"/>
        </w:rPr>
        <w:t>m</w:t>
      </w:r>
      <w:r>
        <w:rPr>
          <w:rFonts w:hint="eastAsia"/>
          <w:u w:val="single"/>
        </w:rPr>
        <w:t>锦棉），根据《印染行业准入条件</w:t>
      </w:r>
      <w:r>
        <w:rPr>
          <w:u w:val="single"/>
        </w:rPr>
        <w:t>(2010</w:t>
      </w:r>
      <w:r>
        <w:rPr>
          <w:rFonts w:hint="eastAsia"/>
          <w:u w:val="single"/>
        </w:rPr>
        <w:t>年修订版</w:t>
      </w:r>
      <w:r>
        <w:rPr>
          <w:u w:val="single"/>
        </w:rPr>
        <w:t>)</w:t>
      </w:r>
      <w:r>
        <w:rPr>
          <w:rFonts w:hint="eastAsia"/>
          <w:u w:val="single"/>
        </w:rPr>
        <w:t>》和《纺织染整工业水污染物排放标准》，对印染生产过程用水和排水做了相关规定。</w:t>
      </w:r>
    </w:p>
    <w:p>
      <w:pPr>
        <w:ind w:firstLine="480"/>
        <w:rPr>
          <w:u w:val="single"/>
        </w:rPr>
      </w:pPr>
      <w:r>
        <w:rPr>
          <w:rFonts w:hint="eastAsia"/>
          <w:u w:val="single"/>
        </w:rPr>
        <w:t>①单位产品用水量和排水量指标</w:t>
      </w:r>
    </w:p>
    <w:p>
      <w:pPr>
        <w:ind w:firstLine="480"/>
        <w:rPr>
          <w:u w:val="single"/>
        </w:rPr>
      </w:pPr>
      <w:r>
        <w:rPr>
          <w:rFonts w:hint="eastAsia"/>
          <w:u w:val="single"/>
        </w:rPr>
        <w:t>本项目技改后，印染生产规模为年产1920万</w:t>
      </w:r>
      <w:r>
        <w:rPr>
          <w:u w:val="single"/>
        </w:rPr>
        <w:t>m</w:t>
      </w:r>
      <w:r>
        <w:rPr>
          <w:rFonts w:hint="eastAsia"/>
          <w:u w:val="single"/>
        </w:rPr>
        <w:t>锦棉（日产6.4万</w:t>
      </w:r>
      <w:r>
        <w:rPr>
          <w:u w:val="single"/>
        </w:rPr>
        <w:t>m</w:t>
      </w:r>
      <w:r>
        <w:rPr>
          <w:rFonts w:hint="eastAsia"/>
          <w:u w:val="single"/>
        </w:rPr>
        <w:t>锦棉，约16t/d），根据水平衡生产使用新鲜水量为756</w:t>
      </w:r>
      <w:r>
        <w:rPr>
          <w:u w:val="single"/>
        </w:rPr>
        <w:t>m</w:t>
      </w:r>
      <w:r>
        <w:rPr>
          <w:u w:val="single"/>
          <w:vertAlign w:val="superscript"/>
        </w:rPr>
        <w:t>3</w:t>
      </w:r>
      <w:r>
        <w:rPr>
          <w:u w:val="single"/>
        </w:rPr>
        <w:t>/d</w:t>
      </w:r>
      <w:r>
        <w:rPr>
          <w:rFonts w:hint="eastAsia"/>
          <w:u w:val="single"/>
        </w:rPr>
        <w:t>、生产排水量为535.4</w:t>
      </w:r>
      <w:r>
        <w:rPr>
          <w:u w:val="single"/>
        </w:rPr>
        <w:t>m</w:t>
      </w:r>
      <w:r>
        <w:rPr>
          <w:u w:val="single"/>
          <w:vertAlign w:val="superscript"/>
        </w:rPr>
        <w:t>3</w:t>
      </w:r>
      <w:r>
        <w:rPr>
          <w:u w:val="single"/>
        </w:rPr>
        <w:t>/d</w:t>
      </w:r>
      <w:r>
        <w:rPr>
          <w:rFonts w:hint="eastAsia"/>
          <w:u w:val="single"/>
        </w:rPr>
        <w:t>。则单位产品用水量和排水量指标分析见表</w:t>
      </w:r>
      <w:r>
        <w:rPr>
          <w:u w:val="single"/>
        </w:rPr>
        <w:t>4.</w:t>
      </w:r>
      <w:r>
        <w:rPr>
          <w:rFonts w:hint="eastAsia"/>
          <w:u w:val="single"/>
        </w:rPr>
        <w:t>4</w:t>
      </w:r>
      <w:r>
        <w:rPr>
          <w:u w:val="single"/>
        </w:rPr>
        <w:t>-1</w:t>
      </w:r>
      <w:r>
        <w:rPr>
          <w:rFonts w:hint="eastAsia"/>
          <w:u w:val="single"/>
        </w:rPr>
        <w:t>。</w:t>
      </w:r>
    </w:p>
    <w:p>
      <w:pPr>
        <w:pStyle w:val="26"/>
        <w:rPr>
          <w:b/>
          <w:bCs/>
          <w:u w:val="single"/>
        </w:rPr>
      </w:pPr>
      <w:r>
        <w:rPr>
          <w:rFonts w:hint="eastAsia"/>
          <w:b/>
          <w:bCs/>
          <w:u w:val="single"/>
        </w:rPr>
        <w:t>表</w:t>
      </w:r>
      <w:r>
        <w:rPr>
          <w:b/>
          <w:bCs/>
          <w:u w:val="single"/>
        </w:rPr>
        <w:t>4.</w:t>
      </w:r>
      <w:r>
        <w:rPr>
          <w:rFonts w:hint="eastAsia"/>
          <w:b/>
          <w:bCs/>
          <w:u w:val="single"/>
        </w:rPr>
        <w:t>4</w:t>
      </w:r>
      <w:r>
        <w:rPr>
          <w:b/>
          <w:bCs/>
          <w:u w:val="single"/>
        </w:rPr>
        <w:t xml:space="preserve">-1  </w:t>
      </w:r>
      <w:r>
        <w:rPr>
          <w:rFonts w:hint="eastAsia"/>
          <w:b/>
          <w:bCs/>
          <w:u w:val="single"/>
        </w:rPr>
        <w:t>单位产品用水量和排水量指标</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809"/>
        <w:gridCol w:w="2022"/>
        <w:gridCol w:w="2550"/>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265" w:type="dxa"/>
            <w:vAlign w:val="center"/>
          </w:tcPr>
          <w:p>
            <w:pPr>
              <w:pStyle w:val="26"/>
              <w:rPr>
                <w:kern w:val="2"/>
                <w:szCs w:val="21"/>
                <w:u w:val="single"/>
                <w:lang w:val="en-US" w:eastAsia="zh-CN"/>
              </w:rPr>
            </w:pPr>
            <w:r>
              <w:rPr>
                <w:rFonts w:hint="eastAsia"/>
                <w:kern w:val="2"/>
                <w:szCs w:val="21"/>
                <w:u w:val="single"/>
                <w:lang w:val="en-US" w:eastAsia="zh-CN"/>
              </w:rPr>
              <w:t>织物类别</w:t>
            </w:r>
          </w:p>
        </w:tc>
        <w:tc>
          <w:tcPr>
            <w:tcW w:w="1809" w:type="dxa"/>
            <w:vAlign w:val="center"/>
          </w:tcPr>
          <w:p>
            <w:pPr>
              <w:pStyle w:val="26"/>
              <w:rPr>
                <w:kern w:val="2"/>
                <w:szCs w:val="21"/>
                <w:u w:val="single"/>
                <w:lang w:val="en-US" w:eastAsia="zh-CN"/>
              </w:rPr>
            </w:pPr>
            <w:r>
              <w:rPr>
                <w:rFonts w:hint="eastAsia"/>
                <w:kern w:val="2"/>
                <w:szCs w:val="21"/>
                <w:u w:val="single"/>
                <w:lang w:val="en-US" w:eastAsia="zh-CN"/>
              </w:rPr>
              <w:t>指标名称</w:t>
            </w:r>
          </w:p>
        </w:tc>
        <w:tc>
          <w:tcPr>
            <w:tcW w:w="2022" w:type="dxa"/>
            <w:vAlign w:val="center"/>
          </w:tcPr>
          <w:p>
            <w:pPr>
              <w:pStyle w:val="26"/>
              <w:rPr>
                <w:kern w:val="2"/>
                <w:szCs w:val="21"/>
                <w:u w:val="single"/>
                <w:lang w:val="en-US" w:eastAsia="zh-CN"/>
              </w:rPr>
            </w:pPr>
            <w:r>
              <w:rPr>
                <w:rFonts w:hint="eastAsia"/>
                <w:kern w:val="2"/>
                <w:szCs w:val="21"/>
                <w:u w:val="single"/>
                <w:lang w:val="en-US" w:eastAsia="zh-CN"/>
              </w:rPr>
              <w:t>企业指标</w:t>
            </w:r>
          </w:p>
        </w:tc>
        <w:tc>
          <w:tcPr>
            <w:tcW w:w="2550" w:type="dxa"/>
            <w:vAlign w:val="center"/>
          </w:tcPr>
          <w:p>
            <w:pPr>
              <w:pStyle w:val="26"/>
              <w:spacing w:line="240" w:lineRule="auto"/>
              <w:rPr>
                <w:kern w:val="2"/>
                <w:szCs w:val="21"/>
                <w:u w:val="single"/>
                <w:lang w:val="en-US" w:eastAsia="zh-CN"/>
              </w:rPr>
            </w:pPr>
            <w:r>
              <w:rPr>
                <w:rFonts w:hint="eastAsia"/>
                <w:kern w:val="2"/>
                <w:szCs w:val="21"/>
                <w:u w:val="single"/>
                <w:lang w:val="en-US" w:eastAsia="zh-CN"/>
              </w:rPr>
              <w:t>印染行业准入条件</w:t>
            </w:r>
            <w:r>
              <w:rPr>
                <w:kern w:val="2"/>
                <w:szCs w:val="21"/>
                <w:u w:val="single"/>
                <w:lang w:val="en-US" w:eastAsia="zh-CN"/>
              </w:rPr>
              <w:t>(2010</w:t>
            </w:r>
            <w:r>
              <w:rPr>
                <w:rFonts w:hint="eastAsia"/>
                <w:kern w:val="2"/>
                <w:szCs w:val="21"/>
                <w:u w:val="single"/>
                <w:lang w:val="en-US" w:eastAsia="zh-CN"/>
              </w:rPr>
              <w:t>年修订版</w:t>
            </w:r>
            <w:r>
              <w:rPr>
                <w:kern w:val="2"/>
                <w:szCs w:val="21"/>
                <w:u w:val="single"/>
                <w:lang w:val="en-US" w:eastAsia="zh-CN"/>
              </w:rPr>
              <w:t>)</w:t>
            </w:r>
          </w:p>
        </w:tc>
        <w:tc>
          <w:tcPr>
            <w:tcW w:w="2208" w:type="dxa"/>
            <w:vAlign w:val="center"/>
          </w:tcPr>
          <w:p>
            <w:pPr>
              <w:pStyle w:val="26"/>
              <w:spacing w:line="240" w:lineRule="auto"/>
              <w:rPr>
                <w:kern w:val="2"/>
                <w:szCs w:val="21"/>
                <w:u w:val="single"/>
                <w:lang w:val="en-US" w:eastAsia="zh-CN"/>
              </w:rPr>
            </w:pPr>
            <w:r>
              <w:rPr>
                <w:rFonts w:hint="eastAsia"/>
                <w:kern w:val="2"/>
                <w:szCs w:val="21"/>
                <w:u w:val="single"/>
                <w:lang w:val="en-US" w:eastAsia="zh-CN"/>
              </w:rPr>
              <w:t>纺织染整工业水污染物排放标准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265" w:type="dxa"/>
            <w:vMerge w:val="restart"/>
            <w:vAlign w:val="center"/>
          </w:tcPr>
          <w:p>
            <w:pPr>
              <w:pStyle w:val="26"/>
              <w:spacing w:line="240" w:lineRule="auto"/>
              <w:rPr>
                <w:kern w:val="2"/>
                <w:szCs w:val="21"/>
                <w:u w:val="single"/>
                <w:lang w:val="en-US" w:eastAsia="zh-CN"/>
              </w:rPr>
            </w:pPr>
            <w:r>
              <w:rPr>
                <w:rFonts w:hint="eastAsia"/>
                <w:kern w:val="2"/>
                <w:szCs w:val="21"/>
                <w:u w:val="single"/>
                <w:lang w:val="en-US" w:eastAsia="zh-CN"/>
              </w:rPr>
              <w:t>棉、麻、化纤及混纺机织物</w:t>
            </w:r>
          </w:p>
        </w:tc>
        <w:tc>
          <w:tcPr>
            <w:tcW w:w="1809" w:type="dxa"/>
            <w:vAlign w:val="center"/>
          </w:tcPr>
          <w:p>
            <w:pPr>
              <w:pStyle w:val="26"/>
              <w:rPr>
                <w:kern w:val="2"/>
                <w:szCs w:val="21"/>
                <w:u w:val="single"/>
                <w:lang w:val="en-US" w:eastAsia="zh-CN"/>
              </w:rPr>
            </w:pPr>
            <w:r>
              <w:rPr>
                <w:rFonts w:hint="eastAsia"/>
                <w:kern w:val="2"/>
                <w:szCs w:val="21"/>
                <w:u w:val="single"/>
                <w:lang w:val="en-US" w:eastAsia="zh-CN"/>
              </w:rPr>
              <w:t>新鲜水取水量</w:t>
            </w:r>
          </w:p>
        </w:tc>
        <w:tc>
          <w:tcPr>
            <w:tcW w:w="2022" w:type="dxa"/>
            <w:vAlign w:val="center"/>
          </w:tcPr>
          <w:p>
            <w:pPr>
              <w:pStyle w:val="26"/>
              <w:rPr>
                <w:kern w:val="2"/>
                <w:szCs w:val="21"/>
                <w:u w:val="single"/>
                <w:lang w:val="en-US" w:eastAsia="zh-CN"/>
              </w:rPr>
            </w:pPr>
            <w:r>
              <w:rPr>
                <w:rFonts w:hint="eastAsia"/>
                <w:kern w:val="2"/>
                <w:szCs w:val="21"/>
                <w:u w:val="single"/>
                <w:lang w:val="en-US" w:eastAsia="zh-CN"/>
              </w:rPr>
              <w:t>1.18吨水</w:t>
            </w:r>
            <w:r>
              <w:rPr>
                <w:kern w:val="2"/>
                <w:szCs w:val="21"/>
                <w:u w:val="single"/>
                <w:lang w:val="en-US" w:eastAsia="zh-CN"/>
              </w:rPr>
              <w:t>/</w:t>
            </w:r>
            <w:r>
              <w:rPr>
                <w:rFonts w:hint="eastAsia"/>
                <w:kern w:val="2"/>
                <w:szCs w:val="21"/>
                <w:u w:val="single"/>
                <w:lang w:val="en-US" w:eastAsia="zh-CN"/>
              </w:rPr>
              <w:t>百米</w:t>
            </w:r>
          </w:p>
        </w:tc>
        <w:tc>
          <w:tcPr>
            <w:tcW w:w="2550" w:type="dxa"/>
            <w:vAlign w:val="center"/>
          </w:tcPr>
          <w:p>
            <w:pPr>
              <w:pStyle w:val="26"/>
              <w:rPr>
                <w:kern w:val="2"/>
                <w:szCs w:val="21"/>
                <w:u w:val="single"/>
                <w:lang w:val="en-US" w:eastAsia="zh-CN"/>
              </w:rPr>
            </w:pPr>
            <w:r>
              <w:rPr>
                <w:kern w:val="2"/>
                <w:szCs w:val="21"/>
                <w:u w:val="single"/>
                <w:lang w:val="en-US" w:eastAsia="zh-CN"/>
              </w:rPr>
              <w:t>2</w:t>
            </w:r>
            <w:r>
              <w:rPr>
                <w:rFonts w:hint="eastAsia"/>
                <w:kern w:val="2"/>
                <w:szCs w:val="21"/>
                <w:u w:val="single"/>
                <w:lang w:val="en-US" w:eastAsia="zh-CN"/>
              </w:rPr>
              <w:t>吨水</w:t>
            </w:r>
            <w:r>
              <w:rPr>
                <w:kern w:val="2"/>
                <w:szCs w:val="21"/>
                <w:u w:val="single"/>
                <w:lang w:val="en-US" w:eastAsia="zh-CN"/>
              </w:rPr>
              <w:t>/</w:t>
            </w:r>
            <w:r>
              <w:rPr>
                <w:rFonts w:hint="eastAsia"/>
                <w:kern w:val="2"/>
                <w:szCs w:val="21"/>
                <w:u w:val="single"/>
                <w:lang w:val="en-US" w:eastAsia="zh-CN"/>
              </w:rPr>
              <w:t>百米</w:t>
            </w:r>
          </w:p>
        </w:tc>
        <w:tc>
          <w:tcPr>
            <w:tcW w:w="2208" w:type="dxa"/>
            <w:vAlign w:val="center"/>
          </w:tcPr>
          <w:p>
            <w:pPr>
              <w:pStyle w:val="26"/>
              <w:rPr>
                <w:kern w:val="2"/>
                <w:szCs w:val="21"/>
                <w:u w:val="single"/>
                <w:lang w:val="en-US" w:eastAsia="zh-CN"/>
              </w:rPr>
            </w:pPr>
            <w:r>
              <w:rPr>
                <w:kern w:val="2"/>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265" w:type="dxa"/>
            <w:vMerge w:val="continue"/>
          </w:tcPr>
          <w:p>
            <w:pPr>
              <w:pStyle w:val="26"/>
              <w:rPr>
                <w:kern w:val="2"/>
                <w:szCs w:val="21"/>
                <w:u w:val="single"/>
                <w:lang w:val="en-US" w:eastAsia="zh-CN"/>
              </w:rPr>
            </w:pPr>
          </w:p>
        </w:tc>
        <w:tc>
          <w:tcPr>
            <w:tcW w:w="1809" w:type="dxa"/>
            <w:vAlign w:val="center"/>
          </w:tcPr>
          <w:p>
            <w:pPr>
              <w:pStyle w:val="26"/>
              <w:rPr>
                <w:kern w:val="2"/>
                <w:szCs w:val="21"/>
                <w:u w:val="single"/>
                <w:lang w:val="en-US" w:eastAsia="zh-CN"/>
              </w:rPr>
            </w:pPr>
            <w:r>
              <w:rPr>
                <w:rFonts w:hint="eastAsia"/>
                <w:kern w:val="2"/>
                <w:szCs w:val="21"/>
                <w:u w:val="single"/>
                <w:lang w:val="en-US" w:eastAsia="zh-CN"/>
              </w:rPr>
              <w:t>单位产品排水量</w:t>
            </w:r>
          </w:p>
        </w:tc>
        <w:tc>
          <w:tcPr>
            <w:tcW w:w="2022" w:type="dxa"/>
            <w:vAlign w:val="center"/>
          </w:tcPr>
          <w:p>
            <w:pPr>
              <w:pStyle w:val="26"/>
              <w:rPr>
                <w:kern w:val="2"/>
                <w:szCs w:val="21"/>
                <w:u w:val="single"/>
                <w:lang w:val="en-US" w:eastAsia="zh-CN"/>
              </w:rPr>
            </w:pPr>
            <w:r>
              <w:rPr>
                <w:rFonts w:hint="eastAsia"/>
                <w:kern w:val="2"/>
                <w:szCs w:val="21"/>
                <w:u w:val="single"/>
                <w:lang w:val="en-US" w:eastAsia="zh-CN"/>
              </w:rPr>
              <w:t>33.46吨水</w:t>
            </w:r>
            <w:r>
              <w:rPr>
                <w:kern w:val="2"/>
                <w:szCs w:val="21"/>
                <w:u w:val="single"/>
                <w:lang w:val="en-US" w:eastAsia="zh-CN"/>
              </w:rPr>
              <w:t>/</w:t>
            </w:r>
            <w:r>
              <w:rPr>
                <w:rFonts w:hint="eastAsia"/>
                <w:kern w:val="2"/>
                <w:szCs w:val="21"/>
                <w:u w:val="single"/>
                <w:lang w:val="en-US" w:eastAsia="zh-CN"/>
              </w:rPr>
              <w:t>吨</w:t>
            </w:r>
          </w:p>
        </w:tc>
        <w:tc>
          <w:tcPr>
            <w:tcW w:w="2550" w:type="dxa"/>
            <w:vAlign w:val="center"/>
          </w:tcPr>
          <w:p>
            <w:pPr>
              <w:pStyle w:val="26"/>
              <w:rPr>
                <w:kern w:val="2"/>
                <w:szCs w:val="21"/>
                <w:u w:val="single"/>
                <w:lang w:val="en-US" w:eastAsia="zh-CN"/>
              </w:rPr>
            </w:pPr>
            <w:r>
              <w:rPr>
                <w:kern w:val="2"/>
                <w:szCs w:val="21"/>
                <w:u w:val="single"/>
                <w:lang w:val="en-US" w:eastAsia="zh-CN"/>
              </w:rPr>
              <w:t>-</w:t>
            </w:r>
          </w:p>
        </w:tc>
        <w:tc>
          <w:tcPr>
            <w:tcW w:w="2208" w:type="dxa"/>
            <w:vAlign w:val="center"/>
          </w:tcPr>
          <w:p>
            <w:pPr>
              <w:pStyle w:val="26"/>
              <w:rPr>
                <w:kern w:val="2"/>
                <w:szCs w:val="21"/>
                <w:u w:val="single"/>
                <w:lang w:val="en-US" w:eastAsia="zh-CN"/>
              </w:rPr>
            </w:pPr>
            <w:r>
              <w:rPr>
                <w:kern w:val="2"/>
                <w:szCs w:val="21"/>
                <w:u w:val="single"/>
                <w:lang w:val="en-US" w:eastAsia="zh-CN"/>
              </w:rPr>
              <w:t>140</w:t>
            </w:r>
            <w:r>
              <w:rPr>
                <w:rFonts w:hint="eastAsia"/>
                <w:kern w:val="2"/>
                <w:szCs w:val="21"/>
                <w:u w:val="single"/>
                <w:lang w:val="en-US" w:eastAsia="zh-CN"/>
              </w:rPr>
              <w:t>吨水</w:t>
            </w:r>
            <w:r>
              <w:rPr>
                <w:kern w:val="2"/>
                <w:szCs w:val="21"/>
                <w:u w:val="single"/>
                <w:lang w:val="en-US" w:eastAsia="zh-CN"/>
              </w:rPr>
              <w:t>/</w:t>
            </w:r>
            <w:r>
              <w:rPr>
                <w:rFonts w:hint="eastAsia"/>
                <w:kern w:val="2"/>
                <w:szCs w:val="21"/>
                <w:u w:val="single"/>
                <w:lang w:val="en-US" w:eastAsia="zh-CN"/>
              </w:rPr>
              <w:t>吨</w:t>
            </w:r>
          </w:p>
        </w:tc>
      </w:tr>
    </w:tbl>
    <w:p>
      <w:pPr>
        <w:ind w:firstLine="480"/>
        <w:rPr>
          <w:u w:val="single"/>
        </w:rPr>
      </w:pPr>
      <w:r>
        <w:rPr>
          <w:rFonts w:hint="eastAsia"/>
          <w:u w:val="single"/>
        </w:rPr>
        <w:t>由上表可知，技改后企业单位产品新鲜水取水量和排水量指标均满足《印染行业准入条件</w:t>
      </w:r>
      <w:r>
        <w:rPr>
          <w:u w:val="single"/>
        </w:rPr>
        <w:t>(2010</w:t>
      </w:r>
      <w:r>
        <w:rPr>
          <w:rFonts w:hint="eastAsia"/>
          <w:u w:val="single"/>
        </w:rPr>
        <w:t>年修订版》和《纺织染整工业水污染物排放标准》（</w:t>
      </w:r>
      <w:r>
        <w:rPr>
          <w:u w:val="single"/>
        </w:rPr>
        <w:t>GB4287-2012</w:t>
      </w:r>
      <w:r>
        <w:rPr>
          <w:rFonts w:hint="eastAsia"/>
          <w:u w:val="single"/>
        </w:rPr>
        <w:t>）中的相关限值要求。</w:t>
      </w:r>
    </w:p>
    <w:p>
      <w:pPr>
        <w:ind w:firstLine="480"/>
        <w:rPr>
          <w:u w:val="single"/>
        </w:rPr>
      </w:pPr>
      <w:r>
        <w:rPr>
          <w:rFonts w:hint="eastAsia"/>
          <w:u w:val="single"/>
        </w:rPr>
        <w:t>②水重复利用率</w:t>
      </w:r>
    </w:p>
    <w:p>
      <w:pPr>
        <w:ind w:firstLine="480"/>
        <w:rPr>
          <w:u w:val="single"/>
        </w:rPr>
      </w:pPr>
      <w:r>
        <w:rPr>
          <w:rFonts w:hint="eastAsia"/>
          <w:u w:val="single"/>
        </w:rPr>
        <w:t>根据《印染行业准入条件</w:t>
      </w:r>
      <w:r>
        <w:rPr>
          <w:u w:val="single"/>
        </w:rPr>
        <w:t>(2010</w:t>
      </w:r>
      <w:r>
        <w:rPr>
          <w:rFonts w:hint="eastAsia"/>
          <w:u w:val="single"/>
        </w:rPr>
        <w:t>年修订版》要求，水重复利用率要达到</w:t>
      </w:r>
      <w:r>
        <w:rPr>
          <w:u w:val="single"/>
        </w:rPr>
        <w:t>35%</w:t>
      </w:r>
      <w:r>
        <w:rPr>
          <w:rFonts w:hint="eastAsia"/>
          <w:u w:val="single"/>
        </w:rPr>
        <w:t>以上。技改后水重复利用率达到67.2</w:t>
      </w:r>
      <w:r>
        <w:rPr>
          <w:u w:val="single"/>
        </w:rPr>
        <w:t>%[</w:t>
      </w:r>
      <w:r>
        <w:rPr>
          <w:rFonts w:hint="eastAsia"/>
          <w:u w:val="single"/>
        </w:rPr>
        <w:t>水重复利用率＝（废水回用量</w:t>
      </w:r>
      <w:r>
        <w:rPr>
          <w:u w:val="single"/>
        </w:rPr>
        <w:t>+</w:t>
      </w:r>
      <w:r>
        <w:rPr>
          <w:rFonts w:hint="eastAsia"/>
          <w:u w:val="single"/>
        </w:rPr>
        <w:t>废水套用量）</w:t>
      </w:r>
      <w:r>
        <w:rPr>
          <w:u w:val="single"/>
        </w:rPr>
        <w:t>/</w:t>
      </w:r>
      <w:r>
        <w:rPr>
          <w:rFonts w:hint="eastAsia"/>
          <w:u w:val="single"/>
        </w:rPr>
        <w:t>（中水回用量＋废水套用量</w:t>
      </w:r>
      <w:r>
        <w:rPr>
          <w:u w:val="single"/>
        </w:rPr>
        <w:t>+</w:t>
      </w:r>
      <w:r>
        <w:rPr>
          <w:rFonts w:hint="eastAsia"/>
          <w:u w:val="single"/>
        </w:rPr>
        <w:t>新水补充量）</w:t>
      </w:r>
      <w:r>
        <w:rPr>
          <w:u w:val="single"/>
        </w:rPr>
        <w:t>]</w:t>
      </w:r>
      <w:r>
        <w:rPr>
          <w:rFonts w:hint="eastAsia"/>
          <w:u w:val="single"/>
        </w:rPr>
        <w:t>，式中：废水回用量554</w:t>
      </w:r>
      <w:r>
        <w:rPr>
          <w:u w:val="single"/>
        </w:rPr>
        <w:t>t/a</w:t>
      </w:r>
      <w:r>
        <w:rPr>
          <w:rFonts w:hint="eastAsia"/>
          <w:u w:val="single"/>
        </w:rPr>
        <w:t>，废水套用量960</w:t>
      </w:r>
      <w:r>
        <w:rPr>
          <w:u w:val="single"/>
        </w:rPr>
        <w:t>t/d</w:t>
      </w:r>
      <w:r>
        <w:rPr>
          <w:rFonts w:hint="eastAsia"/>
          <w:u w:val="single"/>
        </w:rPr>
        <w:t>，新水补充量756</w:t>
      </w:r>
      <w:r>
        <w:rPr>
          <w:u w:val="single"/>
        </w:rPr>
        <w:t>t/d</w:t>
      </w:r>
      <w:r>
        <w:rPr>
          <w:rFonts w:hint="eastAsia"/>
          <w:u w:val="single"/>
        </w:rPr>
        <w:t>。</w:t>
      </w:r>
    </w:p>
    <w:p>
      <w:pPr>
        <w:ind w:firstLine="480"/>
        <w:rPr>
          <w:u w:val="single"/>
        </w:rPr>
      </w:pPr>
      <w:r>
        <w:rPr>
          <w:rFonts w:hint="eastAsia"/>
          <w:u w:val="single"/>
        </w:rPr>
        <w:t>4、技改后废水产排情况汇总</w:t>
      </w:r>
    </w:p>
    <w:p>
      <w:pPr>
        <w:ind w:firstLine="480"/>
        <w:rPr>
          <w:u w:val="single"/>
        </w:rPr>
      </w:pPr>
      <w:r>
        <w:rPr>
          <w:rFonts w:hint="eastAsia"/>
          <w:u w:val="single"/>
        </w:rPr>
        <w:t>（1）废水污染物产排浓度确定情况</w:t>
      </w:r>
    </w:p>
    <w:p>
      <w:pPr>
        <w:ind w:firstLine="480"/>
        <w:rPr>
          <w:u w:val="single"/>
        </w:rPr>
      </w:pPr>
      <w:r>
        <w:rPr>
          <w:rFonts w:hint="eastAsia"/>
          <w:u w:val="single"/>
        </w:rPr>
        <w:t>技改前后废水均通过厂区污水处理站处理后排放，因此，技改后废水污染物产排浓度类比现有工程情况。</w:t>
      </w:r>
    </w:p>
    <w:p>
      <w:pPr>
        <w:ind w:firstLine="480"/>
        <w:rPr>
          <w:rFonts w:hint="eastAsia"/>
          <w:u w:val="single"/>
        </w:rPr>
      </w:pPr>
      <w:r>
        <w:rPr>
          <w:rFonts w:hint="eastAsia"/>
          <w:u w:val="single"/>
        </w:rPr>
        <w:t>本次环评委托岳阳市衡润检测有限公司于</w:t>
      </w:r>
      <w:r>
        <w:rPr>
          <w:u w:val="single"/>
        </w:rPr>
        <w:t>2017</w:t>
      </w:r>
      <w:r>
        <w:rPr>
          <w:rFonts w:hint="eastAsia"/>
          <w:u w:val="single"/>
        </w:rPr>
        <w:t>年</w:t>
      </w:r>
      <w:r>
        <w:rPr>
          <w:u w:val="single"/>
        </w:rPr>
        <w:t>7</w:t>
      </w:r>
      <w:r>
        <w:rPr>
          <w:rFonts w:hint="eastAsia"/>
          <w:u w:val="single"/>
        </w:rPr>
        <w:t>月</w:t>
      </w:r>
      <w:r>
        <w:rPr>
          <w:u w:val="single"/>
        </w:rPr>
        <w:t>6</w:t>
      </w:r>
      <w:r>
        <w:rPr>
          <w:rFonts w:hint="eastAsia"/>
          <w:u w:val="single"/>
        </w:rPr>
        <w:t>日</w:t>
      </w:r>
      <w:r>
        <w:rPr>
          <w:u w:val="single"/>
        </w:rPr>
        <w:t>~7</w:t>
      </w:r>
      <w:r>
        <w:rPr>
          <w:rFonts w:hint="eastAsia"/>
          <w:u w:val="single"/>
        </w:rPr>
        <w:t>日对现有工程废水污水处理站进出口进行检测，其检测结果见表</w:t>
      </w:r>
      <w:r>
        <w:rPr>
          <w:u w:val="single"/>
        </w:rPr>
        <w:t>4.</w:t>
      </w:r>
      <w:r>
        <w:rPr>
          <w:rFonts w:hint="eastAsia"/>
          <w:u w:val="single"/>
        </w:rPr>
        <w:t>4</w:t>
      </w:r>
      <w:r>
        <w:rPr>
          <w:u w:val="single"/>
        </w:rPr>
        <w:t>-2</w:t>
      </w:r>
      <w:r>
        <w:rPr>
          <w:rFonts w:hint="eastAsia"/>
          <w:u w:val="single"/>
        </w:rPr>
        <w:t>。</w:t>
      </w:r>
    </w:p>
    <w:p>
      <w:pPr>
        <w:ind w:firstLine="480"/>
        <w:rPr>
          <w:rFonts w:hint="eastAsia"/>
          <w:u w:val="single"/>
        </w:rPr>
      </w:pPr>
    </w:p>
    <w:p>
      <w:pPr>
        <w:ind w:firstLine="480"/>
        <w:rPr>
          <w:rFonts w:hint="eastAsia"/>
          <w:u w:val="single"/>
        </w:rPr>
      </w:pPr>
    </w:p>
    <w:p>
      <w:pPr>
        <w:ind w:firstLine="480"/>
        <w:rPr>
          <w:rFonts w:hint="eastAsia"/>
          <w:u w:val="single"/>
        </w:rPr>
      </w:pPr>
    </w:p>
    <w:p>
      <w:pPr>
        <w:pStyle w:val="26"/>
        <w:rPr>
          <w:b/>
          <w:bCs/>
          <w:u w:val="single"/>
        </w:rPr>
      </w:pPr>
      <w:r>
        <w:rPr>
          <w:rFonts w:hint="eastAsia"/>
          <w:b/>
          <w:bCs/>
          <w:u w:val="single"/>
        </w:rPr>
        <w:t>表</w:t>
      </w:r>
      <w:r>
        <w:rPr>
          <w:b/>
          <w:bCs/>
          <w:u w:val="single"/>
        </w:rPr>
        <w:t>4.</w:t>
      </w:r>
      <w:r>
        <w:rPr>
          <w:rFonts w:hint="eastAsia"/>
          <w:b/>
          <w:bCs/>
          <w:u w:val="single"/>
        </w:rPr>
        <w:t>4</w:t>
      </w:r>
      <w:r>
        <w:rPr>
          <w:b/>
          <w:bCs/>
          <w:u w:val="single"/>
        </w:rPr>
        <w:t xml:space="preserve">-2  </w:t>
      </w:r>
      <w:r>
        <w:rPr>
          <w:rFonts w:hint="eastAsia"/>
          <w:b/>
          <w:bCs/>
          <w:u w:val="single"/>
        </w:rPr>
        <w:t>污水处理站进出口水污染物检测结果一览表</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2463"/>
        <w:gridCol w:w="2464"/>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2463" w:type="dxa"/>
            <w:vMerge w:val="restart"/>
            <w:vAlign w:val="center"/>
          </w:tcPr>
          <w:p>
            <w:pPr>
              <w:pStyle w:val="26"/>
              <w:rPr>
                <w:kern w:val="2"/>
                <w:szCs w:val="21"/>
                <w:u w:val="single"/>
                <w:lang w:val="en-US" w:eastAsia="zh-CN"/>
              </w:rPr>
            </w:pPr>
            <w:r>
              <w:rPr>
                <w:rFonts w:hint="eastAsia"/>
                <w:kern w:val="2"/>
                <w:szCs w:val="21"/>
                <w:u w:val="single"/>
                <w:lang w:val="en-US" w:eastAsia="zh-CN"/>
              </w:rPr>
              <w:t>检测因子</w:t>
            </w:r>
          </w:p>
        </w:tc>
        <w:tc>
          <w:tcPr>
            <w:tcW w:w="4927" w:type="dxa"/>
            <w:gridSpan w:val="2"/>
            <w:vAlign w:val="center"/>
          </w:tcPr>
          <w:p>
            <w:pPr>
              <w:pStyle w:val="26"/>
              <w:rPr>
                <w:kern w:val="2"/>
                <w:szCs w:val="21"/>
                <w:u w:val="single"/>
                <w:lang w:val="en-US" w:eastAsia="zh-CN"/>
              </w:rPr>
            </w:pPr>
            <w:r>
              <w:rPr>
                <w:rFonts w:hint="eastAsia"/>
                <w:kern w:val="2"/>
                <w:szCs w:val="21"/>
                <w:u w:val="single"/>
                <w:lang w:val="en-US" w:eastAsia="zh-CN"/>
              </w:rPr>
              <w:t>检测结果范围</w:t>
            </w:r>
          </w:p>
        </w:tc>
        <w:tc>
          <w:tcPr>
            <w:tcW w:w="2464" w:type="dxa"/>
            <w:vMerge w:val="restart"/>
            <w:vAlign w:val="center"/>
          </w:tcPr>
          <w:p>
            <w:pPr>
              <w:pStyle w:val="26"/>
              <w:rPr>
                <w:kern w:val="2"/>
                <w:szCs w:val="21"/>
                <w:u w:val="single"/>
                <w:lang w:val="en-US" w:eastAsia="zh-CN"/>
              </w:rPr>
            </w:pPr>
            <w:r>
              <w:rPr>
                <w:rFonts w:hint="eastAsia"/>
                <w:kern w:val="2"/>
                <w:szCs w:val="21"/>
                <w:u w:val="single"/>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2463" w:type="dxa"/>
            <w:vMerge w:val="continue"/>
            <w:vAlign w:val="center"/>
          </w:tcPr>
          <w:p>
            <w:pPr>
              <w:pStyle w:val="26"/>
              <w:rPr>
                <w:kern w:val="2"/>
                <w:szCs w:val="21"/>
                <w:u w:val="single"/>
                <w:lang w:val="en-US" w:eastAsia="zh-CN"/>
              </w:rPr>
            </w:pPr>
          </w:p>
        </w:tc>
        <w:tc>
          <w:tcPr>
            <w:tcW w:w="2463" w:type="dxa"/>
            <w:vAlign w:val="center"/>
          </w:tcPr>
          <w:p>
            <w:pPr>
              <w:pStyle w:val="26"/>
              <w:rPr>
                <w:kern w:val="2"/>
                <w:szCs w:val="21"/>
                <w:u w:val="single"/>
                <w:lang w:val="en-US" w:eastAsia="zh-CN"/>
              </w:rPr>
            </w:pPr>
            <w:r>
              <w:rPr>
                <w:rFonts w:hint="eastAsia"/>
                <w:kern w:val="2"/>
                <w:szCs w:val="21"/>
                <w:u w:val="single"/>
                <w:lang w:val="en-US" w:eastAsia="zh-CN"/>
              </w:rPr>
              <w:t>污水处理站进口</w:t>
            </w:r>
          </w:p>
        </w:tc>
        <w:tc>
          <w:tcPr>
            <w:tcW w:w="2464" w:type="dxa"/>
            <w:vAlign w:val="center"/>
          </w:tcPr>
          <w:p>
            <w:pPr>
              <w:pStyle w:val="26"/>
              <w:rPr>
                <w:kern w:val="2"/>
                <w:szCs w:val="21"/>
                <w:u w:val="single"/>
                <w:lang w:val="en-US" w:eastAsia="zh-CN"/>
              </w:rPr>
            </w:pPr>
            <w:r>
              <w:rPr>
                <w:rFonts w:hint="eastAsia"/>
                <w:kern w:val="2"/>
                <w:szCs w:val="21"/>
                <w:u w:val="single"/>
                <w:lang w:val="en-US" w:eastAsia="zh-CN"/>
              </w:rPr>
              <w:t>污水处理站出口</w:t>
            </w:r>
          </w:p>
        </w:tc>
        <w:tc>
          <w:tcPr>
            <w:tcW w:w="2464" w:type="dxa"/>
            <w:vMerge w:val="continue"/>
            <w:vAlign w:val="center"/>
          </w:tcPr>
          <w:p>
            <w:pPr>
              <w:pStyle w:val="26"/>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3" w:type="dxa"/>
            <w:vAlign w:val="center"/>
          </w:tcPr>
          <w:p>
            <w:pPr>
              <w:pStyle w:val="26"/>
              <w:rPr>
                <w:kern w:val="2"/>
                <w:szCs w:val="21"/>
                <w:u w:val="single"/>
                <w:lang w:val="en-US" w:eastAsia="zh-CN"/>
              </w:rPr>
            </w:pPr>
            <w:r>
              <w:rPr>
                <w:kern w:val="2"/>
                <w:szCs w:val="21"/>
                <w:u w:val="single"/>
                <w:lang w:val="en-US" w:eastAsia="zh-CN"/>
              </w:rPr>
              <w:t>pH</w:t>
            </w:r>
          </w:p>
        </w:tc>
        <w:tc>
          <w:tcPr>
            <w:tcW w:w="2463" w:type="dxa"/>
            <w:vAlign w:val="center"/>
          </w:tcPr>
          <w:p>
            <w:pPr>
              <w:pStyle w:val="26"/>
              <w:rPr>
                <w:kern w:val="2"/>
                <w:szCs w:val="21"/>
                <w:u w:val="single"/>
                <w:lang w:val="en-US" w:eastAsia="zh-CN"/>
              </w:rPr>
            </w:pPr>
            <w:r>
              <w:rPr>
                <w:kern w:val="2"/>
                <w:szCs w:val="21"/>
                <w:u w:val="single"/>
                <w:lang w:val="en-US" w:eastAsia="zh-CN"/>
              </w:rPr>
              <w:t>13.9</w:t>
            </w:r>
          </w:p>
        </w:tc>
        <w:tc>
          <w:tcPr>
            <w:tcW w:w="2464" w:type="dxa"/>
            <w:vAlign w:val="center"/>
          </w:tcPr>
          <w:p>
            <w:pPr>
              <w:pStyle w:val="26"/>
              <w:rPr>
                <w:kern w:val="2"/>
                <w:szCs w:val="21"/>
                <w:u w:val="single"/>
                <w:lang w:val="en-US" w:eastAsia="zh-CN"/>
              </w:rPr>
            </w:pPr>
            <w:r>
              <w:rPr>
                <w:kern w:val="2"/>
                <w:szCs w:val="21"/>
                <w:u w:val="single"/>
                <w:lang w:val="en-US" w:eastAsia="zh-CN"/>
              </w:rPr>
              <w:t>6.12~6.42</w:t>
            </w:r>
          </w:p>
        </w:tc>
        <w:tc>
          <w:tcPr>
            <w:tcW w:w="2464" w:type="dxa"/>
            <w:vAlign w:val="center"/>
          </w:tcPr>
          <w:p>
            <w:pPr>
              <w:pStyle w:val="26"/>
              <w:rPr>
                <w:kern w:val="2"/>
                <w:szCs w:val="21"/>
                <w:u w:val="single"/>
                <w:lang w:val="en-US" w:eastAsia="zh-CN"/>
              </w:rPr>
            </w:pPr>
            <w:r>
              <w:rPr>
                <w:kern w:val="2"/>
                <w:szCs w:val="21"/>
                <w:u w:val="singl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3" w:type="dxa"/>
            <w:vAlign w:val="center"/>
          </w:tcPr>
          <w:p>
            <w:pPr>
              <w:pStyle w:val="26"/>
              <w:rPr>
                <w:kern w:val="2"/>
                <w:szCs w:val="21"/>
                <w:u w:val="single"/>
                <w:lang w:val="en-US" w:eastAsia="zh-CN"/>
              </w:rPr>
            </w:pPr>
            <w:r>
              <w:rPr>
                <w:kern w:val="2"/>
                <w:szCs w:val="21"/>
                <w:u w:val="single"/>
                <w:lang w:val="en-US" w:eastAsia="zh-CN"/>
              </w:rPr>
              <w:t>COD</w:t>
            </w:r>
            <w:r>
              <w:rPr>
                <w:kern w:val="2"/>
                <w:szCs w:val="21"/>
                <w:u w:val="single"/>
                <w:vertAlign w:val="subscript"/>
                <w:lang w:val="en-US" w:eastAsia="zh-CN"/>
              </w:rPr>
              <w:t>Cr</w:t>
            </w:r>
          </w:p>
        </w:tc>
        <w:tc>
          <w:tcPr>
            <w:tcW w:w="2463" w:type="dxa"/>
            <w:vAlign w:val="center"/>
          </w:tcPr>
          <w:p>
            <w:pPr>
              <w:pStyle w:val="26"/>
              <w:rPr>
                <w:kern w:val="2"/>
                <w:szCs w:val="21"/>
                <w:u w:val="single"/>
                <w:lang w:val="en-US" w:eastAsia="zh-CN"/>
              </w:rPr>
            </w:pPr>
            <w:r>
              <w:rPr>
                <w:kern w:val="2"/>
                <w:szCs w:val="21"/>
                <w:u w:val="single"/>
                <w:lang w:val="en-US" w:eastAsia="zh-CN"/>
              </w:rPr>
              <w:t>1250~1360</w:t>
            </w:r>
          </w:p>
        </w:tc>
        <w:tc>
          <w:tcPr>
            <w:tcW w:w="2464" w:type="dxa"/>
            <w:vAlign w:val="center"/>
          </w:tcPr>
          <w:p>
            <w:pPr>
              <w:pStyle w:val="26"/>
              <w:rPr>
                <w:kern w:val="2"/>
                <w:szCs w:val="21"/>
                <w:u w:val="single"/>
                <w:lang w:val="en-US" w:eastAsia="zh-CN"/>
              </w:rPr>
            </w:pPr>
            <w:r>
              <w:rPr>
                <w:kern w:val="2"/>
                <w:szCs w:val="21"/>
                <w:u w:val="single"/>
                <w:lang w:val="en-US" w:eastAsia="zh-CN"/>
              </w:rPr>
              <w:t>165~181</w:t>
            </w:r>
          </w:p>
        </w:tc>
        <w:tc>
          <w:tcPr>
            <w:tcW w:w="2464" w:type="dxa"/>
            <w:vAlign w:val="center"/>
          </w:tcPr>
          <w:p>
            <w:pPr>
              <w:pStyle w:val="26"/>
              <w:rPr>
                <w:kern w:val="2"/>
                <w:szCs w:val="21"/>
                <w:u w:val="single"/>
                <w:lang w:val="en-US" w:eastAsia="zh-CN"/>
              </w:rPr>
            </w:pPr>
            <w:r>
              <w:rPr>
                <w:kern w:val="2"/>
                <w:szCs w:val="21"/>
                <w:u w:val="singl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3" w:type="dxa"/>
            <w:vAlign w:val="center"/>
          </w:tcPr>
          <w:p>
            <w:pPr>
              <w:pStyle w:val="26"/>
              <w:rPr>
                <w:kern w:val="2"/>
                <w:szCs w:val="21"/>
                <w:u w:val="single"/>
                <w:lang w:val="en-US" w:eastAsia="zh-CN"/>
              </w:rPr>
            </w:pPr>
            <w:r>
              <w:rPr>
                <w:kern w:val="2"/>
                <w:szCs w:val="21"/>
                <w:u w:val="single"/>
                <w:lang w:val="en-US" w:eastAsia="zh-CN"/>
              </w:rPr>
              <w:t>NH</w:t>
            </w:r>
            <w:r>
              <w:rPr>
                <w:kern w:val="2"/>
                <w:szCs w:val="21"/>
                <w:u w:val="single"/>
                <w:vertAlign w:val="subscript"/>
                <w:lang w:val="en-US" w:eastAsia="zh-CN"/>
              </w:rPr>
              <w:t>3</w:t>
            </w:r>
            <w:r>
              <w:rPr>
                <w:kern w:val="2"/>
                <w:szCs w:val="21"/>
                <w:u w:val="single"/>
                <w:lang w:val="en-US" w:eastAsia="zh-CN"/>
              </w:rPr>
              <w:t>-N</w:t>
            </w:r>
          </w:p>
        </w:tc>
        <w:tc>
          <w:tcPr>
            <w:tcW w:w="2463" w:type="dxa"/>
            <w:vAlign w:val="center"/>
          </w:tcPr>
          <w:p>
            <w:pPr>
              <w:pStyle w:val="26"/>
              <w:rPr>
                <w:kern w:val="2"/>
                <w:szCs w:val="21"/>
                <w:u w:val="single"/>
                <w:lang w:val="en-US" w:eastAsia="zh-CN"/>
              </w:rPr>
            </w:pPr>
            <w:r>
              <w:rPr>
                <w:kern w:val="2"/>
                <w:szCs w:val="21"/>
                <w:u w:val="single"/>
                <w:lang w:val="en-US" w:eastAsia="zh-CN"/>
              </w:rPr>
              <w:t>14.86~17.76</w:t>
            </w:r>
          </w:p>
        </w:tc>
        <w:tc>
          <w:tcPr>
            <w:tcW w:w="2464" w:type="dxa"/>
            <w:vAlign w:val="center"/>
          </w:tcPr>
          <w:p>
            <w:pPr>
              <w:pStyle w:val="26"/>
              <w:rPr>
                <w:kern w:val="2"/>
                <w:szCs w:val="21"/>
                <w:u w:val="single"/>
                <w:lang w:val="en-US" w:eastAsia="zh-CN"/>
              </w:rPr>
            </w:pPr>
            <w:r>
              <w:rPr>
                <w:kern w:val="2"/>
                <w:szCs w:val="21"/>
                <w:u w:val="single"/>
                <w:lang w:val="en-US" w:eastAsia="zh-CN"/>
              </w:rPr>
              <w:t>12.84~13.43</w:t>
            </w:r>
          </w:p>
        </w:tc>
        <w:tc>
          <w:tcPr>
            <w:tcW w:w="2464" w:type="dxa"/>
            <w:vAlign w:val="center"/>
          </w:tcPr>
          <w:p>
            <w:pPr>
              <w:pStyle w:val="26"/>
              <w:rPr>
                <w:kern w:val="2"/>
                <w:szCs w:val="21"/>
                <w:u w:val="single"/>
                <w:lang w:val="en-US" w:eastAsia="zh-CN"/>
              </w:rPr>
            </w:pPr>
            <w:r>
              <w:rPr>
                <w:kern w:val="2"/>
                <w:szCs w:val="21"/>
                <w:u w:val="singl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3" w:type="dxa"/>
            <w:vAlign w:val="center"/>
          </w:tcPr>
          <w:p>
            <w:pPr>
              <w:pStyle w:val="26"/>
              <w:rPr>
                <w:kern w:val="2"/>
                <w:szCs w:val="21"/>
                <w:u w:val="single"/>
                <w:lang w:val="en-US" w:eastAsia="zh-CN"/>
              </w:rPr>
            </w:pPr>
            <w:r>
              <w:rPr>
                <w:kern w:val="2"/>
                <w:szCs w:val="21"/>
                <w:u w:val="single"/>
                <w:lang w:val="en-US" w:eastAsia="zh-CN"/>
              </w:rPr>
              <w:t>TP</w:t>
            </w:r>
          </w:p>
        </w:tc>
        <w:tc>
          <w:tcPr>
            <w:tcW w:w="2463" w:type="dxa"/>
            <w:vAlign w:val="center"/>
          </w:tcPr>
          <w:p>
            <w:pPr>
              <w:pStyle w:val="26"/>
              <w:rPr>
                <w:kern w:val="2"/>
                <w:szCs w:val="21"/>
                <w:u w:val="single"/>
                <w:lang w:val="en-US" w:eastAsia="zh-CN"/>
              </w:rPr>
            </w:pPr>
            <w:r>
              <w:rPr>
                <w:kern w:val="2"/>
                <w:szCs w:val="21"/>
                <w:u w:val="single"/>
                <w:lang w:val="en-US" w:eastAsia="zh-CN"/>
              </w:rPr>
              <w:t>95.46~105.09</w:t>
            </w:r>
          </w:p>
        </w:tc>
        <w:tc>
          <w:tcPr>
            <w:tcW w:w="2464" w:type="dxa"/>
            <w:vAlign w:val="center"/>
          </w:tcPr>
          <w:p>
            <w:pPr>
              <w:pStyle w:val="26"/>
              <w:rPr>
                <w:kern w:val="2"/>
                <w:szCs w:val="21"/>
                <w:u w:val="single"/>
                <w:lang w:val="en-US" w:eastAsia="zh-CN"/>
              </w:rPr>
            </w:pPr>
            <w:r>
              <w:rPr>
                <w:kern w:val="2"/>
                <w:szCs w:val="21"/>
                <w:u w:val="single"/>
                <w:lang w:val="en-US" w:eastAsia="zh-CN"/>
              </w:rPr>
              <w:t>0.20~0.28</w:t>
            </w:r>
          </w:p>
        </w:tc>
        <w:tc>
          <w:tcPr>
            <w:tcW w:w="2464" w:type="dxa"/>
            <w:vAlign w:val="center"/>
          </w:tcPr>
          <w:p>
            <w:pPr>
              <w:pStyle w:val="26"/>
              <w:rPr>
                <w:kern w:val="2"/>
                <w:szCs w:val="21"/>
                <w:u w:val="single"/>
                <w:lang w:val="en-US" w:eastAsia="zh-CN"/>
              </w:rPr>
            </w:pPr>
            <w:r>
              <w:rPr>
                <w:kern w:val="2"/>
                <w:szCs w:val="21"/>
                <w:u w:val="singl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3" w:type="dxa"/>
            <w:vAlign w:val="center"/>
          </w:tcPr>
          <w:p>
            <w:pPr>
              <w:pStyle w:val="26"/>
              <w:rPr>
                <w:kern w:val="2"/>
                <w:szCs w:val="21"/>
                <w:u w:val="single"/>
                <w:lang w:val="en-US" w:eastAsia="zh-CN"/>
              </w:rPr>
            </w:pPr>
            <w:r>
              <w:rPr>
                <w:rFonts w:hint="eastAsia"/>
                <w:kern w:val="2"/>
                <w:szCs w:val="21"/>
                <w:u w:val="single"/>
                <w:lang w:val="en-US" w:eastAsia="zh-CN"/>
              </w:rPr>
              <w:t>硫化物</w:t>
            </w:r>
          </w:p>
        </w:tc>
        <w:tc>
          <w:tcPr>
            <w:tcW w:w="2463" w:type="dxa"/>
            <w:vAlign w:val="center"/>
          </w:tcPr>
          <w:p>
            <w:pPr>
              <w:pStyle w:val="26"/>
              <w:rPr>
                <w:kern w:val="2"/>
                <w:szCs w:val="21"/>
                <w:u w:val="single"/>
                <w:lang w:val="en-US" w:eastAsia="zh-CN"/>
              </w:rPr>
            </w:pPr>
            <w:r>
              <w:rPr>
                <w:kern w:val="2"/>
                <w:szCs w:val="21"/>
                <w:u w:val="single"/>
                <w:lang w:val="en-US" w:eastAsia="zh-CN"/>
              </w:rPr>
              <w:t>10~11.6</w:t>
            </w:r>
          </w:p>
        </w:tc>
        <w:tc>
          <w:tcPr>
            <w:tcW w:w="2464" w:type="dxa"/>
            <w:vAlign w:val="center"/>
          </w:tcPr>
          <w:p>
            <w:pPr>
              <w:pStyle w:val="26"/>
              <w:rPr>
                <w:kern w:val="2"/>
                <w:szCs w:val="21"/>
                <w:u w:val="single"/>
                <w:lang w:val="en-US" w:eastAsia="zh-CN"/>
              </w:rPr>
            </w:pPr>
            <w:r>
              <w:rPr>
                <w:kern w:val="2"/>
                <w:szCs w:val="21"/>
                <w:u w:val="single"/>
                <w:lang w:val="en-US" w:eastAsia="zh-CN"/>
              </w:rPr>
              <w:t>0.035~0.040</w:t>
            </w:r>
          </w:p>
        </w:tc>
        <w:tc>
          <w:tcPr>
            <w:tcW w:w="2464" w:type="dxa"/>
            <w:vAlign w:val="center"/>
          </w:tcPr>
          <w:p>
            <w:pPr>
              <w:pStyle w:val="26"/>
              <w:rPr>
                <w:kern w:val="2"/>
                <w:szCs w:val="21"/>
                <w:u w:val="single"/>
                <w:lang w:val="en-US" w:eastAsia="zh-CN"/>
              </w:rPr>
            </w:pPr>
            <w:r>
              <w:rPr>
                <w:kern w:val="2"/>
                <w:szCs w:val="21"/>
                <w:u w:val="singl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3" w:type="dxa"/>
            <w:vAlign w:val="center"/>
          </w:tcPr>
          <w:p>
            <w:pPr>
              <w:pStyle w:val="26"/>
              <w:rPr>
                <w:kern w:val="2"/>
                <w:szCs w:val="21"/>
                <w:u w:val="single"/>
                <w:lang w:val="en-US" w:eastAsia="zh-CN"/>
              </w:rPr>
            </w:pPr>
            <w:r>
              <w:rPr>
                <w:rFonts w:hint="eastAsia"/>
                <w:kern w:val="2"/>
                <w:szCs w:val="21"/>
                <w:u w:val="single"/>
                <w:lang w:val="en-US" w:eastAsia="zh-CN"/>
              </w:rPr>
              <w:t>色度</w:t>
            </w:r>
          </w:p>
        </w:tc>
        <w:tc>
          <w:tcPr>
            <w:tcW w:w="2463" w:type="dxa"/>
            <w:vAlign w:val="center"/>
          </w:tcPr>
          <w:p>
            <w:pPr>
              <w:pStyle w:val="26"/>
              <w:rPr>
                <w:kern w:val="2"/>
                <w:szCs w:val="21"/>
                <w:u w:val="single"/>
                <w:lang w:val="en-US" w:eastAsia="zh-CN"/>
              </w:rPr>
            </w:pPr>
            <w:r>
              <w:rPr>
                <w:kern w:val="2"/>
                <w:szCs w:val="21"/>
                <w:u w:val="single"/>
                <w:lang w:val="en-US" w:eastAsia="zh-CN"/>
              </w:rPr>
              <w:t>256</w:t>
            </w:r>
          </w:p>
        </w:tc>
        <w:tc>
          <w:tcPr>
            <w:tcW w:w="2464" w:type="dxa"/>
            <w:vAlign w:val="center"/>
          </w:tcPr>
          <w:p>
            <w:pPr>
              <w:pStyle w:val="26"/>
              <w:rPr>
                <w:kern w:val="2"/>
                <w:szCs w:val="21"/>
                <w:u w:val="single"/>
                <w:lang w:val="en-US" w:eastAsia="zh-CN"/>
              </w:rPr>
            </w:pPr>
            <w:r>
              <w:rPr>
                <w:kern w:val="2"/>
                <w:szCs w:val="21"/>
                <w:u w:val="single"/>
                <w:lang w:val="en-US" w:eastAsia="zh-CN"/>
              </w:rPr>
              <w:t>10</w:t>
            </w:r>
          </w:p>
        </w:tc>
        <w:tc>
          <w:tcPr>
            <w:tcW w:w="2464" w:type="dxa"/>
            <w:vAlign w:val="center"/>
          </w:tcPr>
          <w:p>
            <w:pPr>
              <w:pStyle w:val="26"/>
              <w:rPr>
                <w:kern w:val="2"/>
                <w:szCs w:val="21"/>
                <w:u w:val="single"/>
                <w:lang w:val="en-US" w:eastAsia="zh-CN"/>
              </w:rPr>
            </w:pPr>
            <w:r>
              <w:rPr>
                <w:kern w:val="2"/>
                <w:szCs w:val="21"/>
                <w:u w:val="single"/>
                <w:lang w:val="en-US" w:eastAsia="zh-CN"/>
              </w:rPr>
              <w:t>80</w:t>
            </w:r>
          </w:p>
        </w:tc>
      </w:tr>
    </w:tbl>
    <w:p>
      <w:pPr>
        <w:ind w:firstLine="480"/>
        <w:rPr>
          <w:u w:val="single"/>
        </w:rPr>
      </w:pPr>
      <w:r>
        <w:rPr>
          <w:rFonts w:hint="eastAsia"/>
          <w:u w:val="single"/>
        </w:rPr>
        <w:t>类比现有工程情况，由上表可知，项目技改后，厂区废水中</w:t>
      </w:r>
      <w:r>
        <w:rPr>
          <w:u w:val="single"/>
        </w:rPr>
        <w:t>COD</w:t>
      </w:r>
      <w:r>
        <w:rPr>
          <w:rFonts w:hint="eastAsia"/>
          <w:u w:val="single"/>
        </w:rPr>
        <w:t>产生浓度约为</w:t>
      </w:r>
      <w:r>
        <w:rPr>
          <w:u w:val="single"/>
        </w:rPr>
        <w:t>1400mg/L</w:t>
      </w:r>
      <w:r>
        <w:rPr>
          <w:rFonts w:hint="eastAsia"/>
          <w:u w:val="single"/>
        </w:rPr>
        <w:t>、氨氮产生浓度约为</w:t>
      </w:r>
      <w:r>
        <w:rPr>
          <w:u w:val="single"/>
        </w:rPr>
        <w:t>18mg/L</w:t>
      </w:r>
      <w:r>
        <w:rPr>
          <w:rFonts w:hint="eastAsia"/>
          <w:u w:val="single"/>
        </w:rPr>
        <w:t>；厂区废水总排口</w:t>
      </w:r>
      <w:r>
        <w:rPr>
          <w:u w:val="single"/>
        </w:rPr>
        <w:t>COD</w:t>
      </w:r>
      <w:r>
        <w:rPr>
          <w:rFonts w:hint="eastAsia"/>
          <w:u w:val="single"/>
        </w:rPr>
        <w:t>排放浓度约为</w:t>
      </w:r>
      <w:r>
        <w:rPr>
          <w:u w:val="single"/>
        </w:rPr>
        <w:t>190mg/L</w:t>
      </w:r>
      <w:r>
        <w:rPr>
          <w:rFonts w:hint="eastAsia"/>
          <w:u w:val="single"/>
        </w:rPr>
        <w:t>、氨氮排放浓度约为</w:t>
      </w:r>
      <w:r>
        <w:rPr>
          <w:u w:val="single"/>
        </w:rPr>
        <w:t>14mg/L</w:t>
      </w:r>
      <w:r>
        <w:rPr>
          <w:rFonts w:hint="eastAsia"/>
          <w:u w:val="single"/>
        </w:rPr>
        <w:t>。</w:t>
      </w:r>
    </w:p>
    <w:p>
      <w:pPr>
        <w:ind w:firstLine="480"/>
        <w:rPr>
          <w:u w:val="single"/>
        </w:rPr>
      </w:pPr>
      <w:r>
        <w:rPr>
          <w:rFonts w:hint="eastAsia"/>
          <w:u w:val="single"/>
        </w:rPr>
        <w:t>（2）技改后废水产生及排放情况汇总</w:t>
      </w:r>
    </w:p>
    <w:p>
      <w:pPr>
        <w:ind w:firstLine="480"/>
        <w:rPr>
          <w:u w:val="single"/>
        </w:rPr>
      </w:pPr>
      <w:r>
        <w:rPr>
          <w:rFonts w:hint="eastAsia"/>
          <w:u w:val="single"/>
        </w:rPr>
        <w:t>根据上述分析，技改后厂区废水产生和排放情况见表4.4-3，技改后厂区废水污染物产生和排放情况见表4.4-4。</w:t>
      </w:r>
    </w:p>
    <w:p>
      <w:pPr>
        <w:pStyle w:val="25"/>
        <w:rPr>
          <w:b/>
          <w:bCs/>
          <w:u w:val="single"/>
        </w:rPr>
      </w:pPr>
      <w:r>
        <w:rPr>
          <w:rFonts w:hint="eastAsia"/>
          <w:b/>
          <w:bCs/>
          <w:u w:val="single"/>
        </w:rPr>
        <w:t>表4.4-3  技改后废水产生及排放情况一览表       单位：t/d</w:t>
      </w:r>
    </w:p>
    <w:tbl>
      <w:tblPr>
        <w:tblStyle w:val="23"/>
        <w:tblW w:w="97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8"/>
        <w:gridCol w:w="980"/>
        <w:gridCol w:w="1281"/>
        <w:gridCol w:w="1706"/>
        <w:gridCol w:w="1283"/>
        <w:gridCol w:w="1134"/>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2378" w:type="dxa"/>
            <w:vAlign w:val="center"/>
          </w:tcPr>
          <w:p>
            <w:pPr>
              <w:pStyle w:val="25"/>
              <w:rPr>
                <w:szCs w:val="21"/>
                <w:u w:val="single"/>
                <w:lang w:val="en-US" w:eastAsia="zh-CN"/>
              </w:rPr>
            </w:pPr>
            <w:r>
              <w:rPr>
                <w:rFonts w:hint="eastAsia"/>
                <w:szCs w:val="21"/>
                <w:u w:val="single"/>
                <w:lang w:val="en-US" w:eastAsia="zh-CN"/>
              </w:rPr>
              <w:t>废水名称</w:t>
            </w:r>
          </w:p>
        </w:tc>
        <w:tc>
          <w:tcPr>
            <w:tcW w:w="980" w:type="dxa"/>
            <w:vAlign w:val="center"/>
          </w:tcPr>
          <w:p>
            <w:pPr>
              <w:pStyle w:val="25"/>
              <w:rPr>
                <w:szCs w:val="21"/>
                <w:u w:val="single"/>
                <w:lang w:val="en-US" w:eastAsia="zh-CN"/>
              </w:rPr>
            </w:pPr>
            <w:r>
              <w:rPr>
                <w:rFonts w:hint="eastAsia"/>
                <w:szCs w:val="21"/>
                <w:u w:val="single"/>
                <w:lang w:val="en-US" w:eastAsia="zh-CN"/>
              </w:rPr>
              <w:t>产生量</w:t>
            </w:r>
          </w:p>
        </w:tc>
        <w:tc>
          <w:tcPr>
            <w:tcW w:w="1281" w:type="dxa"/>
            <w:vAlign w:val="center"/>
          </w:tcPr>
          <w:p>
            <w:pPr>
              <w:pStyle w:val="25"/>
              <w:rPr>
                <w:szCs w:val="21"/>
                <w:u w:val="single"/>
                <w:lang w:val="en-US" w:eastAsia="zh-CN"/>
              </w:rPr>
            </w:pPr>
            <w:r>
              <w:rPr>
                <w:rFonts w:hint="eastAsia"/>
                <w:szCs w:val="21"/>
                <w:u w:val="single"/>
                <w:lang w:val="en-US" w:eastAsia="zh-CN"/>
              </w:rPr>
              <w:t>套内回用量</w:t>
            </w:r>
          </w:p>
        </w:tc>
        <w:tc>
          <w:tcPr>
            <w:tcW w:w="1706" w:type="dxa"/>
            <w:vAlign w:val="center"/>
          </w:tcPr>
          <w:p>
            <w:pPr>
              <w:pStyle w:val="25"/>
              <w:rPr>
                <w:szCs w:val="21"/>
                <w:u w:val="single"/>
                <w:lang w:val="en-US" w:eastAsia="zh-CN"/>
              </w:rPr>
            </w:pPr>
            <w:r>
              <w:rPr>
                <w:rFonts w:hint="eastAsia"/>
                <w:szCs w:val="21"/>
                <w:u w:val="single"/>
                <w:lang w:val="en-US" w:eastAsia="zh-CN"/>
              </w:rPr>
              <w:t>排入污水站的量</w:t>
            </w:r>
          </w:p>
        </w:tc>
        <w:tc>
          <w:tcPr>
            <w:tcW w:w="1283" w:type="dxa"/>
            <w:vAlign w:val="center"/>
          </w:tcPr>
          <w:p>
            <w:pPr>
              <w:pStyle w:val="25"/>
              <w:rPr>
                <w:szCs w:val="21"/>
                <w:u w:val="single"/>
                <w:lang w:val="en-US" w:eastAsia="zh-CN"/>
              </w:rPr>
            </w:pPr>
            <w:r>
              <w:rPr>
                <w:rFonts w:hint="eastAsia"/>
                <w:szCs w:val="21"/>
                <w:u w:val="single"/>
                <w:lang w:val="en-US" w:eastAsia="zh-CN"/>
              </w:rPr>
              <w:t>中水回用量</w:t>
            </w:r>
          </w:p>
        </w:tc>
        <w:tc>
          <w:tcPr>
            <w:tcW w:w="1134" w:type="dxa"/>
            <w:vAlign w:val="center"/>
          </w:tcPr>
          <w:p>
            <w:pPr>
              <w:pStyle w:val="25"/>
              <w:rPr>
                <w:szCs w:val="21"/>
                <w:u w:val="single"/>
                <w:lang w:val="en-US" w:eastAsia="zh-CN"/>
              </w:rPr>
            </w:pPr>
            <w:r>
              <w:rPr>
                <w:rFonts w:hint="eastAsia"/>
                <w:szCs w:val="21"/>
                <w:u w:val="single"/>
                <w:lang w:val="en-US" w:eastAsia="zh-CN"/>
              </w:rPr>
              <w:t>总削减量</w:t>
            </w:r>
          </w:p>
        </w:tc>
        <w:tc>
          <w:tcPr>
            <w:tcW w:w="1003" w:type="dxa"/>
            <w:vAlign w:val="center"/>
          </w:tcPr>
          <w:p>
            <w:pPr>
              <w:pStyle w:val="25"/>
              <w:rPr>
                <w:szCs w:val="21"/>
                <w:u w:val="single"/>
                <w:lang w:val="en-US" w:eastAsia="zh-CN"/>
              </w:rPr>
            </w:pPr>
            <w:r>
              <w:rPr>
                <w:rFonts w:hint="eastAsia"/>
                <w:szCs w:val="21"/>
                <w:u w:val="single"/>
                <w:lang w:val="en-US" w:eastAsia="zh-C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8" w:type="dxa"/>
            <w:vAlign w:val="center"/>
          </w:tcPr>
          <w:p>
            <w:pPr>
              <w:pStyle w:val="25"/>
              <w:rPr>
                <w:szCs w:val="21"/>
                <w:u w:val="single"/>
                <w:lang w:val="en-US" w:eastAsia="zh-CN"/>
              </w:rPr>
            </w:pPr>
            <w:r>
              <w:rPr>
                <w:rFonts w:hint="eastAsia"/>
                <w:szCs w:val="21"/>
                <w:u w:val="single"/>
                <w:lang w:val="en-US" w:eastAsia="zh-CN"/>
              </w:rPr>
              <w:t>洗布废水</w:t>
            </w:r>
          </w:p>
        </w:tc>
        <w:tc>
          <w:tcPr>
            <w:tcW w:w="980" w:type="dxa"/>
            <w:vAlign w:val="center"/>
          </w:tcPr>
          <w:p>
            <w:pPr>
              <w:pStyle w:val="25"/>
              <w:rPr>
                <w:szCs w:val="21"/>
                <w:u w:val="single"/>
                <w:lang w:val="en-US" w:eastAsia="zh-CN"/>
              </w:rPr>
            </w:pPr>
            <w:r>
              <w:rPr>
                <w:rFonts w:hint="eastAsia"/>
                <w:szCs w:val="21"/>
                <w:u w:val="single"/>
                <w:lang w:val="en-US" w:eastAsia="zh-CN"/>
              </w:rPr>
              <w:t>14.4</w:t>
            </w:r>
          </w:p>
        </w:tc>
        <w:tc>
          <w:tcPr>
            <w:tcW w:w="1281" w:type="dxa"/>
            <w:vAlign w:val="center"/>
          </w:tcPr>
          <w:p>
            <w:pPr>
              <w:pStyle w:val="25"/>
              <w:rPr>
                <w:szCs w:val="21"/>
                <w:u w:val="single"/>
                <w:lang w:val="en-US" w:eastAsia="zh-CN"/>
              </w:rPr>
            </w:pPr>
            <w:r>
              <w:rPr>
                <w:rFonts w:hint="eastAsia"/>
                <w:szCs w:val="21"/>
                <w:u w:val="single"/>
                <w:lang w:val="en-US" w:eastAsia="zh-CN"/>
              </w:rPr>
              <w:t>0</w:t>
            </w:r>
          </w:p>
        </w:tc>
        <w:tc>
          <w:tcPr>
            <w:tcW w:w="1706" w:type="dxa"/>
            <w:vAlign w:val="center"/>
          </w:tcPr>
          <w:p>
            <w:pPr>
              <w:pStyle w:val="25"/>
              <w:rPr>
                <w:szCs w:val="21"/>
                <w:u w:val="single"/>
                <w:lang w:val="en-US" w:eastAsia="zh-CN"/>
              </w:rPr>
            </w:pPr>
            <w:r>
              <w:rPr>
                <w:rFonts w:hint="eastAsia"/>
                <w:szCs w:val="21"/>
                <w:u w:val="single"/>
                <w:lang w:val="en-US" w:eastAsia="zh-CN"/>
              </w:rPr>
              <w:t>7.2</w:t>
            </w:r>
          </w:p>
        </w:tc>
        <w:tc>
          <w:tcPr>
            <w:tcW w:w="1283" w:type="dxa"/>
            <w:vAlign w:val="center"/>
          </w:tcPr>
          <w:p>
            <w:pPr>
              <w:pStyle w:val="25"/>
              <w:rPr>
                <w:szCs w:val="21"/>
                <w:u w:val="single"/>
                <w:lang w:val="en-US" w:eastAsia="zh-CN"/>
              </w:rPr>
            </w:pPr>
            <w:r>
              <w:rPr>
                <w:rFonts w:hint="eastAsia"/>
                <w:szCs w:val="21"/>
                <w:u w:val="single"/>
                <w:lang w:val="en-US" w:eastAsia="zh-CN"/>
              </w:rPr>
              <w:t>0</w:t>
            </w:r>
          </w:p>
        </w:tc>
        <w:tc>
          <w:tcPr>
            <w:tcW w:w="1134" w:type="dxa"/>
            <w:vMerge w:val="restart"/>
            <w:vAlign w:val="center"/>
          </w:tcPr>
          <w:p>
            <w:pPr>
              <w:pStyle w:val="25"/>
              <w:rPr>
                <w:szCs w:val="21"/>
                <w:u w:val="single"/>
                <w:lang w:val="en-US" w:eastAsia="zh-CN"/>
              </w:rPr>
            </w:pPr>
            <w:r>
              <w:rPr>
                <w:rFonts w:hint="eastAsia"/>
                <w:szCs w:val="21"/>
                <w:u w:val="single"/>
                <w:lang w:val="en-US" w:eastAsia="zh-CN"/>
              </w:rPr>
              <w:t>1550</w:t>
            </w:r>
          </w:p>
        </w:tc>
        <w:tc>
          <w:tcPr>
            <w:tcW w:w="1003" w:type="dxa"/>
            <w:vMerge w:val="restart"/>
            <w:vAlign w:val="center"/>
          </w:tcPr>
          <w:p>
            <w:pPr>
              <w:pStyle w:val="25"/>
              <w:rPr>
                <w:szCs w:val="21"/>
                <w:u w:val="single"/>
                <w:lang w:val="en-US" w:eastAsia="zh-CN"/>
              </w:rPr>
            </w:pPr>
            <w:r>
              <w:rPr>
                <w:rFonts w:hint="eastAsia"/>
                <w:szCs w:val="21"/>
                <w:u w:val="single"/>
                <w:lang w:val="en-US" w:eastAsia="zh-CN"/>
              </w:rPr>
              <w:t>525.4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8" w:type="dxa"/>
            <w:vAlign w:val="center"/>
          </w:tcPr>
          <w:p>
            <w:pPr>
              <w:pStyle w:val="25"/>
              <w:rPr>
                <w:szCs w:val="21"/>
                <w:u w:val="single"/>
                <w:lang w:val="en-US" w:eastAsia="zh-CN"/>
              </w:rPr>
            </w:pPr>
            <w:r>
              <w:rPr>
                <w:rFonts w:hint="eastAsia"/>
                <w:szCs w:val="21"/>
                <w:u w:val="single"/>
                <w:lang w:val="en-US" w:eastAsia="zh-CN"/>
              </w:rPr>
              <w:t>染色废水</w:t>
            </w:r>
          </w:p>
        </w:tc>
        <w:tc>
          <w:tcPr>
            <w:tcW w:w="980" w:type="dxa"/>
            <w:vAlign w:val="center"/>
          </w:tcPr>
          <w:p>
            <w:pPr>
              <w:pStyle w:val="25"/>
              <w:rPr>
                <w:szCs w:val="21"/>
                <w:u w:val="single"/>
                <w:lang w:val="en-US" w:eastAsia="zh-CN"/>
              </w:rPr>
            </w:pPr>
            <w:r>
              <w:rPr>
                <w:rFonts w:hint="eastAsia"/>
                <w:szCs w:val="21"/>
                <w:u w:val="single"/>
                <w:lang w:val="en-US" w:eastAsia="zh-CN"/>
              </w:rPr>
              <w:t>1440</w:t>
            </w:r>
          </w:p>
        </w:tc>
        <w:tc>
          <w:tcPr>
            <w:tcW w:w="1281" w:type="dxa"/>
            <w:vAlign w:val="center"/>
          </w:tcPr>
          <w:p>
            <w:pPr>
              <w:pStyle w:val="25"/>
              <w:rPr>
                <w:szCs w:val="21"/>
                <w:u w:val="single"/>
                <w:lang w:val="en-US" w:eastAsia="zh-CN"/>
              </w:rPr>
            </w:pPr>
            <w:r>
              <w:rPr>
                <w:rFonts w:hint="eastAsia"/>
                <w:szCs w:val="21"/>
                <w:u w:val="single"/>
                <w:lang w:val="en-US" w:eastAsia="zh-CN"/>
              </w:rPr>
              <w:t>1080</w:t>
            </w:r>
          </w:p>
        </w:tc>
        <w:tc>
          <w:tcPr>
            <w:tcW w:w="1706" w:type="dxa"/>
            <w:vAlign w:val="center"/>
          </w:tcPr>
          <w:p>
            <w:pPr>
              <w:pStyle w:val="25"/>
              <w:rPr>
                <w:szCs w:val="21"/>
                <w:u w:val="single"/>
                <w:lang w:val="en-US" w:eastAsia="zh-CN"/>
              </w:rPr>
            </w:pPr>
            <w:r>
              <w:rPr>
                <w:rFonts w:hint="eastAsia"/>
                <w:szCs w:val="21"/>
                <w:u w:val="single"/>
                <w:lang w:val="en-US" w:eastAsia="zh-CN"/>
              </w:rPr>
              <w:t>360</w:t>
            </w:r>
          </w:p>
        </w:tc>
        <w:tc>
          <w:tcPr>
            <w:tcW w:w="1283" w:type="dxa"/>
            <w:vAlign w:val="center"/>
          </w:tcPr>
          <w:p>
            <w:pPr>
              <w:pStyle w:val="25"/>
              <w:rPr>
                <w:szCs w:val="21"/>
                <w:u w:val="single"/>
                <w:lang w:val="en-US" w:eastAsia="zh-CN"/>
              </w:rPr>
            </w:pPr>
            <w:r>
              <w:rPr>
                <w:rFonts w:hint="eastAsia"/>
                <w:szCs w:val="21"/>
                <w:u w:val="single"/>
                <w:lang w:val="en-US" w:eastAsia="zh-CN"/>
              </w:rPr>
              <w:t>424</w:t>
            </w:r>
          </w:p>
        </w:tc>
        <w:tc>
          <w:tcPr>
            <w:tcW w:w="1134" w:type="dxa"/>
            <w:vMerge w:val="continue"/>
            <w:vAlign w:val="center"/>
          </w:tcPr>
          <w:p>
            <w:pPr>
              <w:pStyle w:val="25"/>
              <w:rPr>
                <w:szCs w:val="21"/>
                <w:u w:val="single"/>
                <w:lang w:val="en-US" w:eastAsia="zh-CN"/>
              </w:rPr>
            </w:pPr>
          </w:p>
        </w:tc>
        <w:tc>
          <w:tcPr>
            <w:tcW w:w="1003" w:type="dxa"/>
            <w:vMerge w:val="continue"/>
            <w:vAlign w:val="center"/>
          </w:tcPr>
          <w:p>
            <w:pPr>
              <w:pStyle w:val="25"/>
              <w:rPr>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8" w:type="dxa"/>
            <w:vAlign w:val="center"/>
          </w:tcPr>
          <w:p>
            <w:pPr>
              <w:pStyle w:val="25"/>
              <w:rPr>
                <w:szCs w:val="21"/>
                <w:u w:val="single"/>
                <w:lang w:val="en-US" w:eastAsia="zh-CN"/>
              </w:rPr>
            </w:pPr>
            <w:r>
              <w:rPr>
                <w:rFonts w:hint="eastAsia"/>
                <w:szCs w:val="21"/>
                <w:u w:val="single"/>
                <w:lang w:val="en-US" w:eastAsia="zh-CN"/>
              </w:rPr>
              <w:t>清洗废水</w:t>
            </w:r>
          </w:p>
        </w:tc>
        <w:tc>
          <w:tcPr>
            <w:tcW w:w="980" w:type="dxa"/>
            <w:vAlign w:val="center"/>
          </w:tcPr>
          <w:p>
            <w:pPr>
              <w:pStyle w:val="25"/>
              <w:rPr>
                <w:szCs w:val="21"/>
                <w:u w:val="single"/>
                <w:lang w:val="en-US" w:eastAsia="zh-CN"/>
              </w:rPr>
            </w:pPr>
            <w:r>
              <w:rPr>
                <w:rFonts w:hint="eastAsia"/>
                <w:szCs w:val="21"/>
                <w:u w:val="single"/>
                <w:lang w:val="en-US" w:eastAsia="zh-CN"/>
              </w:rPr>
              <w:t>576</w:t>
            </w:r>
          </w:p>
        </w:tc>
        <w:tc>
          <w:tcPr>
            <w:tcW w:w="1281" w:type="dxa"/>
            <w:vAlign w:val="center"/>
          </w:tcPr>
          <w:p>
            <w:pPr>
              <w:pStyle w:val="25"/>
              <w:rPr>
                <w:szCs w:val="21"/>
                <w:u w:val="single"/>
                <w:lang w:val="en-US" w:eastAsia="zh-CN"/>
              </w:rPr>
            </w:pPr>
            <w:r>
              <w:rPr>
                <w:rFonts w:hint="eastAsia"/>
                <w:szCs w:val="21"/>
                <w:u w:val="single"/>
                <w:lang w:val="en-US" w:eastAsia="zh-CN"/>
              </w:rPr>
              <w:t>0</w:t>
            </w:r>
          </w:p>
        </w:tc>
        <w:tc>
          <w:tcPr>
            <w:tcW w:w="1706" w:type="dxa"/>
            <w:vAlign w:val="center"/>
          </w:tcPr>
          <w:p>
            <w:pPr>
              <w:pStyle w:val="25"/>
              <w:rPr>
                <w:szCs w:val="21"/>
                <w:u w:val="single"/>
                <w:lang w:val="en-US" w:eastAsia="zh-CN"/>
              </w:rPr>
            </w:pPr>
            <w:r>
              <w:rPr>
                <w:rFonts w:hint="eastAsia"/>
                <w:szCs w:val="21"/>
                <w:u w:val="single"/>
                <w:lang w:val="en-US" w:eastAsia="zh-CN"/>
              </w:rPr>
              <w:t>576</w:t>
            </w:r>
          </w:p>
        </w:tc>
        <w:tc>
          <w:tcPr>
            <w:tcW w:w="1283" w:type="dxa"/>
            <w:vAlign w:val="center"/>
          </w:tcPr>
          <w:p>
            <w:pPr>
              <w:pStyle w:val="25"/>
              <w:rPr>
                <w:szCs w:val="21"/>
                <w:u w:val="single"/>
                <w:lang w:val="en-US" w:eastAsia="zh-CN"/>
              </w:rPr>
            </w:pPr>
            <w:r>
              <w:rPr>
                <w:rFonts w:hint="eastAsia"/>
                <w:szCs w:val="21"/>
                <w:u w:val="single"/>
                <w:lang w:val="en-US" w:eastAsia="zh-CN"/>
              </w:rPr>
              <w:t>0</w:t>
            </w:r>
          </w:p>
        </w:tc>
        <w:tc>
          <w:tcPr>
            <w:tcW w:w="1134" w:type="dxa"/>
            <w:vMerge w:val="continue"/>
            <w:vAlign w:val="center"/>
          </w:tcPr>
          <w:p>
            <w:pPr>
              <w:pStyle w:val="25"/>
              <w:rPr>
                <w:szCs w:val="21"/>
                <w:u w:val="single"/>
                <w:lang w:val="en-US" w:eastAsia="zh-CN"/>
              </w:rPr>
            </w:pPr>
          </w:p>
        </w:tc>
        <w:tc>
          <w:tcPr>
            <w:tcW w:w="1003" w:type="dxa"/>
            <w:vMerge w:val="continue"/>
            <w:vAlign w:val="center"/>
          </w:tcPr>
          <w:p>
            <w:pPr>
              <w:pStyle w:val="25"/>
              <w:rPr>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8" w:type="dxa"/>
            <w:vAlign w:val="center"/>
          </w:tcPr>
          <w:p>
            <w:pPr>
              <w:pStyle w:val="25"/>
              <w:rPr>
                <w:szCs w:val="21"/>
                <w:u w:val="single"/>
                <w:lang w:val="en-US" w:eastAsia="zh-CN"/>
              </w:rPr>
            </w:pPr>
            <w:r>
              <w:rPr>
                <w:rFonts w:hint="eastAsia"/>
                <w:szCs w:val="21"/>
                <w:u w:val="single"/>
                <w:lang w:val="en-US" w:eastAsia="zh-CN"/>
              </w:rPr>
              <w:t>车间地面和设备冲洗水</w:t>
            </w:r>
          </w:p>
        </w:tc>
        <w:tc>
          <w:tcPr>
            <w:tcW w:w="980" w:type="dxa"/>
            <w:vAlign w:val="center"/>
          </w:tcPr>
          <w:p>
            <w:pPr>
              <w:pStyle w:val="25"/>
              <w:rPr>
                <w:szCs w:val="21"/>
                <w:u w:val="single"/>
                <w:lang w:val="en-US" w:eastAsia="zh-CN"/>
              </w:rPr>
            </w:pPr>
            <w:r>
              <w:rPr>
                <w:rFonts w:hint="eastAsia"/>
                <w:szCs w:val="21"/>
                <w:u w:val="single"/>
                <w:lang w:val="en-US" w:eastAsia="zh-CN"/>
              </w:rPr>
              <w:t>9</w:t>
            </w:r>
          </w:p>
        </w:tc>
        <w:tc>
          <w:tcPr>
            <w:tcW w:w="1281" w:type="dxa"/>
            <w:vAlign w:val="center"/>
          </w:tcPr>
          <w:p>
            <w:pPr>
              <w:pStyle w:val="25"/>
              <w:rPr>
                <w:szCs w:val="21"/>
                <w:u w:val="single"/>
                <w:lang w:val="en-US" w:eastAsia="zh-CN"/>
              </w:rPr>
            </w:pPr>
            <w:r>
              <w:rPr>
                <w:rFonts w:hint="eastAsia"/>
                <w:szCs w:val="21"/>
                <w:u w:val="single"/>
                <w:lang w:val="en-US" w:eastAsia="zh-CN"/>
              </w:rPr>
              <w:t>0</w:t>
            </w:r>
          </w:p>
        </w:tc>
        <w:tc>
          <w:tcPr>
            <w:tcW w:w="1706" w:type="dxa"/>
            <w:vAlign w:val="center"/>
          </w:tcPr>
          <w:p>
            <w:pPr>
              <w:pStyle w:val="25"/>
              <w:rPr>
                <w:szCs w:val="21"/>
                <w:u w:val="single"/>
                <w:lang w:val="en-US" w:eastAsia="zh-CN"/>
              </w:rPr>
            </w:pPr>
            <w:r>
              <w:rPr>
                <w:rFonts w:hint="eastAsia"/>
                <w:szCs w:val="21"/>
                <w:u w:val="single"/>
                <w:lang w:val="en-US" w:eastAsia="zh-CN"/>
              </w:rPr>
              <w:t>9</w:t>
            </w:r>
          </w:p>
        </w:tc>
        <w:tc>
          <w:tcPr>
            <w:tcW w:w="1283" w:type="dxa"/>
            <w:vAlign w:val="center"/>
          </w:tcPr>
          <w:p>
            <w:pPr>
              <w:pStyle w:val="25"/>
              <w:rPr>
                <w:szCs w:val="21"/>
                <w:u w:val="single"/>
                <w:lang w:val="en-US" w:eastAsia="zh-CN"/>
              </w:rPr>
            </w:pPr>
            <w:r>
              <w:rPr>
                <w:rFonts w:hint="eastAsia"/>
                <w:szCs w:val="21"/>
                <w:u w:val="single"/>
                <w:lang w:val="en-US" w:eastAsia="zh-CN"/>
              </w:rPr>
              <w:t>10</w:t>
            </w:r>
          </w:p>
        </w:tc>
        <w:tc>
          <w:tcPr>
            <w:tcW w:w="1134" w:type="dxa"/>
            <w:vMerge w:val="continue"/>
            <w:vAlign w:val="center"/>
          </w:tcPr>
          <w:p>
            <w:pPr>
              <w:pStyle w:val="25"/>
              <w:rPr>
                <w:szCs w:val="21"/>
                <w:u w:val="single"/>
                <w:lang w:val="en-US" w:eastAsia="zh-CN"/>
              </w:rPr>
            </w:pPr>
          </w:p>
        </w:tc>
        <w:tc>
          <w:tcPr>
            <w:tcW w:w="1003" w:type="dxa"/>
            <w:vMerge w:val="continue"/>
            <w:vAlign w:val="center"/>
          </w:tcPr>
          <w:p>
            <w:pPr>
              <w:pStyle w:val="25"/>
              <w:rPr>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8" w:type="dxa"/>
            <w:vAlign w:val="center"/>
          </w:tcPr>
          <w:p>
            <w:pPr>
              <w:pStyle w:val="25"/>
              <w:rPr>
                <w:szCs w:val="21"/>
                <w:u w:val="single"/>
                <w:lang w:val="en-US" w:eastAsia="zh-CN"/>
              </w:rPr>
            </w:pPr>
            <w:r>
              <w:rPr>
                <w:rFonts w:hint="eastAsia"/>
                <w:szCs w:val="21"/>
                <w:u w:val="single"/>
                <w:lang w:val="en-US" w:eastAsia="zh-CN"/>
              </w:rPr>
              <w:t>间接冷却水</w:t>
            </w:r>
          </w:p>
        </w:tc>
        <w:tc>
          <w:tcPr>
            <w:tcW w:w="980" w:type="dxa"/>
            <w:vAlign w:val="center"/>
          </w:tcPr>
          <w:p>
            <w:pPr>
              <w:pStyle w:val="25"/>
              <w:rPr>
                <w:szCs w:val="21"/>
                <w:u w:val="single"/>
                <w:lang w:val="en-US" w:eastAsia="zh-CN"/>
              </w:rPr>
            </w:pPr>
            <w:r>
              <w:rPr>
                <w:rFonts w:hint="eastAsia"/>
                <w:szCs w:val="21"/>
                <w:u w:val="single"/>
                <w:lang w:val="en-US" w:eastAsia="zh-CN"/>
              </w:rPr>
              <w:t>36</w:t>
            </w:r>
          </w:p>
        </w:tc>
        <w:tc>
          <w:tcPr>
            <w:tcW w:w="1281" w:type="dxa"/>
            <w:vAlign w:val="center"/>
          </w:tcPr>
          <w:p>
            <w:pPr>
              <w:pStyle w:val="25"/>
              <w:rPr>
                <w:szCs w:val="21"/>
                <w:u w:val="single"/>
                <w:lang w:val="en-US" w:eastAsia="zh-CN"/>
              </w:rPr>
            </w:pPr>
            <w:r>
              <w:rPr>
                <w:rFonts w:hint="eastAsia"/>
                <w:szCs w:val="21"/>
                <w:u w:val="single"/>
                <w:lang w:val="en-US" w:eastAsia="zh-CN"/>
              </w:rPr>
              <w:t>36</w:t>
            </w:r>
          </w:p>
        </w:tc>
        <w:tc>
          <w:tcPr>
            <w:tcW w:w="1706" w:type="dxa"/>
            <w:vAlign w:val="center"/>
          </w:tcPr>
          <w:p>
            <w:pPr>
              <w:pStyle w:val="25"/>
              <w:rPr>
                <w:szCs w:val="21"/>
                <w:u w:val="single"/>
                <w:lang w:val="en-US" w:eastAsia="zh-CN"/>
              </w:rPr>
            </w:pPr>
            <w:r>
              <w:rPr>
                <w:rFonts w:hint="eastAsia"/>
                <w:szCs w:val="21"/>
                <w:u w:val="single"/>
                <w:lang w:val="en-US" w:eastAsia="zh-CN"/>
              </w:rPr>
              <w:t>0</w:t>
            </w:r>
          </w:p>
        </w:tc>
        <w:tc>
          <w:tcPr>
            <w:tcW w:w="1283" w:type="dxa"/>
            <w:vAlign w:val="center"/>
          </w:tcPr>
          <w:p>
            <w:pPr>
              <w:pStyle w:val="25"/>
              <w:rPr>
                <w:szCs w:val="21"/>
                <w:u w:val="single"/>
                <w:lang w:val="en-US" w:eastAsia="zh-CN"/>
              </w:rPr>
            </w:pPr>
            <w:r>
              <w:rPr>
                <w:rFonts w:hint="eastAsia"/>
                <w:szCs w:val="21"/>
                <w:u w:val="single"/>
                <w:lang w:val="en-US" w:eastAsia="zh-CN"/>
              </w:rPr>
              <w:t>0</w:t>
            </w:r>
          </w:p>
        </w:tc>
        <w:tc>
          <w:tcPr>
            <w:tcW w:w="1134" w:type="dxa"/>
            <w:vMerge w:val="continue"/>
            <w:vAlign w:val="center"/>
          </w:tcPr>
          <w:p>
            <w:pPr>
              <w:pStyle w:val="25"/>
              <w:rPr>
                <w:szCs w:val="21"/>
                <w:u w:val="single"/>
                <w:lang w:val="en-US" w:eastAsia="zh-CN"/>
              </w:rPr>
            </w:pPr>
          </w:p>
        </w:tc>
        <w:tc>
          <w:tcPr>
            <w:tcW w:w="1003" w:type="dxa"/>
            <w:vMerge w:val="continue"/>
            <w:vAlign w:val="center"/>
          </w:tcPr>
          <w:p>
            <w:pPr>
              <w:pStyle w:val="25"/>
              <w:rPr>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8" w:type="dxa"/>
            <w:vAlign w:val="center"/>
          </w:tcPr>
          <w:p>
            <w:pPr>
              <w:pStyle w:val="25"/>
              <w:rPr>
                <w:szCs w:val="21"/>
                <w:u w:val="single"/>
                <w:lang w:val="en-US" w:eastAsia="zh-CN"/>
              </w:rPr>
            </w:pPr>
            <w:r>
              <w:rPr>
                <w:rFonts w:hint="eastAsia"/>
                <w:szCs w:val="21"/>
                <w:u w:val="single"/>
                <w:lang w:val="en-US" w:eastAsia="zh-CN"/>
              </w:rPr>
              <w:t>小计</w:t>
            </w:r>
          </w:p>
        </w:tc>
        <w:tc>
          <w:tcPr>
            <w:tcW w:w="980" w:type="dxa"/>
            <w:vAlign w:val="center"/>
          </w:tcPr>
          <w:p>
            <w:pPr>
              <w:pStyle w:val="26"/>
              <w:rPr>
                <w:szCs w:val="21"/>
                <w:u w:val="single"/>
                <w:lang w:val="en-US" w:eastAsia="zh-CN"/>
              </w:rPr>
            </w:pPr>
            <w:r>
              <w:rPr>
                <w:rFonts w:hint="eastAsia"/>
                <w:szCs w:val="21"/>
                <w:u w:val="single"/>
                <w:lang w:val="en-US" w:eastAsia="zh-CN"/>
              </w:rPr>
              <w:t>2075.4</w:t>
            </w:r>
          </w:p>
        </w:tc>
        <w:tc>
          <w:tcPr>
            <w:tcW w:w="1281" w:type="dxa"/>
            <w:vAlign w:val="center"/>
          </w:tcPr>
          <w:p>
            <w:pPr>
              <w:pStyle w:val="26"/>
              <w:rPr>
                <w:szCs w:val="21"/>
                <w:u w:val="single"/>
                <w:lang w:val="en-US" w:eastAsia="zh-CN"/>
              </w:rPr>
            </w:pPr>
            <w:r>
              <w:rPr>
                <w:rFonts w:hint="eastAsia"/>
                <w:szCs w:val="21"/>
                <w:u w:val="single"/>
                <w:lang w:val="en-US" w:eastAsia="zh-CN"/>
              </w:rPr>
              <w:t>1116</w:t>
            </w:r>
          </w:p>
        </w:tc>
        <w:tc>
          <w:tcPr>
            <w:tcW w:w="1706" w:type="dxa"/>
            <w:vAlign w:val="center"/>
          </w:tcPr>
          <w:p>
            <w:pPr>
              <w:pStyle w:val="26"/>
              <w:rPr>
                <w:szCs w:val="21"/>
                <w:u w:val="single"/>
                <w:lang w:val="en-US" w:eastAsia="zh-CN"/>
              </w:rPr>
            </w:pPr>
            <w:r>
              <w:rPr>
                <w:rFonts w:hint="eastAsia"/>
                <w:szCs w:val="21"/>
                <w:u w:val="single"/>
                <w:lang w:val="en-US" w:eastAsia="zh-CN"/>
              </w:rPr>
              <w:t>952.2</w:t>
            </w:r>
          </w:p>
        </w:tc>
        <w:tc>
          <w:tcPr>
            <w:tcW w:w="1283" w:type="dxa"/>
            <w:vAlign w:val="center"/>
          </w:tcPr>
          <w:p>
            <w:pPr>
              <w:pStyle w:val="26"/>
              <w:rPr>
                <w:szCs w:val="21"/>
                <w:u w:val="single"/>
                <w:lang w:val="en-US" w:eastAsia="zh-CN"/>
              </w:rPr>
            </w:pPr>
            <w:r>
              <w:rPr>
                <w:rFonts w:hint="eastAsia"/>
                <w:szCs w:val="21"/>
                <w:u w:val="single"/>
                <w:lang w:val="en-US" w:eastAsia="zh-CN"/>
              </w:rPr>
              <w:t>434</w:t>
            </w:r>
          </w:p>
        </w:tc>
        <w:tc>
          <w:tcPr>
            <w:tcW w:w="1134" w:type="dxa"/>
            <w:vAlign w:val="center"/>
          </w:tcPr>
          <w:p>
            <w:pPr>
              <w:pStyle w:val="25"/>
              <w:rPr>
                <w:szCs w:val="21"/>
                <w:u w:val="single"/>
                <w:lang w:val="en-US" w:eastAsia="zh-CN"/>
              </w:rPr>
            </w:pPr>
            <w:r>
              <w:rPr>
                <w:rFonts w:hint="eastAsia"/>
                <w:szCs w:val="21"/>
                <w:u w:val="single"/>
                <w:lang w:val="en-US" w:eastAsia="zh-CN"/>
              </w:rPr>
              <w:t>1550</w:t>
            </w:r>
          </w:p>
        </w:tc>
        <w:tc>
          <w:tcPr>
            <w:tcW w:w="1003" w:type="dxa"/>
            <w:vAlign w:val="center"/>
          </w:tcPr>
          <w:p>
            <w:pPr>
              <w:pStyle w:val="25"/>
              <w:rPr>
                <w:szCs w:val="21"/>
                <w:u w:val="single"/>
                <w:lang w:val="en-US" w:eastAsia="zh-CN"/>
              </w:rPr>
            </w:pPr>
            <w:r>
              <w:rPr>
                <w:rFonts w:hint="eastAsia"/>
                <w:szCs w:val="21"/>
                <w:u w:val="single"/>
                <w:lang w:val="en-US" w:eastAsia="zh-CN"/>
              </w:rPr>
              <w:t>525.4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8" w:type="dxa"/>
            <w:vAlign w:val="center"/>
          </w:tcPr>
          <w:p>
            <w:pPr>
              <w:pStyle w:val="25"/>
              <w:rPr>
                <w:szCs w:val="21"/>
                <w:u w:val="single"/>
                <w:lang w:val="en-US" w:eastAsia="zh-CN"/>
              </w:rPr>
            </w:pPr>
            <w:r>
              <w:rPr>
                <w:rFonts w:hint="eastAsia"/>
                <w:szCs w:val="21"/>
                <w:u w:val="single"/>
                <w:lang w:val="en-US" w:eastAsia="zh-CN"/>
              </w:rPr>
              <w:t>生活污水</w:t>
            </w:r>
          </w:p>
        </w:tc>
        <w:tc>
          <w:tcPr>
            <w:tcW w:w="980" w:type="dxa"/>
            <w:vAlign w:val="center"/>
          </w:tcPr>
          <w:p>
            <w:pPr>
              <w:pStyle w:val="25"/>
              <w:rPr>
                <w:szCs w:val="21"/>
                <w:u w:val="single"/>
                <w:lang w:val="en-US" w:eastAsia="zh-CN"/>
              </w:rPr>
            </w:pPr>
            <w:r>
              <w:rPr>
                <w:rFonts w:hint="eastAsia"/>
                <w:szCs w:val="21"/>
                <w:u w:val="single"/>
                <w:lang w:val="en-US" w:eastAsia="zh-CN"/>
              </w:rPr>
              <w:t>134.4</w:t>
            </w:r>
          </w:p>
        </w:tc>
        <w:tc>
          <w:tcPr>
            <w:tcW w:w="1281" w:type="dxa"/>
            <w:vAlign w:val="center"/>
          </w:tcPr>
          <w:p>
            <w:pPr>
              <w:pStyle w:val="25"/>
              <w:rPr>
                <w:szCs w:val="21"/>
                <w:u w:val="single"/>
                <w:lang w:val="en-US" w:eastAsia="zh-CN"/>
              </w:rPr>
            </w:pPr>
            <w:r>
              <w:rPr>
                <w:rFonts w:hint="eastAsia"/>
                <w:szCs w:val="21"/>
                <w:u w:val="single"/>
                <w:lang w:val="en-US" w:eastAsia="zh-CN"/>
              </w:rPr>
              <w:t>0</w:t>
            </w:r>
          </w:p>
        </w:tc>
        <w:tc>
          <w:tcPr>
            <w:tcW w:w="1706" w:type="dxa"/>
            <w:vAlign w:val="center"/>
          </w:tcPr>
          <w:p>
            <w:pPr>
              <w:pStyle w:val="25"/>
              <w:rPr>
                <w:szCs w:val="21"/>
                <w:u w:val="single"/>
                <w:lang w:val="en-US" w:eastAsia="zh-CN"/>
              </w:rPr>
            </w:pPr>
            <w:r>
              <w:rPr>
                <w:rFonts w:hint="eastAsia"/>
                <w:szCs w:val="21"/>
                <w:u w:val="single"/>
                <w:lang w:val="en-US" w:eastAsia="zh-CN"/>
              </w:rPr>
              <w:t>134.4</w:t>
            </w:r>
          </w:p>
        </w:tc>
        <w:tc>
          <w:tcPr>
            <w:tcW w:w="1283" w:type="dxa"/>
            <w:vAlign w:val="center"/>
          </w:tcPr>
          <w:p>
            <w:pPr>
              <w:pStyle w:val="25"/>
              <w:rPr>
                <w:szCs w:val="21"/>
                <w:u w:val="single"/>
                <w:lang w:val="en-US" w:eastAsia="zh-CN"/>
              </w:rPr>
            </w:pPr>
            <w:r>
              <w:rPr>
                <w:rFonts w:hint="eastAsia"/>
                <w:szCs w:val="21"/>
                <w:u w:val="single"/>
                <w:lang w:val="en-US" w:eastAsia="zh-CN"/>
              </w:rPr>
              <w:t>0</w:t>
            </w:r>
          </w:p>
        </w:tc>
        <w:tc>
          <w:tcPr>
            <w:tcW w:w="1134" w:type="dxa"/>
            <w:vAlign w:val="center"/>
          </w:tcPr>
          <w:p>
            <w:pPr>
              <w:pStyle w:val="25"/>
              <w:rPr>
                <w:szCs w:val="21"/>
                <w:u w:val="single"/>
                <w:lang w:val="en-US" w:eastAsia="zh-CN"/>
              </w:rPr>
            </w:pPr>
            <w:r>
              <w:rPr>
                <w:rFonts w:hint="eastAsia"/>
                <w:szCs w:val="21"/>
                <w:u w:val="single"/>
                <w:lang w:val="en-US" w:eastAsia="zh-CN"/>
              </w:rPr>
              <w:t>0</w:t>
            </w:r>
          </w:p>
        </w:tc>
        <w:tc>
          <w:tcPr>
            <w:tcW w:w="1003" w:type="dxa"/>
            <w:vAlign w:val="center"/>
          </w:tcPr>
          <w:p>
            <w:pPr>
              <w:pStyle w:val="25"/>
              <w:rPr>
                <w:szCs w:val="21"/>
                <w:u w:val="single"/>
                <w:lang w:val="en-US" w:eastAsia="zh-CN"/>
              </w:rPr>
            </w:pPr>
            <w:r>
              <w:rPr>
                <w:rFonts w:hint="eastAsia"/>
                <w:szCs w:val="21"/>
                <w:u w:val="single"/>
                <w:lang w:val="en-US" w:eastAsia="zh-CN"/>
              </w:rPr>
              <w:t>134.4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8" w:type="dxa"/>
            <w:vAlign w:val="center"/>
          </w:tcPr>
          <w:p>
            <w:pPr>
              <w:pStyle w:val="25"/>
              <w:rPr>
                <w:szCs w:val="21"/>
                <w:u w:val="single"/>
                <w:lang w:val="en-US" w:eastAsia="zh-CN"/>
              </w:rPr>
            </w:pPr>
            <w:r>
              <w:rPr>
                <w:rFonts w:hint="eastAsia"/>
                <w:szCs w:val="21"/>
                <w:u w:val="single"/>
                <w:lang w:val="en-US" w:eastAsia="zh-CN"/>
              </w:rPr>
              <w:t>合计</w:t>
            </w:r>
          </w:p>
        </w:tc>
        <w:tc>
          <w:tcPr>
            <w:tcW w:w="980" w:type="dxa"/>
            <w:vAlign w:val="center"/>
          </w:tcPr>
          <w:p>
            <w:pPr>
              <w:pStyle w:val="25"/>
              <w:rPr>
                <w:szCs w:val="21"/>
                <w:u w:val="single"/>
                <w:lang w:val="en-US" w:eastAsia="zh-CN"/>
              </w:rPr>
            </w:pPr>
            <w:r>
              <w:rPr>
                <w:rFonts w:hint="eastAsia"/>
                <w:szCs w:val="21"/>
                <w:u w:val="single"/>
                <w:lang w:val="en-US" w:eastAsia="zh-CN"/>
              </w:rPr>
              <w:t>2209.8</w:t>
            </w:r>
          </w:p>
        </w:tc>
        <w:tc>
          <w:tcPr>
            <w:tcW w:w="1281" w:type="dxa"/>
            <w:vAlign w:val="center"/>
          </w:tcPr>
          <w:p>
            <w:pPr>
              <w:pStyle w:val="25"/>
              <w:rPr>
                <w:szCs w:val="21"/>
                <w:u w:val="single"/>
                <w:lang w:val="en-US" w:eastAsia="zh-CN"/>
              </w:rPr>
            </w:pPr>
            <w:r>
              <w:rPr>
                <w:rFonts w:hint="eastAsia"/>
                <w:szCs w:val="21"/>
                <w:u w:val="single"/>
                <w:lang w:val="en-US" w:eastAsia="zh-CN"/>
              </w:rPr>
              <w:t>1116</w:t>
            </w:r>
          </w:p>
        </w:tc>
        <w:tc>
          <w:tcPr>
            <w:tcW w:w="1706" w:type="dxa"/>
            <w:vAlign w:val="center"/>
          </w:tcPr>
          <w:p>
            <w:pPr>
              <w:pStyle w:val="25"/>
              <w:rPr>
                <w:szCs w:val="21"/>
                <w:u w:val="single"/>
                <w:lang w:val="en-US" w:eastAsia="zh-CN"/>
              </w:rPr>
            </w:pPr>
            <w:r>
              <w:rPr>
                <w:rFonts w:hint="eastAsia"/>
                <w:szCs w:val="21"/>
                <w:u w:val="single"/>
                <w:lang w:val="en-US" w:eastAsia="zh-CN"/>
              </w:rPr>
              <w:t>1086.6</w:t>
            </w:r>
          </w:p>
        </w:tc>
        <w:tc>
          <w:tcPr>
            <w:tcW w:w="1283" w:type="dxa"/>
            <w:vAlign w:val="center"/>
          </w:tcPr>
          <w:p>
            <w:pPr>
              <w:pStyle w:val="25"/>
              <w:rPr>
                <w:szCs w:val="21"/>
                <w:u w:val="single"/>
                <w:lang w:val="en-US" w:eastAsia="zh-CN"/>
              </w:rPr>
            </w:pPr>
            <w:r>
              <w:rPr>
                <w:rFonts w:hint="eastAsia"/>
                <w:szCs w:val="21"/>
                <w:u w:val="single"/>
                <w:lang w:val="en-US" w:eastAsia="zh-CN"/>
              </w:rPr>
              <w:t>434</w:t>
            </w:r>
          </w:p>
        </w:tc>
        <w:tc>
          <w:tcPr>
            <w:tcW w:w="1134" w:type="dxa"/>
            <w:vAlign w:val="center"/>
          </w:tcPr>
          <w:p>
            <w:pPr>
              <w:pStyle w:val="25"/>
              <w:rPr>
                <w:szCs w:val="21"/>
                <w:u w:val="single"/>
                <w:lang w:val="en-US" w:eastAsia="zh-CN"/>
              </w:rPr>
            </w:pPr>
            <w:r>
              <w:rPr>
                <w:rFonts w:hint="eastAsia"/>
                <w:szCs w:val="21"/>
                <w:u w:val="single"/>
                <w:lang w:val="en-US" w:eastAsia="zh-CN"/>
              </w:rPr>
              <w:t>1550</w:t>
            </w:r>
          </w:p>
        </w:tc>
        <w:tc>
          <w:tcPr>
            <w:tcW w:w="1003" w:type="dxa"/>
            <w:vAlign w:val="center"/>
          </w:tcPr>
          <w:p>
            <w:pPr>
              <w:pStyle w:val="25"/>
              <w:rPr>
                <w:szCs w:val="21"/>
                <w:u w:val="single"/>
                <w:lang w:val="en-US" w:eastAsia="zh-CN"/>
              </w:rPr>
            </w:pPr>
            <w:r>
              <w:rPr>
                <w:rFonts w:hint="eastAsia"/>
                <w:szCs w:val="21"/>
                <w:u w:val="single"/>
                <w:lang w:val="en-US" w:eastAsia="zh-CN"/>
              </w:rPr>
              <w:t>659.8</w:t>
            </w:r>
          </w:p>
        </w:tc>
      </w:tr>
    </w:tbl>
    <w:p>
      <w:pPr>
        <w:pStyle w:val="25"/>
        <w:rPr>
          <w:b/>
          <w:bCs/>
          <w:u w:val="single"/>
        </w:rPr>
      </w:pPr>
      <w:r>
        <w:rPr>
          <w:rFonts w:hint="eastAsia"/>
          <w:b/>
          <w:bCs/>
          <w:u w:val="single"/>
        </w:rPr>
        <w:t>表4.4-4  技改后废水污染物产生及排放情况一览表</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2463"/>
        <w:gridCol w:w="2464"/>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2463" w:type="dxa"/>
          </w:tcPr>
          <w:p>
            <w:pPr>
              <w:pStyle w:val="25"/>
              <w:rPr>
                <w:szCs w:val="21"/>
                <w:u w:val="single"/>
                <w:lang w:val="en-US" w:eastAsia="zh-CN"/>
              </w:rPr>
            </w:pPr>
            <w:r>
              <w:rPr>
                <w:rFonts w:hint="eastAsia"/>
                <w:szCs w:val="21"/>
                <w:u w:val="single"/>
                <w:lang w:val="en-US" w:eastAsia="zh-CN"/>
              </w:rPr>
              <w:t>污染物名称</w:t>
            </w:r>
          </w:p>
        </w:tc>
        <w:tc>
          <w:tcPr>
            <w:tcW w:w="2463" w:type="dxa"/>
          </w:tcPr>
          <w:p>
            <w:pPr>
              <w:pStyle w:val="25"/>
              <w:rPr>
                <w:szCs w:val="21"/>
                <w:u w:val="single"/>
                <w:lang w:val="en-US" w:eastAsia="zh-CN"/>
              </w:rPr>
            </w:pPr>
            <w:r>
              <w:rPr>
                <w:rFonts w:hint="eastAsia"/>
                <w:szCs w:val="21"/>
                <w:u w:val="single"/>
                <w:lang w:val="en-US" w:eastAsia="zh-CN"/>
              </w:rPr>
              <w:t>废水量（万t/a）</w:t>
            </w:r>
          </w:p>
        </w:tc>
        <w:tc>
          <w:tcPr>
            <w:tcW w:w="2464" w:type="dxa"/>
          </w:tcPr>
          <w:p>
            <w:pPr>
              <w:pStyle w:val="25"/>
              <w:rPr>
                <w:szCs w:val="21"/>
                <w:u w:val="single"/>
                <w:lang w:val="en-US" w:eastAsia="zh-CN"/>
              </w:rPr>
            </w:pPr>
            <w:r>
              <w:rPr>
                <w:rFonts w:hint="eastAsia"/>
                <w:szCs w:val="21"/>
                <w:u w:val="single"/>
                <w:lang w:val="en-US" w:eastAsia="zh-CN"/>
              </w:rPr>
              <w:t>COD（mg/L）</w:t>
            </w:r>
          </w:p>
        </w:tc>
        <w:tc>
          <w:tcPr>
            <w:tcW w:w="2464" w:type="dxa"/>
          </w:tcPr>
          <w:p>
            <w:pPr>
              <w:pStyle w:val="25"/>
              <w:rPr>
                <w:szCs w:val="21"/>
                <w:u w:val="single"/>
                <w:lang w:val="en-US" w:eastAsia="zh-CN"/>
              </w:rPr>
            </w:pPr>
            <w:r>
              <w:rPr>
                <w:rFonts w:hint="eastAsia"/>
                <w:szCs w:val="21"/>
                <w:u w:val="single"/>
                <w:lang w:val="en-US" w:eastAsia="zh-CN"/>
              </w:rPr>
              <w:t>氨氮（mg/L）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3" w:type="dxa"/>
          </w:tcPr>
          <w:p>
            <w:pPr>
              <w:pStyle w:val="25"/>
              <w:rPr>
                <w:szCs w:val="21"/>
                <w:u w:val="single"/>
                <w:lang w:val="en-US" w:eastAsia="zh-CN"/>
              </w:rPr>
            </w:pPr>
            <w:r>
              <w:rPr>
                <w:rFonts w:hint="eastAsia"/>
                <w:szCs w:val="21"/>
                <w:u w:val="single"/>
                <w:lang w:val="en-US" w:eastAsia="zh-CN"/>
              </w:rPr>
              <w:t>产生量</w:t>
            </w:r>
          </w:p>
        </w:tc>
        <w:tc>
          <w:tcPr>
            <w:tcW w:w="2463" w:type="dxa"/>
          </w:tcPr>
          <w:p>
            <w:pPr>
              <w:pStyle w:val="25"/>
              <w:rPr>
                <w:szCs w:val="21"/>
                <w:u w:val="single"/>
                <w:lang w:val="en-US" w:eastAsia="zh-CN"/>
              </w:rPr>
            </w:pPr>
            <w:r>
              <w:rPr>
                <w:rFonts w:hint="eastAsia"/>
                <w:szCs w:val="21"/>
                <w:u w:val="single"/>
                <w:lang w:val="en-US" w:eastAsia="zh-CN"/>
              </w:rPr>
              <w:t>62.262</w:t>
            </w:r>
          </w:p>
        </w:tc>
        <w:tc>
          <w:tcPr>
            <w:tcW w:w="2464" w:type="dxa"/>
          </w:tcPr>
          <w:p>
            <w:pPr>
              <w:pStyle w:val="25"/>
              <w:rPr>
                <w:szCs w:val="21"/>
                <w:u w:val="single"/>
                <w:lang w:val="en-US" w:eastAsia="zh-CN"/>
              </w:rPr>
            </w:pPr>
            <w:r>
              <w:rPr>
                <w:rFonts w:hint="eastAsia"/>
                <w:szCs w:val="21"/>
                <w:u w:val="single"/>
                <w:lang w:val="en-US" w:eastAsia="zh-CN"/>
              </w:rPr>
              <w:t>871.668</w:t>
            </w:r>
          </w:p>
        </w:tc>
        <w:tc>
          <w:tcPr>
            <w:tcW w:w="2464" w:type="dxa"/>
          </w:tcPr>
          <w:p>
            <w:pPr>
              <w:pStyle w:val="25"/>
              <w:rPr>
                <w:szCs w:val="21"/>
                <w:u w:val="single"/>
                <w:lang w:val="en-US" w:eastAsia="zh-CN"/>
              </w:rPr>
            </w:pPr>
            <w:r>
              <w:rPr>
                <w:rFonts w:hint="eastAsia"/>
                <w:szCs w:val="21"/>
                <w:u w:val="single"/>
                <w:lang w:val="en-US" w:eastAsia="zh-CN"/>
              </w:rPr>
              <w:t>11.207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3" w:type="dxa"/>
          </w:tcPr>
          <w:p>
            <w:pPr>
              <w:pStyle w:val="25"/>
              <w:rPr>
                <w:szCs w:val="21"/>
                <w:u w:val="single"/>
                <w:lang w:val="en-US" w:eastAsia="zh-CN"/>
              </w:rPr>
            </w:pPr>
            <w:r>
              <w:rPr>
                <w:rFonts w:hint="eastAsia"/>
                <w:szCs w:val="21"/>
                <w:u w:val="single"/>
                <w:lang w:val="en-US" w:eastAsia="zh-CN"/>
              </w:rPr>
              <w:t>削减量</w:t>
            </w:r>
          </w:p>
        </w:tc>
        <w:tc>
          <w:tcPr>
            <w:tcW w:w="2463" w:type="dxa"/>
          </w:tcPr>
          <w:p>
            <w:pPr>
              <w:pStyle w:val="25"/>
              <w:rPr>
                <w:szCs w:val="21"/>
                <w:u w:val="single"/>
                <w:lang w:val="en-US" w:eastAsia="zh-CN"/>
              </w:rPr>
            </w:pPr>
            <w:r>
              <w:rPr>
                <w:rFonts w:hint="eastAsia"/>
                <w:szCs w:val="21"/>
                <w:u w:val="single"/>
                <w:lang w:val="en-US" w:eastAsia="zh-CN"/>
              </w:rPr>
              <w:t>42.468</w:t>
            </w:r>
          </w:p>
        </w:tc>
        <w:tc>
          <w:tcPr>
            <w:tcW w:w="2464" w:type="dxa"/>
          </w:tcPr>
          <w:p>
            <w:pPr>
              <w:pStyle w:val="25"/>
              <w:rPr>
                <w:szCs w:val="21"/>
                <w:u w:val="single"/>
                <w:lang w:val="en-US" w:eastAsia="zh-CN"/>
              </w:rPr>
            </w:pPr>
            <w:r>
              <w:rPr>
                <w:rFonts w:hint="eastAsia"/>
                <w:szCs w:val="21"/>
                <w:u w:val="single"/>
                <w:lang w:val="en-US" w:eastAsia="zh-CN"/>
              </w:rPr>
              <w:t>834.059</w:t>
            </w:r>
          </w:p>
        </w:tc>
        <w:tc>
          <w:tcPr>
            <w:tcW w:w="2464" w:type="dxa"/>
          </w:tcPr>
          <w:p>
            <w:pPr>
              <w:pStyle w:val="25"/>
              <w:rPr>
                <w:szCs w:val="21"/>
                <w:u w:val="single"/>
                <w:lang w:val="en-US" w:eastAsia="zh-CN"/>
              </w:rPr>
            </w:pPr>
            <w:r>
              <w:rPr>
                <w:rFonts w:hint="eastAsia"/>
                <w:szCs w:val="21"/>
                <w:u w:val="single"/>
                <w:lang w:val="en-US" w:eastAsia="zh-CN"/>
              </w:rPr>
              <w:t>8.436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3" w:type="dxa"/>
          </w:tcPr>
          <w:p>
            <w:pPr>
              <w:pStyle w:val="25"/>
              <w:rPr>
                <w:szCs w:val="21"/>
                <w:u w:val="single"/>
                <w:lang w:val="en-US" w:eastAsia="zh-CN"/>
              </w:rPr>
            </w:pPr>
            <w:r>
              <w:rPr>
                <w:rFonts w:hint="eastAsia"/>
                <w:szCs w:val="21"/>
                <w:u w:val="single"/>
                <w:lang w:val="en-US" w:eastAsia="zh-CN"/>
              </w:rPr>
              <w:t>排放量</w:t>
            </w:r>
          </w:p>
        </w:tc>
        <w:tc>
          <w:tcPr>
            <w:tcW w:w="2463" w:type="dxa"/>
          </w:tcPr>
          <w:p>
            <w:pPr>
              <w:pStyle w:val="25"/>
              <w:rPr>
                <w:szCs w:val="21"/>
                <w:u w:val="single"/>
                <w:lang w:val="en-US" w:eastAsia="zh-CN"/>
              </w:rPr>
            </w:pPr>
            <w:r>
              <w:rPr>
                <w:rFonts w:hint="eastAsia"/>
                <w:szCs w:val="21"/>
                <w:u w:val="single"/>
                <w:lang w:val="en-US" w:eastAsia="zh-CN"/>
              </w:rPr>
              <w:t>19.794</w:t>
            </w:r>
          </w:p>
        </w:tc>
        <w:tc>
          <w:tcPr>
            <w:tcW w:w="2464" w:type="dxa"/>
          </w:tcPr>
          <w:p>
            <w:pPr>
              <w:pStyle w:val="25"/>
              <w:rPr>
                <w:szCs w:val="21"/>
                <w:u w:val="single"/>
                <w:lang w:val="en-US" w:eastAsia="zh-CN"/>
              </w:rPr>
            </w:pPr>
            <w:r>
              <w:rPr>
                <w:rFonts w:hint="eastAsia"/>
                <w:szCs w:val="21"/>
                <w:u w:val="single"/>
                <w:lang w:val="en-US" w:eastAsia="zh-CN"/>
              </w:rPr>
              <w:t>37.609</w:t>
            </w:r>
          </w:p>
        </w:tc>
        <w:tc>
          <w:tcPr>
            <w:tcW w:w="2464" w:type="dxa"/>
          </w:tcPr>
          <w:p>
            <w:pPr>
              <w:pStyle w:val="25"/>
              <w:rPr>
                <w:szCs w:val="21"/>
                <w:u w:val="single"/>
                <w:lang w:val="en-US" w:eastAsia="zh-CN"/>
              </w:rPr>
            </w:pPr>
            <w:r>
              <w:rPr>
                <w:rFonts w:hint="eastAsia"/>
                <w:szCs w:val="21"/>
                <w:u w:val="single"/>
                <w:lang w:val="en-US" w:eastAsia="zh-CN"/>
              </w:rPr>
              <w:t>2.771</w:t>
            </w:r>
          </w:p>
        </w:tc>
      </w:tr>
    </w:tbl>
    <w:p>
      <w:pPr>
        <w:pStyle w:val="25"/>
      </w:pPr>
    </w:p>
    <w:p>
      <w:pPr>
        <w:pStyle w:val="5"/>
      </w:pPr>
      <w:r>
        <w:rPr>
          <w:rFonts w:hint="eastAsia"/>
        </w:rPr>
        <w:t>技改前后废水环保措施及产排情况对比</w:t>
      </w:r>
    </w:p>
    <w:p>
      <w:pPr>
        <w:ind w:firstLine="480"/>
      </w:pPr>
      <w:r>
        <w:rPr>
          <w:rFonts w:hint="eastAsia"/>
        </w:rPr>
        <w:t>根据现有工程废水工程分析和技改后废水工程分析，技改后，废水排放方式发生变化，由直排湘江改为排入营田镇污水处理厂后间接排入湘江；由于废水的环保措施变化情况见表4.4-5，废水污染物产排情况见表4.3-6。</w:t>
      </w:r>
    </w:p>
    <w:p>
      <w:pPr>
        <w:pStyle w:val="25"/>
        <w:rPr>
          <w:b/>
          <w:bCs/>
        </w:rPr>
      </w:pPr>
      <w:r>
        <w:rPr>
          <w:rFonts w:hint="eastAsia"/>
          <w:b/>
          <w:bCs/>
        </w:rPr>
        <w:t>表4.4-5  技改前后废水处理环保措施对比一览表</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2617"/>
        <w:gridCol w:w="3017"/>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 w:type="dxa"/>
            <w:vAlign w:val="center"/>
          </w:tcPr>
          <w:p>
            <w:pPr>
              <w:pStyle w:val="25"/>
              <w:rPr>
                <w:szCs w:val="21"/>
                <w:lang w:val="en-US" w:eastAsia="zh-CN"/>
              </w:rPr>
            </w:pPr>
            <w:r>
              <w:rPr>
                <w:rFonts w:hint="eastAsia"/>
                <w:szCs w:val="21"/>
                <w:lang w:val="en-US" w:eastAsia="zh-CN"/>
              </w:rPr>
              <w:t>类别</w:t>
            </w:r>
          </w:p>
        </w:tc>
        <w:tc>
          <w:tcPr>
            <w:tcW w:w="2617" w:type="dxa"/>
            <w:vAlign w:val="center"/>
          </w:tcPr>
          <w:p>
            <w:pPr>
              <w:pStyle w:val="25"/>
              <w:rPr>
                <w:szCs w:val="21"/>
                <w:lang w:val="en-US" w:eastAsia="zh-CN"/>
              </w:rPr>
            </w:pPr>
            <w:r>
              <w:rPr>
                <w:rFonts w:hint="eastAsia"/>
                <w:szCs w:val="21"/>
                <w:lang w:val="en-US" w:eastAsia="zh-CN"/>
              </w:rPr>
              <w:t>技改前</w:t>
            </w:r>
          </w:p>
        </w:tc>
        <w:tc>
          <w:tcPr>
            <w:tcW w:w="3017" w:type="dxa"/>
            <w:vAlign w:val="center"/>
          </w:tcPr>
          <w:p>
            <w:pPr>
              <w:pStyle w:val="25"/>
              <w:rPr>
                <w:szCs w:val="21"/>
                <w:lang w:val="en-US" w:eastAsia="zh-CN"/>
              </w:rPr>
            </w:pPr>
            <w:r>
              <w:rPr>
                <w:rFonts w:hint="eastAsia"/>
                <w:szCs w:val="21"/>
                <w:lang w:val="en-US" w:eastAsia="zh-CN"/>
              </w:rPr>
              <w:t>技改后</w:t>
            </w:r>
          </w:p>
        </w:tc>
        <w:tc>
          <w:tcPr>
            <w:tcW w:w="2792" w:type="dxa"/>
            <w:vAlign w:val="center"/>
          </w:tcPr>
          <w:p>
            <w:pPr>
              <w:pStyle w:val="25"/>
              <w:rPr>
                <w:szCs w:val="21"/>
                <w:lang w:val="en-US" w:eastAsia="zh-CN"/>
              </w:rPr>
            </w:pPr>
            <w:r>
              <w:rPr>
                <w:rFonts w:hint="eastAsia"/>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 w:type="dxa"/>
            <w:vAlign w:val="center"/>
          </w:tcPr>
          <w:p>
            <w:pPr>
              <w:pStyle w:val="25"/>
              <w:rPr>
                <w:szCs w:val="21"/>
                <w:lang w:val="en-US" w:eastAsia="zh-CN"/>
              </w:rPr>
            </w:pPr>
            <w:r>
              <w:rPr>
                <w:rFonts w:hint="eastAsia"/>
                <w:szCs w:val="21"/>
                <w:lang w:val="en-US" w:eastAsia="zh-CN"/>
              </w:rPr>
              <w:t>生产废水</w:t>
            </w:r>
          </w:p>
          <w:p>
            <w:pPr>
              <w:pStyle w:val="25"/>
              <w:rPr>
                <w:szCs w:val="21"/>
                <w:lang w:val="en-US" w:eastAsia="zh-CN"/>
              </w:rPr>
            </w:pPr>
            <w:r>
              <w:rPr>
                <w:rFonts w:hint="eastAsia"/>
                <w:szCs w:val="21"/>
                <w:lang w:val="en-US" w:eastAsia="zh-CN"/>
              </w:rPr>
              <w:t>（印染废水）</w:t>
            </w:r>
          </w:p>
        </w:tc>
        <w:tc>
          <w:tcPr>
            <w:tcW w:w="2617" w:type="dxa"/>
            <w:vAlign w:val="center"/>
          </w:tcPr>
          <w:p>
            <w:pPr>
              <w:pStyle w:val="25"/>
              <w:rPr>
                <w:szCs w:val="21"/>
                <w:lang w:val="en-US" w:eastAsia="zh-CN"/>
              </w:rPr>
            </w:pPr>
            <w:r>
              <w:rPr>
                <w:rFonts w:hint="eastAsia"/>
                <w:szCs w:val="21"/>
                <w:lang w:val="en-US" w:eastAsia="zh-CN"/>
              </w:rPr>
              <w:t>经厂区内污水处理站处理后排入氧化塘进一步处理达标后排入湘江</w:t>
            </w:r>
          </w:p>
        </w:tc>
        <w:tc>
          <w:tcPr>
            <w:tcW w:w="3017" w:type="dxa"/>
            <w:vAlign w:val="center"/>
          </w:tcPr>
          <w:p>
            <w:pPr>
              <w:pStyle w:val="25"/>
              <w:rPr>
                <w:szCs w:val="21"/>
                <w:lang w:val="en-US" w:eastAsia="zh-CN"/>
              </w:rPr>
            </w:pPr>
            <w:r>
              <w:rPr>
                <w:rFonts w:hint="eastAsia"/>
                <w:szCs w:val="21"/>
                <w:lang w:val="en-US" w:eastAsia="zh-CN"/>
              </w:rPr>
              <w:t>经厂区内污水处理站处理后排入市政污水管网进入营田镇污水处理厂处理达标后排入湘江</w:t>
            </w:r>
          </w:p>
        </w:tc>
        <w:tc>
          <w:tcPr>
            <w:tcW w:w="2792" w:type="dxa"/>
            <w:vAlign w:val="center"/>
          </w:tcPr>
          <w:p>
            <w:pPr>
              <w:pStyle w:val="25"/>
              <w:rPr>
                <w:szCs w:val="21"/>
                <w:lang w:val="en-US" w:eastAsia="zh-CN"/>
              </w:rPr>
            </w:pPr>
            <w:r>
              <w:rPr>
                <w:rFonts w:hint="eastAsia"/>
                <w:szCs w:val="21"/>
                <w:lang w:val="en-US" w:eastAsia="zh-CN"/>
              </w:rPr>
              <w:t>排放方式发生变化，技改前直排湘江，技改后排入城镇污水处理厂后间接排入湘江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 w:type="dxa"/>
            <w:vAlign w:val="center"/>
          </w:tcPr>
          <w:p>
            <w:pPr>
              <w:pStyle w:val="25"/>
              <w:rPr>
                <w:szCs w:val="21"/>
                <w:lang w:val="en-US" w:eastAsia="zh-CN"/>
              </w:rPr>
            </w:pPr>
            <w:r>
              <w:rPr>
                <w:rFonts w:hint="eastAsia"/>
                <w:szCs w:val="21"/>
                <w:lang w:val="en-US" w:eastAsia="zh-CN"/>
              </w:rPr>
              <w:t>生活污水</w:t>
            </w:r>
          </w:p>
        </w:tc>
        <w:tc>
          <w:tcPr>
            <w:tcW w:w="2617" w:type="dxa"/>
            <w:vAlign w:val="center"/>
          </w:tcPr>
          <w:p>
            <w:pPr>
              <w:pStyle w:val="25"/>
              <w:rPr>
                <w:szCs w:val="21"/>
                <w:lang w:val="en-US" w:eastAsia="zh-CN"/>
              </w:rPr>
            </w:pPr>
            <w:r>
              <w:rPr>
                <w:rFonts w:hint="eastAsia"/>
                <w:szCs w:val="21"/>
                <w:lang w:val="en-US" w:eastAsia="zh-CN"/>
              </w:rPr>
              <w:t>经化粪池处理后排入市政污水管网进入污水处理厂进一步处理后排入湘江</w:t>
            </w:r>
          </w:p>
        </w:tc>
        <w:tc>
          <w:tcPr>
            <w:tcW w:w="3017" w:type="dxa"/>
            <w:vAlign w:val="center"/>
          </w:tcPr>
          <w:p>
            <w:pPr>
              <w:pStyle w:val="25"/>
              <w:rPr>
                <w:szCs w:val="21"/>
                <w:lang w:val="en-US" w:eastAsia="zh-CN"/>
              </w:rPr>
            </w:pPr>
            <w:r>
              <w:rPr>
                <w:rFonts w:hint="eastAsia"/>
                <w:szCs w:val="21"/>
                <w:lang w:val="en-US" w:eastAsia="zh-CN"/>
              </w:rPr>
              <w:t>经化粪池处理后排入市政污水管网进入污水处理厂进一步处理后排入湘江</w:t>
            </w:r>
          </w:p>
        </w:tc>
        <w:tc>
          <w:tcPr>
            <w:tcW w:w="2792" w:type="dxa"/>
            <w:vAlign w:val="center"/>
          </w:tcPr>
          <w:p>
            <w:pPr>
              <w:pStyle w:val="25"/>
              <w:rPr>
                <w:szCs w:val="21"/>
                <w:lang w:val="en-US" w:eastAsia="zh-CN"/>
              </w:rPr>
            </w:pPr>
            <w:r>
              <w:rPr>
                <w:rFonts w:hint="eastAsia"/>
                <w:szCs w:val="21"/>
                <w:lang w:val="en-US" w:eastAsia="zh-CN"/>
              </w:rPr>
              <w:t>无</w:t>
            </w:r>
          </w:p>
        </w:tc>
      </w:tr>
    </w:tbl>
    <w:p>
      <w:pPr>
        <w:pStyle w:val="25"/>
        <w:rPr>
          <w:b/>
          <w:bCs/>
        </w:rPr>
      </w:pPr>
      <w:r>
        <w:rPr>
          <w:rFonts w:hint="eastAsia"/>
          <w:b/>
          <w:bCs/>
        </w:rPr>
        <w:t>表4.4-6  技改前后废水污染物排放情况对比一览表</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2183"/>
        <w:gridCol w:w="3017"/>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pStyle w:val="25"/>
              <w:rPr>
                <w:szCs w:val="21"/>
                <w:lang w:val="en-US" w:eastAsia="zh-CN"/>
              </w:rPr>
            </w:pPr>
            <w:r>
              <w:rPr>
                <w:rFonts w:hint="eastAsia"/>
                <w:szCs w:val="21"/>
                <w:lang w:val="en-US" w:eastAsia="zh-CN"/>
              </w:rPr>
              <w:t>类别</w:t>
            </w:r>
          </w:p>
        </w:tc>
        <w:tc>
          <w:tcPr>
            <w:tcW w:w="2183" w:type="dxa"/>
            <w:vAlign w:val="center"/>
          </w:tcPr>
          <w:p>
            <w:pPr>
              <w:pStyle w:val="25"/>
              <w:rPr>
                <w:szCs w:val="21"/>
                <w:lang w:val="en-US" w:eastAsia="zh-CN"/>
              </w:rPr>
            </w:pPr>
            <w:r>
              <w:rPr>
                <w:rFonts w:hint="eastAsia"/>
                <w:szCs w:val="21"/>
                <w:lang w:val="en-US" w:eastAsia="zh-CN"/>
              </w:rPr>
              <w:t>技改前</w:t>
            </w:r>
          </w:p>
        </w:tc>
        <w:tc>
          <w:tcPr>
            <w:tcW w:w="3017" w:type="dxa"/>
            <w:vAlign w:val="center"/>
          </w:tcPr>
          <w:p>
            <w:pPr>
              <w:pStyle w:val="25"/>
              <w:rPr>
                <w:szCs w:val="21"/>
                <w:lang w:val="en-US" w:eastAsia="zh-CN"/>
              </w:rPr>
            </w:pPr>
            <w:r>
              <w:rPr>
                <w:rFonts w:hint="eastAsia"/>
                <w:szCs w:val="21"/>
                <w:lang w:val="en-US" w:eastAsia="zh-CN"/>
              </w:rPr>
              <w:t>技改后</w:t>
            </w:r>
          </w:p>
        </w:tc>
        <w:tc>
          <w:tcPr>
            <w:tcW w:w="2792" w:type="dxa"/>
            <w:vAlign w:val="center"/>
          </w:tcPr>
          <w:p>
            <w:pPr>
              <w:pStyle w:val="25"/>
              <w:rPr>
                <w:szCs w:val="21"/>
                <w:lang w:val="en-US" w:eastAsia="zh-CN"/>
              </w:rPr>
            </w:pPr>
            <w:r>
              <w:rPr>
                <w:rFonts w:hint="eastAsia"/>
                <w:szCs w:val="21"/>
                <w:lang w:val="en-US" w:eastAsia="zh-CN"/>
              </w:rPr>
              <w:t>技改后增减量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pStyle w:val="25"/>
              <w:rPr>
                <w:szCs w:val="21"/>
                <w:lang w:val="en-US" w:eastAsia="zh-CN"/>
              </w:rPr>
            </w:pPr>
            <w:r>
              <w:rPr>
                <w:rFonts w:hint="eastAsia"/>
                <w:szCs w:val="21"/>
                <w:lang w:val="en-US" w:eastAsia="zh-CN"/>
              </w:rPr>
              <w:t>废水量（万t/a）</w:t>
            </w:r>
          </w:p>
        </w:tc>
        <w:tc>
          <w:tcPr>
            <w:tcW w:w="2183" w:type="dxa"/>
          </w:tcPr>
          <w:p>
            <w:pPr>
              <w:pStyle w:val="25"/>
              <w:rPr>
                <w:szCs w:val="21"/>
                <w:lang w:val="en-US" w:eastAsia="zh-CN"/>
              </w:rPr>
            </w:pPr>
            <w:r>
              <w:rPr>
                <w:rFonts w:hint="eastAsia"/>
                <w:kern w:val="2"/>
                <w:szCs w:val="21"/>
                <w:lang w:val="en-US" w:eastAsia="zh-CN"/>
              </w:rPr>
              <w:t>31.977</w:t>
            </w:r>
          </w:p>
        </w:tc>
        <w:tc>
          <w:tcPr>
            <w:tcW w:w="3017" w:type="dxa"/>
          </w:tcPr>
          <w:p>
            <w:pPr>
              <w:pStyle w:val="25"/>
              <w:rPr>
                <w:szCs w:val="21"/>
                <w:lang w:val="en-US" w:eastAsia="zh-CN"/>
              </w:rPr>
            </w:pPr>
            <w:r>
              <w:rPr>
                <w:rFonts w:hint="eastAsia"/>
                <w:szCs w:val="21"/>
                <w:lang w:val="en-US" w:eastAsia="zh-CN"/>
              </w:rPr>
              <w:t>19.794</w:t>
            </w:r>
          </w:p>
        </w:tc>
        <w:tc>
          <w:tcPr>
            <w:tcW w:w="2792" w:type="dxa"/>
            <w:vAlign w:val="center"/>
          </w:tcPr>
          <w:p>
            <w:pPr>
              <w:pStyle w:val="26"/>
              <w:rPr>
                <w:szCs w:val="21"/>
                <w:lang w:val="en-US" w:eastAsia="zh-CN"/>
              </w:rPr>
            </w:pPr>
            <w:r>
              <w:rPr>
                <w:rFonts w:hint="eastAsia"/>
                <w:szCs w:val="21"/>
                <w:lang w:val="en-US" w:eastAsia="zh-CN"/>
              </w:rPr>
              <w:t>-12.183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pStyle w:val="25"/>
              <w:rPr>
                <w:szCs w:val="21"/>
                <w:lang w:val="en-US" w:eastAsia="zh-CN"/>
              </w:rPr>
            </w:pPr>
            <w:r>
              <w:rPr>
                <w:rFonts w:hint="eastAsia"/>
                <w:szCs w:val="21"/>
                <w:lang w:val="en-US" w:eastAsia="zh-CN"/>
              </w:rPr>
              <w:t>COD（t/a）</w:t>
            </w:r>
          </w:p>
        </w:tc>
        <w:tc>
          <w:tcPr>
            <w:tcW w:w="2183" w:type="dxa"/>
            <w:vAlign w:val="center"/>
          </w:tcPr>
          <w:p>
            <w:pPr>
              <w:pStyle w:val="25"/>
              <w:rPr>
                <w:szCs w:val="21"/>
                <w:lang w:val="en-US" w:eastAsia="zh-CN"/>
              </w:rPr>
            </w:pPr>
            <w:r>
              <w:rPr>
                <w:rFonts w:hint="eastAsia"/>
                <w:szCs w:val="21"/>
                <w:lang w:val="en-US" w:eastAsia="zh-CN"/>
              </w:rPr>
              <w:t>57.878</w:t>
            </w:r>
          </w:p>
        </w:tc>
        <w:tc>
          <w:tcPr>
            <w:tcW w:w="3017" w:type="dxa"/>
            <w:vAlign w:val="center"/>
          </w:tcPr>
          <w:p>
            <w:pPr>
              <w:pStyle w:val="25"/>
              <w:rPr>
                <w:szCs w:val="21"/>
                <w:lang w:val="en-US" w:eastAsia="zh-CN"/>
              </w:rPr>
            </w:pPr>
            <w:r>
              <w:rPr>
                <w:rFonts w:hint="eastAsia"/>
                <w:szCs w:val="21"/>
                <w:lang w:val="en-US" w:eastAsia="zh-CN"/>
              </w:rPr>
              <w:t>37.609</w:t>
            </w:r>
          </w:p>
        </w:tc>
        <w:tc>
          <w:tcPr>
            <w:tcW w:w="2792" w:type="dxa"/>
            <w:vAlign w:val="center"/>
          </w:tcPr>
          <w:p>
            <w:pPr>
              <w:pStyle w:val="26"/>
              <w:rPr>
                <w:szCs w:val="21"/>
                <w:lang w:val="en-US" w:eastAsia="zh-CN"/>
              </w:rPr>
            </w:pPr>
            <w:r>
              <w:rPr>
                <w:rFonts w:hint="eastAsia"/>
                <w:szCs w:val="21"/>
                <w:lang w:val="en-US" w:eastAsia="zh-CN"/>
              </w:rPr>
              <w:t>-20.269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pStyle w:val="25"/>
              <w:rPr>
                <w:szCs w:val="21"/>
                <w:lang w:val="en-US" w:eastAsia="zh-CN"/>
              </w:rPr>
            </w:pPr>
            <w:r>
              <w:rPr>
                <w:rFonts w:hint="eastAsia"/>
                <w:szCs w:val="21"/>
                <w:lang w:val="en-US" w:eastAsia="zh-CN"/>
              </w:rPr>
              <w:t>氨氮（t/a）</w:t>
            </w:r>
          </w:p>
        </w:tc>
        <w:tc>
          <w:tcPr>
            <w:tcW w:w="2183" w:type="dxa"/>
          </w:tcPr>
          <w:p>
            <w:pPr>
              <w:pStyle w:val="25"/>
              <w:rPr>
                <w:szCs w:val="21"/>
                <w:lang w:val="en-US" w:eastAsia="zh-CN"/>
              </w:rPr>
            </w:pPr>
            <w:r>
              <w:rPr>
                <w:rFonts w:hint="eastAsia"/>
                <w:szCs w:val="21"/>
                <w:lang w:val="en-US" w:eastAsia="zh-CN"/>
              </w:rPr>
              <w:t>4.295</w:t>
            </w:r>
          </w:p>
        </w:tc>
        <w:tc>
          <w:tcPr>
            <w:tcW w:w="3017" w:type="dxa"/>
          </w:tcPr>
          <w:p>
            <w:pPr>
              <w:pStyle w:val="25"/>
              <w:rPr>
                <w:szCs w:val="21"/>
                <w:lang w:val="en-US" w:eastAsia="zh-CN"/>
              </w:rPr>
            </w:pPr>
            <w:r>
              <w:rPr>
                <w:rFonts w:hint="eastAsia"/>
                <w:szCs w:val="21"/>
                <w:lang w:val="en-US" w:eastAsia="zh-CN"/>
              </w:rPr>
              <w:t>2.771</w:t>
            </w:r>
          </w:p>
        </w:tc>
        <w:tc>
          <w:tcPr>
            <w:tcW w:w="2792" w:type="dxa"/>
            <w:vAlign w:val="center"/>
          </w:tcPr>
          <w:p>
            <w:pPr>
              <w:pStyle w:val="26"/>
              <w:rPr>
                <w:szCs w:val="21"/>
                <w:lang w:val="en-US" w:eastAsia="zh-CN"/>
              </w:rPr>
            </w:pPr>
            <w:r>
              <w:rPr>
                <w:rFonts w:hint="eastAsia"/>
                <w:szCs w:val="21"/>
                <w:lang w:val="en-US" w:eastAsia="zh-CN"/>
              </w:rPr>
              <w:t>-1.524</w:t>
            </w:r>
          </w:p>
        </w:tc>
      </w:tr>
    </w:tbl>
    <w:p>
      <w:pPr>
        <w:pStyle w:val="4"/>
      </w:pPr>
      <w:r>
        <w:rPr>
          <w:rFonts w:hint="eastAsia"/>
        </w:rPr>
        <w:t>废气</w:t>
      </w:r>
    </w:p>
    <w:p>
      <w:pPr>
        <w:pStyle w:val="5"/>
      </w:pPr>
      <w:r>
        <w:rPr>
          <w:rFonts w:hint="eastAsia"/>
        </w:rPr>
        <w:t>技改后废气污染源分析</w:t>
      </w:r>
    </w:p>
    <w:p>
      <w:pPr>
        <w:ind w:firstLine="480"/>
      </w:pPr>
      <w:r>
        <w:rPr>
          <w:rFonts w:hint="eastAsia"/>
        </w:rPr>
        <w:t>本次技改后，厂区废气主要来源为纺纱车间、印染车间和食堂。</w:t>
      </w:r>
    </w:p>
    <w:p>
      <w:pPr>
        <w:ind w:firstLine="480"/>
      </w:pPr>
      <w:r>
        <w:rPr>
          <w:rFonts w:hint="eastAsia"/>
        </w:rPr>
        <w:t>1、印染车间废气</w:t>
      </w:r>
    </w:p>
    <w:p>
      <w:pPr>
        <w:ind w:firstLine="480"/>
      </w:pPr>
      <w:r>
        <w:rPr>
          <w:rFonts w:hint="eastAsia"/>
        </w:rPr>
        <w:t>技改后印染车间废气主要为导热油锅炉废气、蒸汽锅炉废气、定型工艺废气、导热油废气、醋酸废气、污水处理站臭气。</w:t>
      </w:r>
    </w:p>
    <w:p>
      <w:pPr>
        <w:ind w:firstLine="480"/>
        <w:rPr>
          <w:u w:val="single"/>
        </w:rPr>
      </w:pPr>
      <w:r>
        <w:rPr>
          <w:rFonts w:hint="eastAsia"/>
          <w:u w:val="single"/>
        </w:rPr>
        <w:t>（1）锅炉废气</w:t>
      </w:r>
    </w:p>
    <w:p>
      <w:pPr>
        <w:ind w:firstLine="480"/>
        <w:rPr>
          <w:u w:val="single"/>
        </w:rPr>
      </w:pPr>
      <w:r>
        <w:rPr>
          <w:rFonts w:hint="eastAsia"/>
          <w:u w:val="single"/>
        </w:rPr>
        <w:t>为解决“淘汰</w:t>
      </w:r>
      <w:r>
        <w:rPr>
          <w:u w:val="single"/>
        </w:rPr>
        <w:t>10</w:t>
      </w:r>
      <w:r>
        <w:rPr>
          <w:rFonts w:hint="eastAsia"/>
          <w:u w:val="single"/>
        </w:rPr>
        <w:t>蒸吨及以下燃煤锅炉”和“导热油炉废气颗粒物超标”的问题，本次技改一是拟对现有燃煤锅炉进行改造为燃生物质锅炉，并新购置一台10吨燃生物质锅炉作为常用锅炉，原6.5吨蒸汽锅炉改造后作为备用锅炉；二是技改后锅炉废气采用耐高温的布袋除尘系统处理达标后，再通过1个40m排气筒排放。6.5t/h蒸汽锅炉麻石水膜除尘系统、导热油炉水幕除尘系统保留作为备用废气处理系统。</w:t>
      </w:r>
    </w:p>
    <w:p>
      <w:pPr>
        <w:ind w:firstLine="480"/>
        <w:rPr>
          <w:u w:val="single"/>
        </w:rPr>
      </w:pPr>
      <w:r>
        <w:rPr>
          <w:rFonts w:hint="eastAsia"/>
          <w:u w:val="single"/>
        </w:rPr>
        <w:t>本项目技改实施后，导热油锅炉与蒸汽锅炉燃料均为生物质，生物质年使用量为</w:t>
      </w:r>
      <w:r>
        <w:rPr>
          <w:u w:val="single"/>
        </w:rPr>
        <w:t>2</w:t>
      </w:r>
      <w:r>
        <w:rPr>
          <w:rFonts w:hint="eastAsia"/>
          <w:u w:val="single"/>
        </w:rPr>
        <w:t>1</w:t>
      </w:r>
      <w:r>
        <w:rPr>
          <w:u w:val="single"/>
        </w:rPr>
        <w:t>00t</w:t>
      </w:r>
      <w:r>
        <w:rPr>
          <w:rFonts w:hint="eastAsia"/>
          <w:u w:val="single"/>
        </w:rPr>
        <w:t>。根据企业实际情况，锅炉废气采用水膜除尘装置处理后高空排放。根据《工业污染源产拍系数手册（</w:t>
      </w:r>
      <w:r>
        <w:rPr>
          <w:u w:val="single"/>
        </w:rPr>
        <w:t>2010</w:t>
      </w:r>
      <w:r>
        <w:rPr>
          <w:rFonts w:hint="eastAsia"/>
          <w:u w:val="single"/>
        </w:rPr>
        <w:t>年修订）》，燃生物质锅炉工业废气量产污系数为</w:t>
      </w:r>
      <w:r>
        <w:rPr>
          <w:u w:val="single"/>
        </w:rPr>
        <w:t>6240.28</w:t>
      </w:r>
      <w:r>
        <w:rPr>
          <w:rFonts w:hint="eastAsia"/>
          <w:u w:val="single"/>
        </w:rPr>
        <w:t>标立方米</w:t>
      </w:r>
      <w:r>
        <w:rPr>
          <w:u w:val="single"/>
        </w:rPr>
        <w:t>/</w:t>
      </w:r>
      <w:r>
        <w:rPr>
          <w:rFonts w:hint="eastAsia"/>
          <w:u w:val="single"/>
        </w:rPr>
        <w:t>吨</w:t>
      </w:r>
      <w:r>
        <w:rPr>
          <w:u w:val="single"/>
        </w:rPr>
        <w:t>-</w:t>
      </w:r>
      <w:r>
        <w:rPr>
          <w:rFonts w:hint="eastAsia"/>
          <w:u w:val="single"/>
        </w:rPr>
        <w:t>原料、二氧化硫产污系数为</w:t>
      </w:r>
      <w:r>
        <w:rPr>
          <w:u w:val="single"/>
        </w:rPr>
        <w:t>17S</w:t>
      </w:r>
      <w:r>
        <w:rPr>
          <w:rFonts w:hint="eastAsia"/>
          <w:u w:val="single"/>
        </w:rPr>
        <w:t>千克</w:t>
      </w:r>
      <w:r>
        <w:rPr>
          <w:u w:val="single"/>
        </w:rPr>
        <w:t>/</w:t>
      </w:r>
      <w:r>
        <w:rPr>
          <w:rFonts w:hint="eastAsia"/>
          <w:u w:val="single"/>
        </w:rPr>
        <w:t>吨</w:t>
      </w:r>
      <w:r>
        <w:rPr>
          <w:u w:val="single"/>
        </w:rPr>
        <w:t>-</w:t>
      </w:r>
      <w:r>
        <w:rPr>
          <w:rFonts w:hint="eastAsia"/>
          <w:u w:val="single"/>
        </w:rPr>
        <w:t>原料、颗粒物产污系数</w:t>
      </w:r>
      <w:r>
        <w:rPr>
          <w:u w:val="single"/>
        </w:rPr>
        <w:t>0.5</w:t>
      </w:r>
      <w:r>
        <w:rPr>
          <w:rFonts w:hint="eastAsia"/>
          <w:u w:val="single"/>
        </w:rPr>
        <w:t>千克</w:t>
      </w:r>
      <w:r>
        <w:rPr>
          <w:u w:val="single"/>
        </w:rPr>
        <w:t>/</w:t>
      </w:r>
      <w:r>
        <w:rPr>
          <w:rFonts w:hint="eastAsia"/>
          <w:u w:val="single"/>
        </w:rPr>
        <w:t>吨</w:t>
      </w:r>
      <w:r>
        <w:rPr>
          <w:u w:val="single"/>
        </w:rPr>
        <w:t>-</w:t>
      </w:r>
      <w:r>
        <w:rPr>
          <w:rFonts w:hint="eastAsia"/>
          <w:u w:val="single"/>
        </w:rPr>
        <w:t>原料、氮氧化物产污系数为</w:t>
      </w:r>
      <w:r>
        <w:rPr>
          <w:u w:val="single"/>
        </w:rPr>
        <w:t>1.02</w:t>
      </w:r>
      <w:r>
        <w:rPr>
          <w:rFonts w:hint="eastAsia"/>
          <w:u w:val="single"/>
        </w:rPr>
        <w:t>千克</w:t>
      </w:r>
      <w:r>
        <w:rPr>
          <w:u w:val="single"/>
        </w:rPr>
        <w:t>/</w:t>
      </w:r>
      <w:r>
        <w:rPr>
          <w:rFonts w:hint="eastAsia"/>
          <w:u w:val="single"/>
        </w:rPr>
        <w:t>吨</w:t>
      </w:r>
      <w:r>
        <w:rPr>
          <w:u w:val="single"/>
        </w:rPr>
        <w:t>-</w:t>
      </w:r>
      <w:r>
        <w:rPr>
          <w:rFonts w:hint="eastAsia"/>
          <w:u w:val="single"/>
        </w:rPr>
        <w:t>原料，颗粒物排污系数为</w:t>
      </w:r>
      <w:r>
        <w:rPr>
          <w:u w:val="single"/>
        </w:rPr>
        <w:t>0.065</w:t>
      </w:r>
      <w:r>
        <w:rPr>
          <w:rFonts w:hint="eastAsia"/>
          <w:u w:val="single"/>
        </w:rPr>
        <w:t>千克</w:t>
      </w:r>
      <w:r>
        <w:rPr>
          <w:u w:val="single"/>
        </w:rPr>
        <w:t>/</w:t>
      </w:r>
      <w:r>
        <w:rPr>
          <w:rFonts w:hint="eastAsia"/>
          <w:u w:val="single"/>
        </w:rPr>
        <w:t>吨</w:t>
      </w:r>
      <w:r>
        <w:rPr>
          <w:u w:val="single"/>
        </w:rPr>
        <w:t>-</w:t>
      </w:r>
      <w:r>
        <w:rPr>
          <w:rFonts w:hint="eastAsia"/>
          <w:u w:val="single"/>
        </w:rPr>
        <w:t>原料。则锅炉废气产排情况见表</w:t>
      </w:r>
      <w:r>
        <w:rPr>
          <w:u w:val="single"/>
        </w:rPr>
        <w:t>4.</w:t>
      </w:r>
      <w:r>
        <w:rPr>
          <w:rFonts w:hint="eastAsia"/>
          <w:u w:val="single"/>
        </w:rPr>
        <w:t>4-7。</w:t>
      </w:r>
    </w:p>
    <w:p>
      <w:pPr>
        <w:pStyle w:val="26"/>
        <w:rPr>
          <w:b/>
          <w:bCs/>
          <w:u w:val="single"/>
        </w:rPr>
      </w:pPr>
      <w:r>
        <w:rPr>
          <w:rFonts w:hint="eastAsia"/>
          <w:b/>
          <w:bCs/>
          <w:u w:val="single"/>
        </w:rPr>
        <w:t>表</w:t>
      </w:r>
      <w:r>
        <w:rPr>
          <w:b/>
          <w:bCs/>
          <w:u w:val="single"/>
        </w:rPr>
        <w:t>4.</w:t>
      </w:r>
      <w:r>
        <w:rPr>
          <w:rFonts w:hint="eastAsia"/>
          <w:b/>
          <w:bCs/>
          <w:u w:val="single"/>
        </w:rPr>
        <w:t>4-7锅炉废气产排情况一览表</w:t>
      </w:r>
    </w:p>
    <w:tbl>
      <w:tblPr>
        <w:tblStyle w:val="23"/>
        <w:tblW w:w="9708"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80"/>
        <w:gridCol w:w="1190"/>
        <w:gridCol w:w="1192"/>
        <w:gridCol w:w="1190"/>
        <w:gridCol w:w="1191"/>
        <w:gridCol w:w="1189"/>
        <w:gridCol w:w="1192"/>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19" w:hRule="atLeast"/>
          <w:jc w:val="center"/>
        </w:trPr>
        <w:tc>
          <w:tcPr>
            <w:tcW w:w="1380" w:type="dxa"/>
            <w:vMerge w:val="restart"/>
            <w:vAlign w:val="center"/>
          </w:tcPr>
          <w:p>
            <w:pPr>
              <w:pStyle w:val="26"/>
              <w:rPr>
                <w:kern w:val="2"/>
                <w:szCs w:val="21"/>
                <w:u w:val="single"/>
                <w:lang w:val="en-US" w:eastAsia="zh-CN"/>
              </w:rPr>
            </w:pPr>
            <w:r>
              <w:rPr>
                <w:rFonts w:hint="eastAsia"/>
                <w:kern w:val="2"/>
                <w:szCs w:val="21"/>
                <w:u w:val="single"/>
                <w:lang w:val="en-US" w:eastAsia="zh-CN"/>
              </w:rPr>
              <w:t>项目</w:t>
            </w:r>
          </w:p>
        </w:tc>
        <w:tc>
          <w:tcPr>
            <w:tcW w:w="2382" w:type="dxa"/>
            <w:gridSpan w:val="2"/>
            <w:vAlign w:val="center"/>
          </w:tcPr>
          <w:p>
            <w:pPr>
              <w:pStyle w:val="26"/>
              <w:rPr>
                <w:kern w:val="2"/>
                <w:szCs w:val="21"/>
                <w:u w:val="single"/>
                <w:lang w:val="en-US" w:eastAsia="zh-CN"/>
              </w:rPr>
            </w:pPr>
            <w:r>
              <w:rPr>
                <w:rFonts w:hint="eastAsia"/>
                <w:kern w:val="2"/>
                <w:szCs w:val="21"/>
                <w:u w:val="single"/>
                <w:lang w:val="en-US" w:eastAsia="zh-CN"/>
              </w:rPr>
              <w:t>二氧化硫</w:t>
            </w:r>
          </w:p>
        </w:tc>
        <w:tc>
          <w:tcPr>
            <w:tcW w:w="2381" w:type="dxa"/>
            <w:gridSpan w:val="2"/>
            <w:vAlign w:val="center"/>
          </w:tcPr>
          <w:p>
            <w:pPr>
              <w:pStyle w:val="26"/>
              <w:rPr>
                <w:kern w:val="2"/>
                <w:szCs w:val="21"/>
                <w:u w:val="single"/>
                <w:lang w:val="en-US" w:eastAsia="zh-CN"/>
              </w:rPr>
            </w:pPr>
            <w:r>
              <w:rPr>
                <w:rFonts w:hint="eastAsia"/>
                <w:kern w:val="2"/>
                <w:szCs w:val="21"/>
                <w:u w:val="single"/>
                <w:lang w:val="en-US" w:eastAsia="zh-CN"/>
              </w:rPr>
              <w:t>颗粒物</w:t>
            </w:r>
          </w:p>
        </w:tc>
        <w:tc>
          <w:tcPr>
            <w:tcW w:w="2381" w:type="dxa"/>
            <w:gridSpan w:val="2"/>
            <w:vAlign w:val="center"/>
          </w:tcPr>
          <w:p>
            <w:pPr>
              <w:pStyle w:val="26"/>
              <w:rPr>
                <w:kern w:val="2"/>
                <w:szCs w:val="21"/>
                <w:u w:val="single"/>
                <w:lang w:val="en-US" w:eastAsia="zh-CN"/>
              </w:rPr>
            </w:pPr>
            <w:r>
              <w:rPr>
                <w:kern w:val="2"/>
                <w:szCs w:val="21"/>
                <w:u w:val="single"/>
                <w:lang w:val="en-US" w:eastAsia="zh-CN"/>
              </w:rPr>
              <w:t>NOx</w:t>
            </w:r>
          </w:p>
        </w:tc>
        <w:tc>
          <w:tcPr>
            <w:tcW w:w="1184" w:type="dxa"/>
            <w:vAlign w:val="center"/>
          </w:tcPr>
          <w:p>
            <w:pPr>
              <w:pStyle w:val="26"/>
              <w:rPr>
                <w:kern w:val="2"/>
                <w:szCs w:val="21"/>
                <w:u w:val="single"/>
                <w:lang w:val="en-US" w:eastAsia="zh-CN"/>
              </w:rPr>
            </w:pPr>
            <w:r>
              <w:rPr>
                <w:rFonts w:hint="eastAsia"/>
                <w:kern w:val="2"/>
                <w:szCs w:val="21"/>
                <w:u w:val="single"/>
                <w:lang w:val="en-US" w:eastAsia="zh-CN"/>
              </w:rPr>
              <w:t>废气量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49" w:hRule="atLeast"/>
          <w:jc w:val="center"/>
        </w:trPr>
        <w:tc>
          <w:tcPr>
            <w:tcW w:w="1380" w:type="dxa"/>
            <w:vMerge w:val="continue"/>
            <w:vAlign w:val="center"/>
          </w:tcPr>
          <w:p>
            <w:pPr>
              <w:pStyle w:val="26"/>
              <w:rPr>
                <w:kern w:val="2"/>
                <w:szCs w:val="21"/>
                <w:u w:val="single"/>
                <w:lang w:val="en-US" w:eastAsia="zh-CN"/>
              </w:rPr>
            </w:pPr>
          </w:p>
        </w:tc>
        <w:tc>
          <w:tcPr>
            <w:tcW w:w="1190" w:type="dxa"/>
            <w:vAlign w:val="center"/>
          </w:tcPr>
          <w:p>
            <w:pPr>
              <w:pStyle w:val="26"/>
              <w:rPr>
                <w:kern w:val="2"/>
                <w:szCs w:val="21"/>
                <w:u w:val="single"/>
                <w:lang w:val="en-US" w:eastAsia="zh-CN"/>
              </w:rPr>
            </w:pPr>
            <w:r>
              <w:rPr>
                <w:kern w:val="2"/>
                <w:szCs w:val="21"/>
                <w:u w:val="single"/>
                <w:lang w:val="en-US" w:eastAsia="zh-CN"/>
              </w:rPr>
              <w:t>mg/Nm</w:t>
            </w:r>
            <w:r>
              <w:rPr>
                <w:kern w:val="2"/>
                <w:szCs w:val="21"/>
                <w:u w:val="single"/>
                <w:vertAlign w:val="superscript"/>
                <w:lang w:val="en-US" w:eastAsia="zh-CN"/>
              </w:rPr>
              <w:t>3</w:t>
            </w:r>
          </w:p>
        </w:tc>
        <w:tc>
          <w:tcPr>
            <w:tcW w:w="1192" w:type="dxa"/>
            <w:vAlign w:val="center"/>
          </w:tcPr>
          <w:p>
            <w:pPr>
              <w:pStyle w:val="26"/>
              <w:rPr>
                <w:kern w:val="2"/>
                <w:szCs w:val="21"/>
                <w:u w:val="single"/>
                <w:lang w:val="en-US" w:eastAsia="zh-CN"/>
              </w:rPr>
            </w:pPr>
            <w:r>
              <w:rPr>
                <w:kern w:val="2"/>
                <w:szCs w:val="21"/>
                <w:u w:val="single"/>
                <w:lang w:val="en-US" w:eastAsia="zh-CN"/>
              </w:rPr>
              <w:t>t/a</w:t>
            </w:r>
          </w:p>
        </w:tc>
        <w:tc>
          <w:tcPr>
            <w:tcW w:w="1190" w:type="dxa"/>
            <w:vAlign w:val="center"/>
          </w:tcPr>
          <w:p>
            <w:pPr>
              <w:pStyle w:val="26"/>
              <w:rPr>
                <w:kern w:val="2"/>
                <w:szCs w:val="21"/>
                <w:u w:val="single"/>
                <w:lang w:val="en-US" w:eastAsia="zh-CN"/>
              </w:rPr>
            </w:pPr>
            <w:r>
              <w:rPr>
                <w:kern w:val="2"/>
                <w:szCs w:val="21"/>
                <w:u w:val="single"/>
                <w:lang w:val="en-US" w:eastAsia="zh-CN"/>
              </w:rPr>
              <w:t>mg/Nm</w:t>
            </w:r>
            <w:r>
              <w:rPr>
                <w:kern w:val="2"/>
                <w:szCs w:val="21"/>
                <w:u w:val="single"/>
                <w:vertAlign w:val="superscript"/>
                <w:lang w:val="en-US" w:eastAsia="zh-CN"/>
              </w:rPr>
              <w:t>3</w:t>
            </w:r>
          </w:p>
        </w:tc>
        <w:tc>
          <w:tcPr>
            <w:tcW w:w="1191" w:type="dxa"/>
            <w:vAlign w:val="center"/>
          </w:tcPr>
          <w:p>
            <w:pPr>
              <w:pStyle w:val="26"/>
              <w:rPr>
                <w:kern w:val="2"/>
                <w:szCs w:val="21"/>
                <w:u w:val="single"/>
                <w:lang w:val="en-US" w:eastAsia="zh-CN"/>
              </w:rPr>
            </w:pPr>
            <w:r>
              <w:rPr>
                <w:kern w:val="2"/>
                <w:szCs w:val="21"/>
                <w:u w:val="single"/>
                <w:lang w:val="en-US" w:eastAsia="zh-CN"/>
              </w:rPr>
              <w:t>t/a</w:t>
            </w:r>
          </w:p>
        </w:tc>
        <w:tc>
          <w:tcPr>
            <w:tcW w:w="1189" w:type="dxa"/>
            <w:vAlign w:val="center"/>
          </w:tcPr>
          <w:p>
            <w:pPr>
              <w:pStyle w:val="26"/>
              <w:rPr>
                <w:kern w:val="2"/>
                <w:szCs w:val="21"/>
                <w:u w:val="single"/>
                <w:lang w:val="en-US" w:eastAsia="zh-CN"/>
              </w:rPr>
            </w:pPr>
            <w:r>
              <w:rPr>
                <w:kern w:val="2"/>
                <w:szCs w:val="21"/>
                <w:u w:val="single"/>
                <w:lang w:val="en-US" w:eastAsia="zh-CN"/>
              </w:rPr>
              <w:t>mg/Nm</w:t>
            </w:r>
            <w:r>
              <w:rPr>
                <w:kern w:val="2"/>
                <w:szCs w:val="21"/>
                <w:u w:val="single"/>
                <w:vertAlign w:val="superscript"/>
                <w:lang w:val="en-US" w:eastAsia="zh-CN"/>
              </w:rPr>
              <w:t>3</w:t>
            </w:r>
          </w:p>
        </w:tc>
        <w:tc>
          <w:tcPr>
            <w:tcW w:w="1192" w:type="dxa"/>
            <w:vAlign w:val="center"/>
          </w:tcPr>
          <w:p>
            <w:pPr>
              <w:pStyle w:val="26"/>
              <w:rPr>
                <w:kern w:val="2"/>
                <w:szCs w:val="21"/>
                <w:u w:val="single"/>
                <w:lang w:val="en-US" w:eastAsia="zh-CN"/>
              </w:rPr>
            </w:pPr>
            <w:r>
              <w:rPr>
                <w:kern w:val="2"/>
                <w:szCs w:val="21"/>
                <w:u w:val="single"/>
                <w:lang w:val="en-US" w:eastAsia="zh-CN"/>
              </w:rPr>
              <w:t>t/a</w:t>
            </w:r>
          </w:p>
        </w:tc>
        <w:tc>
          <w:tcPr>
            <w:tcW w:w="1184" w:type="dxa"/>
            <w:vAlign w:val="center"/>
          </w:tcPr>
          <w:p>
            <w:pPr>
              <w:pStyle w:val="26"/>
              <w:rPr>
                <w:kern w:val="2"/>
                <w:szCs w:val="21"/>
                <w:u w:val="single"/>
                <w:lang w:val="en-US" w:eastAsia="zh-CN"/>
              </w:rPr>
            </w:pPr>
            <w:r>
              <w:rPr>
                <w:rFonts w:hint="eastAsia"/>
                <w:kern w:val="2"/>
                <w:szCs w:val="21"/>
                <w:u w:val="single"/>
                <w:lang w:val="en-US" w:eastAsia="zh-CN"/>
              </w:rPr>
              <w:t>万</w:t>
            </w:r>
            <w:r>
              <w:rPr>
                <w:kern w:val="2"/>
                <w:szCs w:val="21"/>
                <w:u w:val="single"/>
                <w:lang w:val="en-US" w:eastAsia="zh-CN"/>
              </w:rPr>
              <w:t>Nm</w:t>
            </w:r>
            <w:r>
              <w:rPr>
                <w:kern w:val="2"/>
                <w:szCs w:val="21"/>
                <w:u w:val="single"/>
                <w:vertAlign w:val="superscript"/>
                <w:lang w:val="en-US" w:eastAsia="zh-CN"/>
              </w:rPr>
              <w:t>3</w:t>
            </w:r>
            <w:r>
              <w:rPr>
                <w:kern w:val="2"/>
                <w:szCs w:val="21"/>
                <w:u w:val="singl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19" w:hRule="atLeast"/>
          <w:jc w:val="center"/>
        </w:trPr>
        <w:tc>
          <w:tcPr>
            <w:tcW w:w="1380" w:type="dxa"/>
            <w:vAlign w:val="center"/>
          </w:tcPr>
          <w:p>
            <w:pPr>
              <w:pStyle w:val="26"/>
              <w:rPr>
                <w:kern w:val="2"/>
                <w:szCs w:val="21"/>
                <w:u w:val="single"/>
                <w:lang w:val="en-US" w:eastAsia="zh-CN"/>
              </w:rPr>
            </w:pPr>
            <w:r>
              <w:rPr>
                <w:rFonts w:hint="eastAsia"/>
                <w:kern w:val="2"/>
                <w:szCs w:val="21"/>
                <w:u w:val="single"/>
                <w:lang w:val="en-US" w:eastAsia="zh-CN"/>
              </w:rPr>
              <w:t>产生情况</w:t>
            </w:r>
          </w:p>
        </w:tc>
        <w:tc>
          <w:tcPr>
            <w:tcW w:w="1190" w:type="dxa"/>
            <w:vAlign w:val="center"/>
          </w:tcPr>
          <w:p>
            <w:pPr>
              <w:pStyle w:val="26"/>
              <w:rPr>
                <w:kern w:val="2"/>
                <w:szCs w:val="21"/>
                <w:u w:val="single"/>
                <w:lang w:val="en-US" w:eastAsia="zh-CN"/>
              </w:rPr>
            </w:pPr>
            <w:r>
              <w:rPr>
                <w:kern w:val="2"/>
                <w:szCs w:val="21"/>
                <w:u w:val="single"/>
                <w:lang w:val="en-US" w:eastAsia="zh-CN"/>
              </w:rPr>
              <w:t>199.78</w:t>
            </w:r>
          </w:p>
        </w:tc>
        <w:tc>
          <w:tcPr>
            <w:tcW w:w="1192" w:type="dxa"/>
            <w:vAlign w:val="center"/>
          </w:tcPr>
          <w:p>
            <w:pPr>
              <w:pStyle w:val="26"/>
              <w:rPr>
                <w:kern w:val="2"/>
                <w:szCs w:val="21"/>
                <w:u w:val="single"/>
                <w:lang w:val="en-US" w:eastAsia="zh-CN"/>
              </w:rPr>
            </w:pPr>
            <w:r>
              <w:rPr>
                <w:kern w:val="2"/>
                <w:szCs w:val="21"/>
                <w:u w:val="single"/>
                <w:lang w:val="en-US" w:eastAsia="zh-CN"/>
              </w:rPr>
              <w:t>2.992</w:t>
            </w:r>
          </w:p>
        </w:tc>
        <w:tc>
          <w:tcPr>
            <w:tcW w:w="1190" w:type="dxa"/>
            <w:vAlign w:val="center"/>
          </w:tcPr>
          <w:p>
            <w:pPr>
              <w:pStyle w:val="26"/>
              <w:rPr>
                <w:kern w:val="2"/>
                <w:szCs w:val="21"/>
                <w:u w:val="single"/>
                <w:lang w:val="en-US" w:eastAsia="zh-CN"/>
              </w:rPr>
            </w:pPr>
            <w:r>
              <w:rPr>
                <w:kern w:val="2"/>
                <w:szCs w:val="21"/>
                <w:u w:val="single"/>
                <w:lang w:val="en-US" w:eastAsia="zh-CN"/>
              </w:rPr>
              <w:t>73.45</w:t>
            </w:r>
          </w:p>
        </w:tc>
        <w:tc>
          <w:tcPr>
            <w:tcW w:w="1191" w:type="dxa"/>
            <w:vAlign w:val="center"/>
          </w:tcPr>
          <w:p>
            <w:pPr>
              <w:pStyle w:val="26"/>
              <w:rPr>
                <w:kern w:val="2"/>
                <w:szCs w:val="21"/>
                <w:u w:val="single"/>
                <w:lang w:val="en-US" w:eastAsia="zh-CN"/>
              </w:rPr>
            </w:pPr>
            <w:r>
              <w:rPr>
                <w:kern w:val="2"/>
                <w:szCs w:val="21"/>
                <w:u w:val="single"/>
                <w:lang w:val="en-US" w:eastAsia="zh-CN"/>
              </w:rPr>
              <w:t>1.1</w:t>
            </w:r>
          </w:p>
        </w:tc>
        <w:tc>
          <w:tcPr>
            <w:tcW w:w="1189" w:type="dxa"/>
            <w:vAlign w:val="center"/>
          </w:tcPr>
          <w:p>
            <w:pPr>
              <w:pStyle w:val="26"/>
              <w:rPr>
                <w:kern w:val="2"/>
                <w:szCs w:val="21"/>
                <w:u w:val="single"/>
                <w:lang w:val="en-US" w:eastAsia="zh-CN"/>
              </w:rPr>
            </w:pPr>
            <w:r>
              <w:rPr>
                <w:kern w:val="2"/>
                <w:szCs w:val="21"/>
                <w:u w:val="single"/>
                <w:lang w:val="en-US" w:eastAsia="zh-CN"/>
              </w:rPr>
              <w:t>149.83</w:t>
            </w:r>
          </w:p>
        </w:tc>
        <w:tc>
          <w:tcPr>
            <w:tcW w:w="1192" w:type="dxa"/>
            <w:vAlign w:val="center"/>
          </w:tcPr>
          <w:p>
            <w:pPr>
              <w:pStyle w:val="26"/>
              <w:rPr>
                <w:kern w:val="2"/>
                <w:szCs w:val="21"/>
                <w:u w:val="single"/>
                <w:lang w:val="en-US" w:eastAsia="zh-CN"/>
              </w:rPr>
            </w:pPr>
            <w:r>
              <w:rPr>
                <w:kern w:val="2"/>
                <w:szCs w:val="21"/>
                <w:u w:val="single"/>
                <w:lang w:val="en-US" w:eastAsia="zh-CN"/>
              </w:rPr>
              <w:t>2.244</w:t>
            </w:r>
          </w:p>
        </w:tc>
        <w:tc>
          <w:tcPr>
            <w:tcW w:w="1184" w:type="dxa"/>
            <w:vMerge w:val="restart"/>
            <w:vAlign w:val="center"/>
          </w:tcPr>
          <w:p>
            <w:pPr>
              <w:pStyle w:val="26"/>
              <w:rPr>
                <w:kern w:val="2"/>
                <w:szCs w:val="21"/>
                <w:u w:val="single"/>
                <w:lang w:val="en-US" w:eastAsia="zh-CN"/>
              </w:rPr>
            </w:pPr>
            <w:r>
              <w:rPr>
                <w:kern w:val="2"/>
                <w:szCs w:val="21"/>
                <w:u w:val="single"/>
                <w:lang w:val="en-US" w:eastAsia="zh-CN"/>
              </w:rPr>
              <w:t>1372.8616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19" w:hRule="atLeast"/>
          <w:jc w:val="center"/>
        </w:trPr>
        <w:tc>
          <w:tcPr>
            <w:tcW w:w="1380" w:type="dxa"/>
            <w:vAlign w:val="center"/>
          </w:tcPr>
          <w:p>
            <w:pPr>
              <w:pStyle w:val="26"/>
              <w:rPr>
                <w:kern w:val="2"/>
                <w:szCs w:val="21"/>
                <w:u w:val="single"/>
                <w:lang w:val="en-US" w:eastAsia="zh-CN"/>
              </w:rPr>
            </w:pPr>
            <w:r>
              <w:rPr>
                <w:rFonts w:hint="eastAsia"/>
                <w:kern w:val="2"/>
                <w:szCs w:val="21"/>
                <w:u w:val="single"/>
                <w:lang w:val="en-US" w:eastAsia="zh-CN"/>
              </w:rPr>
              <w:t>排放情况</w:t>
            </w:r>
          </w:p>
        </w:tc>
        <w:tc>
          <w:tcPr>
            <w:tcW w:w="1190" w:type="dxa"/>
            <w:vAlign w:val="center"/>
          </w:tcPr>
          <w:p>
            <w:pPr>
              <w:pStyle w:val="26"/>
              <w:rPr>
                <w:kern w:val="2"/>
                <w:szCs w:val="21"/>
                <w:u w:val="single"/>
                <w:lang w:val="en-US" w:eastAsia="zh-CN"/>
              </w:rPr>
            </w:pPr>
            <w:r>
              <w:rPr>
                <w:kern w:val="2"/>
                <w:szCs w:val="21"/>
                <w:u w:val="single"/>
                <w:lang w:val="en-US" w:eastAsia="zh-CN"/>
              </w:rPr>
              <w:t>199.78</w:t>
            </w:r>
          </w:p>
        </w:tc>
        <w:tc>
          <w:tcPr>
            <w:tcW w:w="1192" w:type="dxa"/>
            <w:vAlign w:val="center"/>
          </w:tcPr>
          <w:p>
            <w:pPr>
              <w:pStyle w:val="26"/>
              <w:rPr>
                <w:kern w:val="2"/>
                <w:szCs w:val="21"/>
                <w:u w:val="single"/>
                <w:lang w:val="en-US" w:eastAsia="zh-CN"/>
              </w:rPr>
            </w:pPr>
            <w:r>
              <w:rPr>
                <w:kern w:val="2"/>
                <w:szCs w:val="21"/>
                <w:u w:val="single"/>
                <w:lang w:val="en-US" w:eastAsia="zh-CN"/>
              </w:rPr>
              <w:t>2.992</w:t>
            </w:r>
          </w:p>
        </w:tc>
        <w:tc>
          <w:tcPr>
            <w:tcW w:w="1190" w:type="dxa"/>
            <w:vAlign w:val="center"/>
          </w:tcPr>
          <w:p>
            <w:pPr>
              <w:pStyle w:val="26"/>
              <w:rPr>
                <w:kern w:val="2"/>
                <w:szCs w:val="21"/>
                <w:u w:val="single"/>
                <w:lang w:val="en-US" w:eastAsia="zh-CN"/>
              </w:rPr>
            </w:pPr>
            <w:r>
              <w:rPr>
                <w:kern w:val="2"/>
                <w:szCs w:val="21"/>
                <w:u w:val="single"/>
                <w:lang w:val="en-US" w:eastAsia="zh-CN"/>
              </w:rPr>
              <w:t>9.55</w:t>
            </w:r>
          </w:p>
        </w:tc>
        <w:tc>
          <w:tcPr>
            <w:tcW w:w="1191" w:type="dxa"/>
            <w:vAlign w:val="center"/>
          </w:tcPr>
          <w:p>
            <w:pPr>
              <w:pStyle w:val="26"/>
              <w:rPr>
                <w:kern w:val="2"/>
                <w:szCs w:val="21"/>
                <w:u w:val="single"/>
                <w:lang w:val="en-US" w:eastAsia="zh-CN"/>
              </w:rPr>
            </w:pPr>
            <w:r>
              <w:rPr>
                <w:kern w:val="2"/>
                <w:szCs w:val="21"/>
                <w:u w:val="single"/>
                <w:lang w:val="en-US" w:eastAsia="zh-CN"/>
              </w:rPr>
              <w:t>0.143</w:t>
            </w:r>
          </w:p>
        </w:tc>
        <w:tc>
          <w:tcPr>
            <w:tcW w:w="1189" w:type="dxa"/>
            <w:vAlign w:val="center"/>
          </w:tcPr>
          <w:p>
            <w:pPr>
              <w:pStyle w:val="26"/>
              <w:rPr>
                <w:kern w:val="2"/>
                <w:szCs w:val="21"/>
                <w:u w:val="single"/>
                <w:lang w:val="en-US" w:eastAsia="zh-CN"/>
              </w:rPr>
            </w:pPr>
            <w:r>
              <w:rPr>
                <w:kern w:val="2"/>
                <w:szCs w:val="21"/>
                <w:u w:val="single"/>
                <w:lang w:val="en-US" w:eastAsia="zh-CN"/>
              </w:rPr>
              <w:t>149.83</w:t>
            </w:r>
          </w:p>
        </w:tc>
        <w:tc>
          <w:tcPr>
            <w:tcW w:w="1192" w:type="dxa"/>
            <w:vAlign w:val="center"/>
          </w:tcPr>
          <w:p>
            <w:pPr>
              <w:pStyle w:val="26"/>
              <w:rPr>
                <w:kern w:val="2"/>
                <w:szCs w:val="21"/>
                <w:u w:val="single"/>
                <w:lang w:val="en-US" w:eastAsia="zh-CN"/>
              </w:rPr>
            </w:pPr>
            <w:r>
              <w:rPr>
                <w:kern w:val="2"/>
                <w:szCs w:val="21"/>
                <w:u w:val="single"/>
                <w:lang w:val="en-US" w:eastAsia="zh-CN"/>
              </w:rPr>
              <w:t>2.244</w:t>
            </w:r>
          </w:p>
        </w:tc>
        <w:tc>
          <w:tcPr>
            <w:tcW w:w="1184" w:type="dxa"/>
            <w:vMerge w:val="continue"/>
            <w:vAlign w:val="center"/>
          </w:tcPr>
          <w:p>
            <w:pPr>
              <w:pStyle w:val="26"/>
              <w:rPr>
                <w:kern w:val="2"/>
                <w:szCs w:val="21"/>
                <w:u w:val="single"/>
                <w:lang w:val="en-US" w:eastAsia="zh-CN"/>
              </w:rPr>
            </w:pPr>
          </w:p>
        </w:tc>
      </w:tr>
    </w:tbl>
    <w:p>
      <w:pPr>
        <w:ind w:firstLine="480"/>
        <w:rPr>
          <w:u w:val="single"/>
        </w:rPr>
      </w:pPr>
      <w:r>
        <w:rPr>
          <w:rFonts w:hint="eastAsia"/>
          <w:u w:val="single"/>
        </w:rPr>
        <w:t>从上表可知，锅炉废气</w:t>
      </w:r>
      <w:r>
        <w:rPr>
          <w:rFonts w:hint="eastAsia" w:hAnsi="宋体"/>
          <w:u w:val="single"/>
        </w:rPr>
        <w:t>颗粒物、</w:t>
      </w:r>
      <w:r>
        <w:rPr>
          <w:rFonts w:hAnsi="宋体"/>
          <w:u w:val="single"/>
        </w:rPr>
        <w:t>SO</w:t>
      </w:r>
      <w:r>
        <w:rPr>
          <w:rFonts w:hAnsi="宋体"/>
          <w:u w:val="single"/>
          <w:vertAlign w:val="subscript"/>
        </w:rPr>
        <w:t>2</w:t>
      </w:r>
      <w:r>
        <w:rPr>
          <w:rFonts w:hint="eastAsia" w:hAnsi="宋体"/>
          <w:u w:val="single"/>
        </w:rPr>
        <w:t>和</w:t>
      </w:r>
      <w:r>
        <w:rPr>
          <w:rFonts w:hAnsi="宋体"/>
          <w:u w:val="single"/>
        </w:rPr>
        <w:t>NOx</w:t>
      </w:r>
      <w:r>
        <w:rPr>
          <w:rFonts w:hint="eastAsia" w:hAnsi="宋体"/>
          <w:u w:val="single"/>
        </w:rPr>
        <w:t>《锅炉大气污染物排放标准》（</w:t>
      </w:r>
      <w:r>
        <w:rPr>
          <w:rFonts w:hAnsi="宋体"/>
          <w:u w:val="single"/>
        </w:rPr>
        <w:t>GB13271-2014</w:t>
      </w:r>
      <w:r>
        <w:rPr>
          <w:rFonts w:hint="eastAsia" w:hAnsi="宋体"/>
          <w:u w:val="single"/>
        </w:rPr>
        <w:t>）中表</w:t>
      </w:r>
      <w:r>
        <w:rPr>
          <w:rFonts w:hAnsi="宋体"/>
          <w:u w:val="single"/>
        </w:rPr>
        <w:t>2</w:t>
      </w:r>
      <w:r>
        <w:rPr>
          <w:rFonts w:hint="eastAsia" w:hAnsi="宋体"/>
          <w:u w:val="single"/>
        </w:rPr>
        <w:t>规定的新建锅炉大气污染物排放限值。</w:t>
      </w:r>
    </w:p>
    <w:p>
      <w:pPr>
        <w:ind w:firstLine="480"/>
        <w:rPr>
          <w:u w:val="single"/>
        </w:rPr>
      </w:pPr>
      <w:r>
        <w:rPr>
          <w:rFonts w:hint="eastAsia"/>
          <w:u w:val="single"/>
        </w:rPr>
        <w:t>（2）定型工艺废气</w:t>
      </w:r>
    </w:p>
    <w:p>
      <w:pPr>
        <w:ind w:firstLine="480"/>
        <w:rPr>
          <w:u w:val="single"/>
        </w:rPr>
      </w:pPr>
      <w:r>
        <w:rPr>
          <w:rFonts w:hint="eastAsia"/>
          <w:u w:val="single"/>
        </w:rPr>
        <w:t>在印染生产过程中，需使用染料、柔软剂、固色剂等助剂，这些物质在定型工序中由于温度升高而部分挥发产生废气，在排放口会产生油雾与少量有机物废气，有时并伴随异味。根据现场踏勘，现有工程该部分废气未进行收集处理，直接外排。</w:t>
      </w:r>
    </w:p>
    <w:p>
      <w:pPr>
        <w:ind w:firstLine="480"/>
        <w:rPr>
          <w:rFonts w:hint="eastAsia"/>
          <w:u w:val="single"/>
        </w:rPr>
      </w:pPr>
      <w:r>
        <w:rPr>
          <w:rFonts w:hint="eastAsia"/>
          <w:u w:val="single"/>
        </w:rPr>
        <w:t>本次技改拟对</w:t>
      </w:r>
      <w:r>
        <w:rPr>
          <w:u w:val="single"/>
        </w:rPr>
        <w:t>2</w:t>
      </w:r>
      <w:r>
        <w:rPr>
          <w:rFonts w:hint="eastAsia"/>
          <w:u w:val="single"/>
        </w:rPr>
        <w:t>套定型设备各配套</w:t>
      </w:r>
      <w:r>
        <w:rPr>
          <w:u w:val="single"/>
        </w:rPr>
        <w:t>1</w:t>
      </w:r>
      <w:r>
        <w:rPr>
          <w:rFonts w:hint="eastAsia"/>
          <w:u w:val="single"/>
        </w:rPr>
        <w:t>套定型废气处理装置，每台定型机风量为</w:t>
      </w:r>
      <w:r>
        <w:rPr>
          <w:u w:val="single"/>
        </w:rPr>
        <w:t>15000m</w:t>
      </w:r>
      <w:r>
        <w:rPr>
          <w:u w:val="single"/>
          <w:vertAlign w:val="superscript"/>
        </w:rPr>
        <w:t>3</w:t>
      </w:r>
      <w:r>
        <w:rPr>
          <w:u w:val="single"/>
        </w:rPr>
        <w:t>/h</w:t>
      </w:r>
      <w:r>
        <w:rPr>
          <w:rFonts w:hint="eastAsia"/>
          <w:u w:val="single"/>
        </w:rPr>
        <w:t>，采用高压静电处理工艺，同时要求企业对定型废气采用负压收集</w:t>
      </w:r>
      <w:r>
        <w:rPr>
          <w:rFonts w:hint="eastAsia"/>
          <w:u w:val="single"/>
          <w:lang w:eastAsia="zh-CN"/>
        </w:rPr>
        <w:t>，</w:t>
      </w:r>
      <w:r>
        <w:rPr>
          <w:rFonts w:hint="eastAsia"/>
          <w:u w:val="single"/>
        </w:rPr>
        <w:t>确保定型废气全部收集，油烟去除率达80%以上、颗粒物去除率达85%以上</w:t>
      </w:r>
      <w:r>
        <w:rPr>
          <w:rFonts w:hint="eastAsia"/>
          <w:u w:val="single"/>
          <w:lang w:eastAsia="zh-CN"/>
        </w:rPr>
        <w:t>。</w:t>
      </w:r>
    </w:p>
    <w:p>
      <w:pPr>
        <w:ind w:firstLine="480"/>
        <w:rPr>
          <w:u w:val="single"/>
        </w:rPr>
      </w:pPr>
      <w:r>
        <w:rPr>
          <w:rFonts w:hint="eastAsia"/>
          <w:u w:val="single"/>
        </w:rPr>
        <w:t>绍兴天洲印染有限公司</w:t>
      </w:r>
      <w:r>
        <w:rPr>
          <w:rFonts w:hint="eastAsia"/>
          <w:u w:val="single"/>
          <w:lang w:eastAsia="zh-CN"/>
        </w:rPr>
        <w:t>是一家N/R针织布染色、全棉针织布染色、人棉针织布染色、人棉梭织布印花的企业，印染工艺采用</w:t>
      </w:r>
      <w:r>
        <w:rPr>
          <w:rFonts w:hint="eastAsia"/>
          <w:u w:val="single"/>
        </w:rPr>
        <w:t>高温高压气流染色</w:t>
      </w:r>
      <w:r>
        <w:rPr>
          <w:rFonts w:hint="eastAsia"/>
          <w:u w:val="single"/>
          <w:lang w:eastAsia="zh-CN"/>
        </w:rPr>
        <w:t>进行印染、</w:t>
      </w:r>
      <w:r>
        <w:rPr>
          <w:rFonts w:hint="eastAsia"/>
          <w:u w:val="single"/>
        </w:rPr>
        <w:t>立信MONFONGS定型机</w:t>
      </w:r>
      <w:r>
        <w:rPr>
          <w:rFonts w:hint="eastAsia"/>
          <w:u w:val="single"/>
          <w:lang w:eastAsia="zh-CN"/>
        </w:rPr>
        <w:t>进行定型，该企业定型废气采用</w:t>
      </w:r>
      <w:r>
        <w:rPr>
          <w:rFonts w:hint="eastAsia"/>
          <w:u w:val="single"/>
        </w:rPr>
        <w:t>负压收集</w:t>
      </w:r>
      <w:r>
        <w:rPr>
          <w:rFonts w:hint="eastAsia"/>
          <w:u w:val="single"/>
          <w:lang w:eastAsia="zh-CN"/>
        </w:rPr>
        <w:t>后通过静电处理系统处理。本项目定型过程与</w:t>
      </w:r>
      <w:r>
        <w:rPr>
          <w:rFonts w:hint="eastAsia"/>
          <w:u w:val="single"/>
        </w:rPr>
        <w:t>绍兴天洲印染有限公司</w:t>
      </w:r>
      <w:r>
        <w:rPr>
          <w:rFonts w:hint="eastAsia"/>
          <w:u w:val="single"/>
          <w:lang w:eastAsia="zh-CN"/>
        </w:rPr>
        <w:t>定型工艺及废气处理工艺类似，因此，本项目类比</w:t>
      </w:r>
      <w:r>
        <w:rPr>
          <w:rFonts w:hint="eastAsia"/>
          <w:u w:val="single"/>
        </w:rPr>
        <w:t>绍兴天洲印染有限公司定型工艺废气产排污情况，本项目技改后定型工艺废气产排情况见表</w:t>
      </w:r>
      <w:r>
        <w:rPr>
          <w:u w:val="single"/>
        </w:rPr>
        <w:t>4.</w:t>
      </w:r>
      <w:r>
        <w:rPr>
          <w:rFonts w:hint="eastAsia"/>
          <w:u w:val="single"/>
        </w:rPr>
        <w:t>4-8。</w:t>
      </w:r>
    </w:p>
    <w:p>
      <w:pPr>
        <w:pStyle w:val="26"/>
        <w:rPr>
          <w:b/>
          <w:bCs/>
          <w:u w:val="single"/>
        </w:rPr>
      </w:pPr>
      <w:r>
        <w:rPr>
          <w:rFonts w:hint="eastAsia"/>
          <w:b/>
          <w:bCs/>
          <w:u w:val="single"/>
        </w:rPr>
        <w:t>表</w:t>
      </w:r>
      <w:r>
        <w:rPr>
          <w:b/>
          <w:bCs/>
          <w:u w:val="single"/>
        </w:rPr>
        <w:t>4.</w:t>
      </w:r>
      <w:r>
        <w:rPr>
          <w:rFonts w:hint="eastAsia"/>
          <w:b/>
          <w:bCs/>
          <w:u w:val="single"/>
        </w:rPr>
        <w:t>4-8技改后企业定型废气产生及排放情况</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193"/>
        <w:gridCol w:w="1153"/>
        <w:gridCol w:w="961"/>
        <w:gridCol w:w="1064"/>
        <w:gridCol w:w="1122"/>
        <w:gridCol w:w="1090"/>
        <w:gridCol w:w="960"/>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tblHeader/>
          <w:jc w:val="center"/>
        </w:trPr>
        <w:tc>
          <w:tcPr>
            <w:tcW w:w="1347" w:type="dxa"/>
            <w:vMerge w:val="restart"/>
            <w:vAlign w:val="center"/>
          </w:tcPr>
          <w:p>
            <w:pPr>
              <w:pStyle w:val="26"/>
              <w:rPr>
                <w:kern w:val="2"/>
                <w:szCs w:val="21"/>
                <w:u w:val="single"/>
                <w:lang w:val="en-US" w:eastAsia="zh-CN"/>
              </w:rPr>
            </w:pPr>
            <w:r>
              <w:rPr>
                <w:rFonts w:hint="eastAsia"/>
                <w:kern w:val="2"/>
                <w:szCs w:val="21"/>
                <w:u w:val="single"/>
                <w:lang w:val="en-US" w:eastAsia="zh-CN"/>
              </w:rPr>
              <w:t>污染物</w:t>
            </w:r>
          </w:p>
        </w:tc>
        <w:tc>
          <w:tcPr>
            <w:tcW w:w="3307" w:type="dxa"/>
            <w:gridSpan w:val="3"/>
            <w:vAlign w:val="center"/>
          </w:tcPr>
          <w:p>
            <w:pPr>
              <w:pStyle w:val="26"/>
              <w:rPr>
                <w:kern w:val="2"/>
                <w:szCs w:val="21"/>
                <w:u w:val="single"/>
                <w:lang w:val="en-US" w:eastAsia="zh-CN"/>
              </w:rPr>
            </w:pPr>
            <w:r>
              <w:rPr>
                <w:rFonts w:hint="eastAsia"/>
                <w:kern w:val="2"/>
                <w:szCs w:val="21"/>
                <w:u w:val="single"/>
                <w:lang w:val="en-US" w:eastAsia="zh-CN"/>
              </w:rPr>
              <w:t>产生</w:t>
            </w:r>
          </w:p>
        </w:tc>
        <w:tc>
          <w:tcPr>
            <w:tcW w:w="1064" w:type="dxa"/>
            <w:vAlign w:val="center"/>
          </w:tcPr>
          <w:p>
            <w:pPr>
              <w:pStyle w:val="26"/>
              <w:rPr>
                <w:kern w:val="2"/>
                <w:szCs w:val="21"/>
                <w:u w:val="single"/>
                <w:lang w:val="en-US" w:eastAsia="zh-CN"/>
              </w:rPr>
            </w:pPr>
            <w:r>
              <w:rPr>
                <w:rFonts w:hint="eastAsia"/>
                <w:kern w:val="2"/>
                <w:szCs w:val="21"/>
                <w:u w:val="single"/>
                <w:lang w:val="en-US" w:eastAsia="zh-CN"/>
              </w:rPr>
              <w:t>削减量</w:t>
            </w:r>
          </w:p>
        </w:tc>
        <w:tc>
          <w:tcPr>
            <w:tcW w:w="3172" w:type="dxa"/>
            <w:gridSpan w:val="3"/>
            <w:vAlign w:val="center"/>
          </w:tcPr>
          <w:p>
            <w:pPr>
              <w:pStyle w:val="26"/>
              <w:rPr>
                <w:kern w:val="2"/>
                <w:szCs w:val="21"/>
                <w:u w:val="single"/>
                <w:lang w:val="en-US" w:eastAsia="zh-CN"/>
              </w:rPr>
            </w:pPr>
            <w:r>
              <w:rPr>
                <w:rFonts w:hint="eastAsia"/>
                <w:kern w:val="2"/>
                <w:szCs w:val="21"/>
                <w:u w:val="single"/>
                <w:lang w:val="en-US" w:eastAsia="zh-CN"/>
              </w:rPr>
              <w:t>排放量</w:t>
            </w:r>
          </w:p>
        </w:tc>
        <w:tc>
          <w:tcPr>
            <w:tcW w:w="964" w:type="dxa"/>
            <w:vMerge w:val="restart"/>
            <w:vAlign w:val="center"/>
          </w:tcPr>
          <w:p>
            <w:pPr>
              <w:pStyle w:val="26"/>
              <w:rPr>
                <w:kern w:val="2"/>
                <w:szCs w:val="21"/>
                <w:u w:val="single"/>
                <w:lang w:val="en-US" w:eastAsia="zh-CN"/>
              </w:rPr>
            </w:pPr>
            <w:r>
              <w:rPr>
                <w:rFonts w:hint="eastAsia"/>
                <w:kern w:val="2"/>
                <w:szCs w:val="21"/>
                <w:u w:val="single"/>
                <w:lang w:val="en-US" w:eastAsia="zh-CN"/>
              </w:rPr>
              <w:t>净化率</w:t>
            </w:r>
            <w:r>
              <w:rPr>
                <w:kern w:val="2"/>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blHeader/>
          <w:jc w:val="center"/>
        </w:trPr>
        <w:tc>
          <w:tcPr>
            <w:tcW w:w="1347" w:type="dxa"/>
            <w:vMerge w:val="continue"/>
            <w:vAlign w:val="center"/>
          </w:tcPr>
          <w:p>
            <w:pPr>
              <w:pStyle w:val="26"/>
              <w:rPr>
                <w:kern w:val="2"/>
                <w:szCs w:val="21"/>
                <w:u w:val="single"/>
                <w:lang w:val="en-US" w:eastAsia="zh-CN"/>
              </w:rPr>
            </w:pPr>
          </w:p>
        </w:tc>
        <w:tc>
          <w:tcPr>
            <w:tcW w:w="1193" w:type="dxa"/>
            <w:vAlign w:val="center"/>
          </w:tcPr>
          <w:p>
            <w:pPr>
              <w:pStyle w:val="26"/>
              <w:rPr>
                <w:kern w:val="2"/>
                <w:szCs w:val="21"/>
                <w:u w:val="single"/>
                <w:lang w:val="en-US" w:eastAsia="zh-CN"/>
              </w:rPr>
            </w:pPr>
            <w:r>
              <w:rPr>
                <w:kern w:val="2"/>
                <w:szCs w:val="21"/>
                <w:u w:val="single"/>
                <w:lang w:val="en-US" w:eastAsia="zh-CN"/>
              </w:rPr>
              <w:t>mg/Nm</w:t>
            </w:r>
            <w:r>
              <w:rPr>
                <w:kern w:val="2"/>
                <w:szCs w:val="21"/>
                <w:u w:val="single"/>
                <w:vertAlign w:val="superscript"/>
                <w:lang w:val="en-US" w:eastAsia="zh-CN"/>
              </w:rPr>
              <w:t>3</w:t>
            </w:r>
          </w:p>
        </w:tc>
        <w:tc>
          <w:tcPr>
            <w:tcW w:w="1153" w:type="dxa"/>
            <w:vAlign w:val="center"/>
          </w:tcPr>
          <w:p>
            <w:pPr>
              <w:pStyle w:val="26"/>
              <w:rPr>
                <w:kern w:val="2"/>
                <w:szCs w:val="21"/>
                <w:u w:val="single"/>
                <w:lang w:val="en-US" w:eastAsia="zh-CN"/>
              </w:rPr>
            </w:pPr>
            <w:r>
              <w:rPr>
                <w:kern w:val="2"/>
                <w:szCs w:val="21"/>
                <w:u w:val="single"/>
                <w:lang w:val="en-US" w:eastAsia="zh-CN"/>
              </w:rPr>
              <w:t>Kg/h.</w:t>
            </w:r>
            <w:r>
              <w:rPr>
                <w:rFonts w:hint="eastAsia"/>
                <w:kern w:val="2"/>
                <w:szCs w:val="21"/>
                <w:u w:val="single"/>
                <w:lang w:val="en-US" w:eastAsia="zh-CN"/>
              </w:rPr>
              <w:t>台</w:t>
            </w:r>
          </w:p>
        </w:tc>
        <w:tc>
          <w:tcPr>
            <w:tcW w:w="961" w:type="dxa"/>
            <w:vAlign w:val="center"/>
          </w:tcPr>
          <w:p>
            <w:pPr>
              <w:pStyle w:val="26"/>
              <w:rPr>
                <w:kern w:val="2"/>
                <w:szCs w:val="21"/>
                <w:u w:val="single"/>
                <w:lang w:val="en-US" w:eastAsia="zh-CN"/>
              </w:rPr>
            </w:pPr>
            <w:r>
              <w:rPr>
                <w:kern w:val="2"/>
                <w:szCs w:val="21"/>
                <w:u w:val="single"/>
                <w:lang w:val="en-US" w:eastAsia="zh-CN"/>
              </w:rPr>
              <w:t>t/a</w:t>
            </w:r>
          </w:p>
        </w:tc>
        <w:tc>
          <w:tcPr>
            <w:tcW w:w="1064" w:type="dxa"/>
            <w:vAlign w:val="center"/>
          </w:tcPr>
          <w:p>
            <w:pPr>
              <w:pStyle w:val="26"/>
              <w:rPr>
                <w:kern w:val="2"/>
                <w:szCs w:val="21"/>
                <w:u w:val="single"/>
                <w:lang w:val="en-US" w:eastAsia="zh-CN"/>
              </w:rPr>
            </w:pPr>
            <w:r>
              <w:rPr>
                <w:kern w:val="2"/>
                <w:szCs w:val="21"/>
                <w:u w:val="single"/>
                <w:lang w:val="en-US" w:eastAsia="zh-CN"/>
              </w:rPr>
              <w:t>t/a</w:t>
            </w:r>
          </w:p>
        </w:tc>
        <w:tc>
          <w:tcPr>
            <w:tcW w:w="1122" w:type="dxa"/>
            <w:vAlign w:val="center"/>
          </w:tcPr>
          <w:p>
            <w:pPr>
              <w:pStyle w:val="26"/>
              <w:rPr>
                <w:kern w:val="2"/>
                <w:szCs w:val="21"/>
                <w:u w:val="single"/>
                <w:lang w:val="en-US" w:eastAsia="zh-CN"/>
              </w:rPr>
            </w:pPr>
            <w:r>
              <w:rPr>
                <w:kern w:val="2"/>
                <w:szCs w:val="21"/>
                <w:u w:val="single"/>
                <w:lang w:val="en-US" w:eastAsia="zh-CN"/>
              </w:rPr>
              <w:t>mg/Nm</w:t>
            </w:r>
            <w:r>
              <w:rPr>
                <w:kern w:val="2"/>
                <w:szCs w:val="21"/>
                <w:u w:val="single"/>
                <w:vertAlign w:val="superscript"/>
                <w:lang w:val="en-US" w:eastAsia="zh-CN"/>
              </w:rPr>
              <w:t>3</w:t>
            </w:r>
          </w:p>
        </w:tc>
        <w:tc>
          <w:tcPr>
            <w:tcW w:w="1090" w:type="dxa"/>
            <w:vAlign w:val="center"/>
          </w:tcPr>
          <w:p>
            <w:pPr>
              <w:pStyle w:val="26"/>
              <w:rPr>
                <w:kern w:val="2"/>
                <w:szCs w:val="21"/>
                <w:u w:val="single"/>
                <w:lang w:val="en-US" w:eastAsia="zh-CN"/>
              </w:rPr>
            </w:pPr>
            <w:r>
              <w:rPr>
                <w:kern w:val="2"/>
                <w:szCs w:val="21"/>
                <w:u w:val="single"/>
                <w:lang w:val="en-US" w:eastAsia="zh-CN"/>
              </w:rPr>
              <w:t>Kg/h.</w:t>
            </w:r>
            <w:r>
              <w:rPr>
                <w:rFonts w:hint="eastAsia"/>
                <w:kern w:val="2"/>
                <w:szCs w:val="21"/>
                <w:u w:val="single"/>
                <w:lang w:val="en-US" w:eastAsia="zh-CN"/>
              </w:rPr>
              <w:t>台</w:t>
            </w:r>
          </w:p>
        </w:tc>
        <w:tc>
          <w:tcPr>
            <w:tcW w:w="960" w:type="dxa"/>
            <w:vAlign w:val="center"/>
          </w:tcPr>
          <w:p>
            <w:pPr>
              <w:pStyle w:val="26"/>
              <w:rPr>
                <w:kern w:val="2"/>
                <w:szCs w:val="21"/>
                <w:u w:val="single"/>
                <w:lang w:val="en-US" w:eastAsia="zh-CN"/>
              </w:rPr>
            </w:pPr>
            <w:r>
              <w:rPr>
                <w:kern w:val="2"/>
                <w:szCs w:val="21"/>
                <w:u w:val="single"/>
                <w:lang w:val="en-US" w:eastAsia="zh-CN"/>
              </w:rPr>
              <w:t>t/a</w:t>
            </w:r>
          </w:p>
        </w:tc>
        <w:tc>
          <w:tcPr>
            <w:tcW w:w="964" w:type="dxa"/>
            <w:vMerge w:val="continue"/>
            <w:vAlign w:val="center"/>
          </w:tcPr>
          <w:p>
            <w:pPr>
              <w:pStyle w:val="26"/>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347" w:type="dxa"/>
            <w:vAlign w:val="center"/>
          </w:tcPr>
          <w:p>
            <w:pPr>
              <w:pStyle w:val="26"/>
              <w:rPr>
                <w:kern w:val="2"/>
                <w:szCs w:val="21"/>
                <w:u w:val="single"/>
                <w:lang w:val="en-US" w:eastAsia="zh-CN"/>
              </w:rPr>
            </w:pPr>
            <w:r>
              <w:rPr>
                <w:rFonts w:hint="eastAsia"/>
                <w:kern w:val="2"/>
                <w:szCs w:val="21"/>
                <w:u w:val="single"/>
                <w:lang w:val="en-US" w:eastAsia="zh-CN"/>
              </w:rPr>
              <w:t>颗粒物</w:t>
            </w:r>
          </w:p>
        </w:tc>
        <w:tc>
          <w:tcPr>
            <w:tcW w:w="1193" w:type="dxa"/>
            <w:vAlign w:val="center"/>
          </w:tcPr>
          <w:p>
            <w:pPr>
              <w:pStyle w:val="26"/>
              <w:rPr>
                <w:kern w:val="2"/>
                <w:szCs w:val="21"/>
                <w:u w:val="single"/>
                <w:lang w:val="en-US" w:eastAsia="zh-CN"/>
              </w:rPr>
            </w:pPr>
            <w:r>
              <w:rPr>
                <w:kern w:val="2"/>
                <w:szCs w:val="21"/>
                <w:u w:val="single"/>
                <w:lang w:val="en-US" w:eastAsia="zh-CN"/>
              </w:rPr>
              <w:t>100</w:t>
            </w:r>
          </w:p>
        </w:tc>
        <w:tc>
          <w:tcPr>
            <w:tcW w:w="1153" w:type="dxa"/>
            <w:vAlign w:val="center"/>
          </w:tcPr>
          <w:p>
            <w:pPr>
              <w:pStyle w:val="26"/>
              <w:rPr>
                <w:kern w:val="2"/>
                <w:szCs w:val="21"/>
                <w:u w:val="single"/>
                <w:lang w:val="en-US" w:eastAsia="zh-CN"/>
              </w:rPr>
            </w:pPr>
            <w:r>
              <w:rPr>
                <w:kern w:val="2"/>
                <w:szCs w:val="21"/>
                <w:u w:val="single"/>
                <w:lang w:val="en-US" w:eastAsia="zh-CN"/>
              </w:rPr>
              <w:t>1.5</w:t>
            </w:r>
          </w:p>
        </w:tc>
        <w:tc>
          <w:tcPr>
            <w:tcW w:w="961" w:type="dxa"/>
            <w:vAlign w:val="center"/>
          </w:tcPr>
          <w:p>
            <w:pPr>
              <w:pStyle w:val="26"/>
              <w:rPr>
                <w:kern w:val="2"/>
                <w:szCs w:val="21"/>
                <w:u w:val="single"/>
                <w:lang w:val="en-US" w:eastAsia="zh-CN"/>
              </w:rPr>
            </w:pPr>
            <w:r>
              <w:rPr>
                <w:kern w:val="2"/>
                <w:szCs w:val="21"/>
                <w:u w:val="single"/>
                <w:lang w:val="en-US" w:eastAsia="zh-CN"/>
              </w:rPr>
              <w:t>10.8</w:t>
            </w:r>
          </w:p>
        </w:tc>
        <w:tc>
          <w:tcPr>
            <w:tcW w:w="1064" w:type="dxa"/>
            <w:vAlign w:val="center"/>
          </w:tcPr>
          <w:p>
            <w:pPr>
              <w:pStyle w:val="26"/>
              <w:rPr>
                <w:kern w:val="2"/>
                <w:szCs w:val="21"/>
                <w:u w:val="single"/>
                <w:lang w:val="en-US" w:eastAsia="zh-CN"/>
              </w:rPr>
            </w:pPr>
            <w:r>
              <w:rPr>
                <w:rFonts w:hint="eastAsia"/>
                <w:kern w:val="2"/>
                <w:szCs w:val="21"/>
                <w:u w:val="single"/>
                <w:lang w:val="en-US" w:eastAsia="zh-CN"/>
              </w:rPr>
              <w:t>9.18</w:t>
            </w:r>
          </w:p>
        </w:tc>
        <w:tc>
          <w:tcPr>
            <w:tcW w:w="1122" w:type="dxa"/>
            <w:vAlign w:val="center"/>
          </w:tcPr>
          <w:p>
            <w:pPr>
              <w:pStyle w:val="26"/>
              <w:rPr>
                <w:kern w:val="2"/>
                <w:szCs w:val="21"/>
                <w:u w:val="single"/>
                <w:lang w:val="en-US" w:eastAsia="zh-CN"/>
              </w:rPr>
            </w:pPr>
            <w:r>
              <w:rPr>
                <w:kern w:val="2"/>
                <w:szCs w:val="21"/>
                <w:u w:val="single"/>
                <w:lang w:val="en-US" w:eastAsia="zh-CN"/>
              </w:rPr>
              <w:t>15</w:t>
            </w:r>
          </w:p>
        </w:tc>
        <w:tc>
          <w:tcPr>
            <w:tcW w:w="1090" w:type="dxa"/>
            <w:vAlign w:val="center"/>
          </w:tcPr>
          <w:p>
            <w:pPr>
              <w:pStyle w:val="26"/>
              <w:rPr>
                <w:kern w:val="2"/>
                <w:szCs w:val="21"/>
                <w:u w:val="single"/>
                <w:lang w:val="en-US" w:eastAsia="zh-CN"/>
              </w:rPr>
            </w:pPr>
            <w:r>
              <w:rPr>
                <w:kern w:val="2"/>
                <w:szCs w:val="21"/>
                <w:u w:val="single"/>
                <w:lang w:val="en-US" w:eastAsia="zh-CN"/>
              </w:rPr>
              <w:t>0.225</w:t>
            </w:r>
          </w:p>
        </w:tc>
        <w:tc>
          <w:tcPr>
            <w:tcW w:w="960" w:type="dxa"/>
            <w:vAlign w:val="center"/>
          </w:tcPr>
          <w:p>
            <w:pPr>
              <w:pStyle w:val="26"/>
              <w:rPr>
                <w:kern w:val="2"/>
                <w:szCs w:val="21"/>
                <w:u w:val="single"/>
                <w:lang w:val="en-US" w:eastAsia="zh-CN"/>
              </w:rPr>
            </w:pPr>
            <w:r>
              <w:rPr>
                <w:kern w:val="2"/>
                <w:szCs w:val="21"/>
                <w:u w:val="single"/>
                <w:lang w:val="en-US" w:eastAsia="zh-CN"/>
              </w:rPr>
              <w:t>1.62</w:t>
            </w:r>
          </w:p>
        </w:tc>
        <w:tc>
          <w:tcPr>
            <w:tcW w:w="964" w:type="dxa"/>
            <w:vAlign w:val="center"/>
          </w:tcPr>
          <w:p>
            <w:pPr>
              <w:pStyle w:val="26"/>
              <w:rPr>
                <w:kern w:val="2"/>
                <w:szCs w:val="21"/>
                <w:u w:val="single"/>
                <w:lang w:val="en-US" w:eastAsia="zh-CN"/>
              </w:rPr>
            </w:pPr>
            <w:r>
              <w:rPr>
                <w:kern w:val="2"/>
                <w:szCs w:val="21"/>
                <w:u w:val="singl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7" w:type="dxa"/>
            <w:vAlign w:val="center"/>
          </w:tcPr>
          <w:p>
            <w:pPr>
              <w:pStyle w:val="26"/>
              <w:rPr>
                <w:kern w:val="2"/>
                <w:szCs w:val="21"/>
                <w:u w:val="single"/>
                <w:lang w:val="en-US" w:eastAsia="zh-CN"/>
              </w:rPr>
            </w:pPr>
            <w:r>
              <w:rPr>
                <w:kern w:val="2"/>
                <w:szCs w:val="21"/>
                <w:u w:val="single"/>
                <w:lang w:val="en-US" w:eastAsia="zh-CN"/>
              </w:rPr>
              <w:t>VOCs</w:t>
            </w:r>
          </w:p>
        </w:tc>
        <w:tc>
          <w:tcPr>
            <w:tcW w:w="1193" w:type="dxa"/>
            <w:vAlign w:val="center"/>
          </w:tcPr>
          <w:p>
            <w:pPr>
              <w:pStyle w:val="26"/>
              <w:rPr>
                <w:kern w:val="2"/>
                <w:szCs w:val="21"/>
                <w:u w:val="single"/>
                <w:lang w:val="en-US" w:eastAsia="zh-CN"/>
              </w:rPr>
            </w:pPr>
            <w:r>
              <w:rPr>
                <w:kern w:val="2"/>
                <w:szCs w:val="21"/>
                <w:u w:val="single"/>
                <w:lang w:val="en-US" w:eastAsia="zh-CN"/>
              </w:rPr>
              <w:t>75</w:t>
            </w:r>
          </w:p>
        </w:tc>
        <w:tc>
          <w:tcPr>
            <w:tcW w:w="1153" w:type="dxa"/>
            <w:vAlign w:val="center"/>
          </w:tcPr>
          <w:p>
            <w:pPr>
              <w:pStyle w:val="26"/>
              <w:rPr>
                <w:kern w:val="2"/>
                <w:szCs w:val="21"/>
                <w:u w:val="single"/>
                <w:lang w:val="en-US" w:eastAsia="zh-CN"/>
              </w:rPr>
            </w:pPr>
            <w:r>
              <w:rPr>
                <w:kern w:val="2"/>
                <w:szCs w:val="21"/>
                <w:u w:val="single"/>
                <w:lang w:val="en-US" w:eastAsia="zh-CN"/>
              </w:rPr>
              <w:t>1.125</w:t>
            </w:r>
          </w:p>
        </w:tc>
        <w:tc>
          <w:tcPr>
            <w:tcW w:w="961" w:type="dxa"/>
            <w:vAlign w:val="center"/>
          </w:tcPr>
          <w:p>
            <w:pPr>
              <w:pStyle w:val="26"/>
              <w:rPr>
                <w:kern w:val="2"/>
                <w:szCs w:val="21"/>
                <w:u w:val="single"/>
                <w:lang w:val="en-US" w:eastAsia="zh-CN"/>
              </w:rPr>
            </w:pPr>
            <w:r>
              <w:rPr>
                <w:kern w:val="2"/>
                <w:szCs w:val="21"/>
                <w:u w:val="single"/>
                <w:lang w:val="en-US" w:eastAsia="zh-CN"/>
              </w:rPr>
              <w:t>8.1</w:t>
            </w:r>
          </w:p>
        </w:tc>
        <w:tc>
          <w:tcPr>
            <w:tcW w:w="1064" w:type="dxa"/>
            <w:vAlign w:val="center"/>
          </w:tcPr>
          <w:p>
            <w:pPr>
              <w:pStyle w:val="26"/>
              <w:rPr>
                <w:kern w:val="2"/>
                <w:szCs w:val="21"/>
                <w:u w:val="single"/>
                <w:lang w:val="en-US" w:eastAsia="zh-CN"/>
              </w:rPr>
            </w:pPr>
            <w:r>
              <w:rPr>
                <w:kern w:val="2"/>
                <w:szCs w:val="21"/>
                <w:u w:val="single"/>
                <w:lang w:val="en-US" w:eastAsia="zh-CN"/>
              </w:rPr>
              <w:t>6.48</w:t>
            </w:r>
          </w:p>
        </w:tc>
        <w:tc>
          <w:tcPr>
            <w:tcW w:w="1122" w:type="dxa"/>
            <w:vAlign w:val="center"/>
          </w:tcPr>
          <w:p>
            <w:pPr>
              <w:pStyle w:val="26"/>
              <w:rPr>
                <w:kern w:val="2"/>
                <w:szCs w:val="21"/>
                <w:u w:val="single"/>
                <w:lang w:val="en-US" w:eastAsia="zh-CN"/>
              </w:rPr>
            </w:pPr>
            <w:r>
              <w:rPr>
                <w:kern w:val="2"/>
                <w:szCs w:val="21"/>
                <w:u w:val="single"/>
                <w:lang w:val="en-US" w:eastAsia="zh-CN"/>
              </w:rPr>
              <w:t>15</w:t>
            </w:r>
          </w:p>
        </w:tc>
        <w:tc>
          <w:tcPr>
            <w:tcW w:w="1090" w:type="dxa"/>
            <w:vAlign w:val="center"/>
          </w:tcPr>
          <w:p>
            <w:pPr>
              <w:pStyle w:val="26"/>
              <w:rPr>
                <w:kern w:val="2"/>
                <w:szCs w:val="21"/>
                <w:u w:val="single"/>
                <w:lang w:val="en-US" w:eastAsia="zh-CN"/>
              </w:rPr>
            </w:pPr>
            <w:r>
              <w:rPr>
                <w:kern w:val="2"/>
                <w:szCs w:val="21"/>
                <w:u w:val="single"/>
                <w:lang w:val="en-US" w:eastAsia="zh-CN"/>
              </w:rPr>
              <w:t>0.225</w:t>
            </w:r>
          </w:p>
        </w:tc>
        <w:tc>
          <w:tcPr>
            <w:tcW w:w="960" w:type="dxa"/>
            <w:vAlign w:val="center"/>
          </w:tcPr>
          <w:p>
            <w:pPr>
              <w:pStyle w:val="26"/>
              <w:rPr>
                <w:kern w:val="2"/>
                <w:szCs w:val="21"/>
                <w:u w:val="single"/>
                <w:lang w:val="en-US" w:eastAsia="zh-CN"/>
              </w:rPr>
            </w:pPr>
            <w:r>
              <w:rPr>
                <w:kern w:val="2"/>
                <w:szCs w:val="21"/>
                <w:u w:val="single"/>
                <w:lang w:val="en-US" w:eastAsia="zh-CN"/>
              </w:rPr>
              <w:t>1.62</w:t>
            </w:r>
          </w:p>
        </w:tc>
        <w:tc>
          <w:tcPr>
            <w:tcW w:w="964" w:type="dxa"/>
            <w:vAlign w:val="center"/>
          </w:tcPr>
          <w:p>
            <w:pPr>
              <w:pStyle w:val="26"/>
              <w:rPr>
                <w:kern w:val="2"/>
                <w:szCs w:val="21"/>
                <w:u w:val="single"/>
                <w:lang w:val="en-US" w:eastAsia="zh-CN"/>
              </w:rPr>
            </w:pPr>
            <w:r>
              <w:rPr>
                <w:kern w:val="2"/>
                <w:szCs w:val="21"/>
                <w:u w:val="single"/>
                <w:lang w:val="en-US" w:eastAsia="zh-CN"/>
              </w:rPr>
              <w:t>80</w:t>
            </w:r>
          </w:p>
        </w:tc>
      </w:tr>
    </w:tbl>
    <w:p>
      <w:pPr>
        <w:ind w:firstLine="480"/>
      </w:pPr>
      <w:r>
        <w:rPr>
          <w:rFonts w:hint="eastAsia"/>
        </w:rPr>
        <w:t>（3）导热油废气</w:t>
      </w:r>
    </w:p>
    <w:p>
      <w:pPr>
        <w:ind w:firstLine="480"/>
        <w:rPr>
          <w:rFonts w:ascii="宋体"/>
        </w:rPr>
      </w:pPr>
      <w:r>
        <w:rPr>
          <w:rFonts w:hint="eastAsia"/>
        </w:rPr>
        <w:t>本技改项目定型采用导热油加温，该导热油为</w:t>
      </w:r>
      <w:r>
        <w:rPr>
          <w:rFonts w:hint="eastAsia" w:ascii="宋体" w:hAnsi="宋体"/>
        </w:rPr>
        <w:t>基础油化学成份长链烷烃类，属无毒有机物质，不含有联苯</w:t>
      </w:r>
      <w:r>
        <w:rPr>
          <w:rFonts w:ascii="宋体"/>
        </w:rPr>
        <w:t>-</w:t>
      </w:r>
      <w:r>
        <w:rPr>
          <w:rFonts w:hint="eastAsia" w:ascii="宋体" w:hAnsi="宋体"/>
        </w:rPr>
        <w:t>联苯醚成分。导热油在使用过程中因管道、阀门等连接处存在少量泄漏，挥发产生极少量导热油废气，在车间内无组织排放。导热油在使用过程中由于损耗需定期补充，根据现有工程类比，技改后企业导热油循环使用量约</w:t>
      </w:r>
      <w:r>
        <w:rPr>
          <w:rFonts w:ascii="宋体" w:hAnsi="宋体"/>
        </w:rPr>
        <w:t>4</w:t>
      </w:r>
      <w:r>
        <w:rPr>
          <w:rFonts w:hint="eastAsia" w:ascii="宋体" w:hAnsi="宋体"/>
        </w:rPr>
        <w:t>吨，每年更换补充约</w:t>
      </w:r>
      <w:r>
        <w:rPr>
          <w:rFonts w:ascii="宋体" w:hAnsi="宋体"/>
        </w:rPr>
        <w:t>0.5</w:t>
      </w:r>
      <w:r>
        <w:rPr>
          <w:rFonts w:hint="eastAsia" w:ascii="宋体" w:hAnsi="宋体"/>
        </w:rPr>
        <w:t>吨。</w:t>
      </w:r>
    </w:p>
    <w:p>
      <w:pPr>
        <w:ind w:firstLine="480"/>
        <w:rPr>
          <w:rFonts w:ascii="宋体"/>
        </w:rPr>
      </w:pPr>
      <w:r>
        <w:rPr>
          <w:rFonts w:hint="eastAsia" w:ascii="宋体" w:hAnsi="宋体"/>
        </w:rPr>
        <w:t>（4）醋酸废气</w:t>
      </w:r>
    </w:p>
    <w:p>
      <w:pPr>
        <w:ind w:firstLine="480"/>
      </w:pPr>
      <w:r>
        <w:rPr>
          <w:rFonts w:hint="eastAsia"/>
        </w:rPr>
        <w:t>主要为染色工序产生的醋酸废气，根据同类型印染企业类比调查，醋酸废气产生量约为使用量的</w:t>
      </w:r>
      <w:r>
        <w:t>5</w:t>
      </w:r>
      <w:r>
        <w:rPr>
          <w:rFonts w:hint="eastAsia"/>
        </w:rPr>
        <w:t>‰，则醋酸废气产生量约为</w:t>
      </w:r>
      <w:r>
        <w:t>0.035t/a</w:t>
      </w:r>
      <w:r>
        <w:rPr>
          <w:rFonts w:hint="eastAsia"/>
        </w:rPr>
        <w:t>，产生的废气在车间内以无组织形式排放。</w:t>
      </w:r>
    </w:p>
    <w:p>
      <w:pPr>
        <w:ind w:firstLine="480"/>
      </w:pPr>
      <w:r>
        <w:rPr>
          <w:rFonts w:hint="eastAsia"/>
        </w:rPr>
        <w:t>（5）污水处理站臭气</w:t>
      </w:r>
    </w:p>
    <w:p>
      <w:pPr>
        <w:ind w:firstLine="480"/>
        <w:rPr>
          <w:szCs w:val="20"/>
        </w:rPr>
      </w:pPr>
      <w:r>
        <w:rPr>
          <w:rFonts w:hint="eastAsia"/>
        </w:rPr>
        <w:t>企业厂区内建有一套日处理能力为</w:t>
      </w:r>
      <w:r>
        <w:t>2000</w:t>
      </w:r>
      <w:r>
        <w:rPr>
          <w:rFonts w:hint="eastAsia"/>
        </w:rPr>
        <w:t>吨污水处理站，占地面积约为</w:t>
      </w:r>
      <w:r>
        <w:t>416m</w:t>
      </w:r>
      <w:r>
        <w:rPr>
          <w:vertAlign w:val="superscript"/>
        </w:rPr>
        <w:t>2</w:t>
      </w:r>
      <w:r>
        <w:rPr>
          <w:rFonts w:hint="eastAsia"/>
        </w:rPr>
        <w:t>。污水处理站产生的臭气属于无组织排放。根据岳阳市衡润检测有限公司于</w:t>
      </w:r>
      <w:r>
        <w:t>2017</w:t>
      </w:r>
      <w:r>
        <w:rPr>
          <w:rFonts w:hint="eastAsia"/>
        </w:rPr>
        <w:t>年</w:t>
      </w:r>
      <w:r>
        <w:t>7</w:t>
      </w:r>
      <w:r>
        <w:rPr>
          <w:rFonts w:hint="eastAsia"/>
        </w:rPr>
        <w:t>月</w:t>
      </w:r>
      <w:r>
        <w:t>7</w:t>
      </w:r>
      <w:r>
        <w:rPr>
          <w:rFonts w:hint="eastAsia"/>
        </w:rPr>
        <w:t>日</w:t>
      </w:r>
      <w:r>
        <w:t>~8</w:t>
      </w:r>
      <w:r>
        <w:rPr>
          <w:rFonts w:hint="eastAsia"/>
        </w:rPr>
        <w:t>日对印染分厂厂界四周进行氨和硫化氢的检测的检测结果，四周厂界无组织浓度均满足</w:t>
      </w:r>
      <w:r>
        <w:rPr>
          <w:rFonts w:hint="eastAsia" w:hAnsi="宋体"/>
          <w:szCs w:val="20"/>
        </w:rPr>
        <w:t>《恶臭污染物排放标准》</w:t>
      </w:r>
      <w:r>
        <w:rPr>
          <w:szCs w:val="20"/>
        </w:rPr>
        <w:t>(GB14554-93)</w:t>
      </w:r>
      <w:r>
        <w:rPr>
          <w:rFonts w:hint="eastAsia"/>
          <w:szCs w:val="20"/>
        </w:rPr>
        <w:t>中无组织排放浓度限值。</w:t>
      </w:r>
    </w:p>
    <w:p>
      <w:pPr>
        <w:ind w:firstLine="480"/>
      </w:pPr>
      <w:r>
        <w:rPr>
          <w:rFonts w:hint="eastAsia"/>
          <w:szCs w:val="20"/>
        </w:rPr>
        <w:t>（6）</w:t>
      </w:r>
      <w:r>
        <w:t>VOCs</w:t>
      </w:r>
      <w:r>
        <w:rPr>
          <w:rFonts w:hint="eastAsia"/>
        </w:rPr>
        <w:t>废气</w:t>
      </w:r>
    </w:p>
    <w:p>
      <w:pPr>
        <w:ind w:firstLine="480"/>
      </w:pPr>
      <w:r>
        <w:rPr>
          <w:rFonts w:hint="eastAsia"/>
        </w:rPr>
        <w:t>根据以上废气污染物源强分析，技改后企业</w:t>
      </w:r>
      <w:r>
        <w:t>VOCs</w:t>
      </w:r>
      <w:r>
        <w:rPr>
          <w:rFonts w:hint="eastAsia"/>
        </w:rPr>
        <w:t>废气产生及排放情况见表</w:t>
      </w:r>
      <w:r>
        <w:t>4.</w:t>
      </w:r>
      <w:r>
        <w:rPr>
          <w:rFonts w:hint="eastAsia"/>
        </w:rPr>
        <w:t>4-9。</w:t>
      </w:r>
    </w:p>
    <w:p>
      <w:pPr>
        <w:pStyle w:val="26"/>
      </w:pPr>
      <w:r>
        <w:rPr>
          <w:rFonts w:hint="eastAsia"/>
          <w:b/>
          <w:bCs/>
        </w:rPr>
        <w:t>表</w:t>
      </w:r>
      <w:r>
        <w:rPr>
          <w:b/>
          <w:bCs/>
        </w:rPr>
        <w:t>4.</w:t>
      </w:r>
      <w:r>
        <w:rPr>
          <w:rFonts w:hint="eastAsia"/>
          <w:b/>
          <w:bCs/>
        </w:rPr>
        <w:t>4-9技改后企业</w:t>
      </w:r>
      <w:r>
        <w:rPr>
          <w:b/>
          <w:bCs/>
        </w:rPr>
        <w:t>VOCs</w:t>
      </w:r>
      <w:r>
        <w:rPr>
          <w:rFonts w:hint="eastAsia"/>
          <w:b/>
          <w:bCs/>
        </w:rPr>
        <w:t>废气产生及排放情况</w:t>
      </w:r>
    </w:p>
    <w:tbl>
      <w:tblPr>
        <w:tblStyle w:val="23"/>
        <w:tblW w:w="9103"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20"/>
        <w:gridCol w:w="1820"/>
        <w:gridCol w:w="1821"/>
        <w:gridCol w:w="1821"/>
        <w:gridCol w:w="182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49" w:hRule="atLeast"/>
          <w:jc w:val="center"/>
        </w:trPr>
        <w:tc>
          <w:tcPr>
            <w:tcW w:w="1820" w:type="dxa"/>
            <w:vAlign w:val="center"/>
          </w:tcPr>
          <w:p>
            <w:pPr>
              <w:pStyle w:val="26"/>
              <w:rPr>
                <w:kern w:val="2"/>
                <w:szCs w:val="21"/>
                <w:lang w:val="en-US" w:eastAsia="zh-CN"/>
              </w:rPr>
            </w:pPr>
            <w:r>
              <w:rPr>
                <w:rFonts w:hint="eastAsia"/>
                <w:kern w:val="2"/>
                <w:szCs w:val="21"/>
                <w:lang w:val="en-US" w:eastAsia="zh-CN"/>
              </w:rPr>
              <w:t>污染物</w:t>
            </w:r>
          </w:p>
        </w:tc>
        <w:tc>
          <w:tcPr>
            <w:tcW w:w="1820" w:type="dxa"/>
            <w:tcBorders>
              <w:left w:val="single" w:color="auto" w:sz="4" w:space="0"/>
            </w:tcBorders>
            <w:vAlign w:val="center"/>
          </w:tcPr>
          <w:p>
            <w:pPr>
              <w:pStyle w:val="26"/>
              <w:rPr>
                <w:kern w:val="2"/>
                <w:szCs w:val="21"/>
                <w:lang w:val="en-US" w:eastAsia="zh-CN"/>
              </w:rPr>
            </w:pPr>
            <w:r>
              <w:rPr>
                <w:rFonts w:hint="eastAsia"/>
                <w:kern w:val="2"/>
                <w:szCs w:val="21"/>
                <w:lang w:val="en-US" w:eastAsia="zh-CN"/>
              </w:rPr>
              <w:t>产生量</w:t>
            </w:r>
            <w:r>
              <w:rPr>
                <w:kern w:val="2"/>
                <w:szCs w:val="21"/>
                <w:lang w:val="en-US" w:eastAsia="zh-CN"/>
              </w:rPr>
              <w:t>(t/a)</w:t>
            </w:r>
          </w:p>
        </w:tc>
        <w:tc>
          <w:tcPr>
            <w:tcW w:w="1821" w:type="dxa"/>
            <w:vAlign w:val="center"/>
          </w:tcPr>
          <w:p>
            <w:pPr>
              <w:pStyle w:val="26"/>
              <w:rPr>
                <w:kern w:val="2"/>
                <w:szCs w:val="21"/>
                <w:lang w:val="en-US" w:eastAsia="zh-CN"/>
              </w:rPr>
            </w:pPr>
            <w:r>
              <w:rPr>
                <w:rFonts w:hint="eastAsia"/>
                <w:kern w:val="2"/>
                <w:szCs w:val="21"/>
                <w:lang w:val="en-US" w:eastAsia="zh-CN"/>
              </w:rPr>
              <w:t>削减量</w:t>
            </w:r>
            <w:r>
              <w:rPr>
                <w:kern w:val="2"/>
                <w:szCs w:val="21"/>
                <w:lang w:val="en-US" w:eastAsia="zh-CN"/>
              </w:rPr>
              <w:t>(t/a)</w:t>
            </w:r>
          </w:p>
        </w:tc>
        <w:tc>
          <w:tcPr>
            <w:tcW w:w="1821" w:type="dxa"/>
            <w:tcBorders>
              <w:left w:val="single" w:color="auto" w:sz="4" w:space="0"/>
            </w:tcBorders>
            <w:vAlign w:val="center"/>
          </w:tcPr>
          <w:p>
            <w:pPr>
              <w:pStyle w:val="26"/>
              <w:rPr>
                <w:kern w:val="2"/>
                <w:szCs w:val="21"/>
                <w:lang w:val="en-US" w:eastAsia="zh-CN"/>
              </w:rPr>
            </w:pPr>
            <w:r>
              <w:rPr>
                <w:rFonts w:hint="eastAsia"/>
                <w:kern w:val="2"/>
                <w:szCs w:val="21"/>
                <w:lang w:val="en-US" w:eastAsia="zh-CN"/>
              </w:rPr>
              <w:t>排放量</w:t>
            </w:r>
            <w:r>
              <w:rPr>
                <w:kern w:val="2"/>
                <w:szCs w:val="21"/>
                <w:lang w:val="en-US" w:eastAsia="zh-CN"/>
              </w:rPr>
              <w:t>(t/a)</w:t>
            </w:r>
          </w:p>
        </w:tc>
        <w:tc>
          <w:tcPr>
            <w:tcW w:w="1821" w:type="dxa"/>
            <w:vAlign w:val="center"/>
          </w:tcPr>
          <w:p>
            <w:pPr>
              <w:pStyle w:val="26"/>
              <w:rPr>
                <w:kern w:val="2"/>
                <w:szCs w:val="21"/>
                <w:lang w:val="en-US" w:eastAsia="zh-CN"/>
              </w:rPr>
            </w:pPr>
            <w:r>
              <w:rPr>
                <w:rFonts w:hint="eastAsia"/>
                <w:kern w:val="2"/>
                <w:szCs w:val="21"/>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56" w:hRule="atLeast"/>
          <w:jc w:val="center"/>
        </w:trPr>
        <w:tc>
          <w:tcPr>
            <w:tcW w:w="1820" w:type="dxa"/>
            <w:vAlign w:val="center"/>
          </w:tcPr>
          <w:p>
            <w:pPr>
              <w:pStyle w:val="26"/>
              <w:rPr>
                <w:kern w:val="2"/>
                <w:szCs w:val="21"/>
                <w:lang w:val="en-US" w:eastAsia="zh-CN"/>
              </w:rPr>
            </w:pPr>
            <w:r>
              <w:rPr>
                <w:rFonts w:hint="eastAsia"/>
                <w:kern w:val="2"/>
                <w:szCs w:val="21"/>
                <w:lang w:val="en-US" w:eastAsia="zh-CN"/>
              </w:rPr>
              <w:t>有机废气</w:t>
            </w:r>
          </w:p>
        </w:tc>
        <w:tc>
          <w:tcPr>
            <w:tcW w:w="1820" w:type="dxa"/>
            <w:vAlign w:val="center"/>
          </w:tcPr>
          <w:p>
            <w:pPr>
              <w:pStyle w:val="26"/>
              <w:rPr>
                <w:kern w:val="2"/>
                <w:szCs w:val="21"/>
                <w:lang w:val="en-US" w:eastAsia="zh-CN"/>
              </w:rPr>
            </w:pPr>
            <w:r>
              <w:rPr>
                <w:kern w:val="2"/>
                <w:szCs w:val="21"/>
                <w:lang w:val="en-US" w:eastAsia="zh-CN"/>
              </w:rPr>
              <w:t>8.1</w:t>
            </w:r>
          </w:p>
        </w:tc>
        <w:tc>
          <w:tcPr>
            <w:tcW w:w="1821" w:type="dxa"/>
            <w:vAlign w:val="center"/>
          </w:tcPr>
          <w:p>
            <w:pPr>
              <w:pStyle w:val="26"/>
              <w:rPr>
                <w:kern w:val="2"/>
                <w:szCs w:val="21"/>
                <w:lang w:val="en-US" w:eastAsia="zh-CN"/>
              </w:rPr>
            </w:pPr>
            <w:r>
              <w:rPr>
                <w:kern w:val="2"/>
                <w:szCs w:val="21"/>
                <w:lang w:val="en-US" w:eastAsia="zh-CN"/>
              </w:rPr>
              <w:t>6.48</w:t>
            </w:r>
          </w:p>
        </w:tc>
        <w:tc>
          <w:tcPr>
            <w:tcW w:w="1821" w:type="dxa"/>
            <w:vAlign w:val="center"/>
          </w:tcPr>
          <w:p>
            <w:pPr>
              <w:pStyle w:val="26"/>
              <w:rPr>
                <w:kern w:val="2"/>
                <w:szCs w:val="21"/>
                <w:lang w:val="en-US" w:eastAsia="zh-CN"/>
              </w:rPr>
            </w:pPr>
            <w:r>
              <w:rPr>
                <w:kern w:val="2"/>
                <w:szCs w:val="21"/>
                <w:lang w:val="en-US" w:eastAsia="zh-CN"/>
              </w:rPr>
              <w:t>1.62</w:t>
            </w:r>
          </w:p>
        </w:tc>
        <w:tc>
          <w:tcPr>
            <w:tcW w:w="1821" w:type="dxa"/>
            <w:vAlign w:val="center"/>
          </w:tcPr>
          <w:p>
            <w:pPr>
              <w:pStyle w:val="26"/>
              <w:rPr>
                <w:kern w:val="2"/>
                <w:szCs w:val="21"/>
                <w:lang w:val="en-US" w:eastAsia="zh-CN"/>
              </w:rPr>
            </w:pPr>
            <w:r>
              <w:rPr>
                <w:rFonts w:hint="eastAsia"/>
                <w:kern w:val="2"/>
                <w:szCs w:val="21"/>
                <w:lang w:val="en-US" w:eastAsia="zh-CN"/>
              </w:rPr>
              <w:t>定型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49" w:hRule="atLeast"/>
          <w:jc w:val="center"/>
        </w:trPr>
        <w:tc>
          <w:tcPr>
            <w:tcW w:w="1820" w:type="dxa"/>
            <w:vAlign w:val="center"/>
          </w:tcPr>
          <w:p>
            <w:pPr>
              <w:pStyle w:val="26"/>
              <w:rPr>
                <w:kern w:val="2"/>
                <w:szCs w:val="21"/>
                <w:lang w:val="en-US" w:eastAsia="zh-CN"/>
              </w:rPr>
            </w:pPr>
            <w:r>
              <w:rPr>
                <w:rFonts w:hint="eastAsia"/>
                <w:kern w:val="2"/>
                <w:szCs w:val="21"/>
                <w:lang w:val="en-US" w:eastAsia="zh-CN"/>
              </w:rPr>
              <w:t>醋酸</w:t>
            </w:r>
          </w:p>
        </w:tc>
        <w:tc>
          <w:tcPr>
            <w:tcW w:w="1820" w:type="dxa"/>
            <w:vAlign w:val="center"/>
          </w:tcPr>
          <w:p>
            <w:pPr>
              <w:pStyle w:val="26"/>
              <w:rPr>
                <w:kern w:val="2"/>
                <w:szCs w:val="21"/>
                <w:lang w:val="en-US" w:eastAsia="zh-CN"/>
              </w:rPr>
            </w:pPr>
            <w:r>
              <w:rPr>
                <w:kern w:val="2"/>
                <w:szCs w:val="21"/>
                <w:lang w:val="en-US" w:eastAsia="zh-CN"/>
              </w:rPr>
              <w:t>0.35</w:t>
            </w:r>
          </w:p>
        </w:tc>
        <w:tc>
          <w:tcPr>
            <w:tcW w:w="1821" w:type="dxa"/>
            <w:vAlign w:val="center"/>
          </w:tcPr>
          <w:p>
            <w:pPr>
              <w:pStyle w:val="26"/>
              <w:rPr>
                <w:kern w:val="2"/>
                <w:szCs w:val="21"/>
                <w:lang w:val="en-US" w:eastAsia="zh-CN"/>
              </w:rPr>
            </w:pPr>
            <w:r>
              <w:rPr>
                <w:kern w:val="2"/>
                <w:szCs w:val="21"/>
                <w:lang w:val="en-US" w:eastAsia="zh-CN"/>
              </w:rPr>
              <w:t>0</w:t>
            </w:r>
          </w:p>
        </w:tc>
        <w:tc>
          <w:tcPr>
            <w:tcW w:w="1821" w:type="dxa"/>
            <w:vAlign w:val="center"/>
          </w:tcPr>
          <w:p>
            <w:pPr>
              <w:pStyle w:val="26"/>
              <w:rPr>
                <w:kern w:val="2"/>
                <w:szCs w:val="21"/>
                <w:lang w:val="en-US" w:eastAsia="zh-CN"/>
              </w:rPr>
            </w:pPr>
            <w:r>
              <w:rPr>
                <w:kern w:val="2"/>
                <w:szCs w:val="21"/>
                <w:lang w:val="en-US" w:eastAsia="zh-CN"/>
              </w:rPr>
              <w:t>0.35</w:t>
            </w:r>
          </w:p>
        </w:tc>
        <w:tc>
          <w:tcPr>
            <w:tcW w:w="1821" w:type="dxa"/>
            <w:vAlign w:val="center"/>
          </w:tcPr>
          <w:p>
            <w:pPr>
              <w:pStyle w:val="26"/>
              <w:rPr>
                <w:kern w:val="2"/>
                <w:szCs w:val="21"/>
                <w:lang w:val="en-US" w:eastAsia="zh-CN"/>
              </w:rPr>
            </w:pPr>
            <w:r>
              <w:rPr>
                <w:rFonts w:hint="eastAsia"/>
                <w:kern w:val="2"/>
                <w:szCs w:val="21"/>
                <w:lang w:val="en-US" w:eastAsia="zh-CN"/>
              </w:rPr>
              <w:t>染色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55" w:hRule="atLeast"/>
          <w:jc w:val="center"/>
        </w:trPr>
        <w:tc>
          <w:tcPr>
            <w:tcW w:w="1820" w:type="dxa"/>
            <w:vAlign w:val="center"/>
          </w:tcPr>
          <w:p>
            <w:pPr>
              <w:pStyle w:val="26"/>
              <w:rPr>
                <w:kern w:val="2"/>
                <w:szCs w:val="21"/>
                <w:lang w:val="en-US" w:eastAsia="zh-CN"/>
              </w:rPr>
            </w:pPr>
            <w:r>
              <w:rPr>
                <w:rFonts w:hint="eastAsia"/>
                <w:kern w:val="2"/>
                <w:szCs w:val="21"/>
                <w:lang w:val="en-US" w:eastAsia="zh-CN"/>
              </w:rPr>
              <w:t>合计</w:t>
            </w:r>
          </w:p>
        </w:tc>
        <w:tc>
          <w:tcPr>
            <w:tcW w:w="1820" w:type="dxa"/>
            <w:vAlign w:val="center"/>
          </w:tcPr>
          <w:p>
            <w:pPr>
              <w:pStyle w:val="26"/>
              <w:rPr>
                <w:kern w:val="2"/>
                <w:szCs w:val="21"/>
                <w:lang w:val="en-US" w:eastAsia="zh-CN"/>
              </w:rPr>
            </w:pPr>
            <w:r>
              <w:rPr>
                <w:kern w:val="2"/>
                <w:szCs w:val="21"/>
                <w:lang w:val="en-US" w:eastAsia="zh-CN"/>
              </w:rPr>
              <w:t>8.45</w:t>
            </w:r>
          </w:p>
        </w:tc>
        <w:tc>
          <w:tcPr>
            <w:tcW w:w="1821" w:type="dxa"/>
            <w:vAlign w:val="center"/>
          </w:tcPr>
          <w:p>
            <w:pPr>
              <w:pStyle w:val="26"/>
              <w:rPr>
                <w:kern w:val="2"/>
                <w:szCs w:val="21"/>
                <w:lang w:val="en-US" w:eastAsia="zh-CN"/>
              </w:rPr>
            </w:pPr>
            <w:r>
              <w:rPr>
                <w:kern w:val="2"/>
                <w:szCs w:val="21"/>
                <w:lang w:val="en-US" w:eastAsia="zh-CN"/>
              </w:rPr>
              <w:t>6.48</w:t>
            </w:r>
          </w:p>
        </w:tc>
        <w:tc>
          <w:tcPr>
            <w:tcW w:w="1821" w:type="dxa"/>
            <w:vAlign w:val="center"/>
          </w:tcPr>
          <w:p>
            <w:pPr>
              <w:pStyle w:val="26"/>
              <w:rPr>
                <w:kern w:val="2"/>
                <w:szCs w:val="21"/>
                <w:lang w:val="en-US" w:eastAsia="zh-CN"/>
              </w:rPr>
            </w:pPr>
            <w:r>
              <w:rPr>
                <w:kern w:val="2"/>
                <w:szCs w:val="21"/>
                <w:lang w:val="en-US" w:eastAsia="zh-CN"/>
              </w:rPr>
              <w:t>1.94</w:t>
            </w:r>
          </w:p>
        </w:tc>
        <w:tc>
          <w:tcPr>
            <w:tcW w:w="1821" w:type="dxa"/>
            <w:vAlign w:val="center"/>
          </w:tcPr>
          <w:p>
            <w:pPr>
              <w:pStyle w:val="26"/>
              <w:rPr>
                <w:kern w:val="2"/>
                <w:szCs w:val="21"/>
                <w:lang w:val="en-US" w:eastAsia="zh-CN"/>
              </w:rPr>
            </w:pPr>
          </w:p>
        </w:tc>
      </w:tr>
    </w:tbl>
    <w:p>
      <w:pPr>
        <w:ind w:firstLine="480"/>
        <w:rPr>
          <w:szCs w:val="20"/>
        </w:rPr>
      </w:pPr>
      <w:r>
        <w:rPr>
          <w:rFonts w:hint="eastAsia"/>
          <w:szCs w:val="20"/>
        </w:rPr>
        <w:t>2、纺纱粉尘</w:t>
      </w:r>
    </w:p>
    <w:p>
      <w:pPr>
        <w:ind w:firstLine="480"/>
        <w:rPr>
          <w:szCs w:val="20"/>
        </w:rPr>
      </w:pPr>
      <w:r>
        <w:rPr>
          <w:rFonts w:hint="eastAsia"/>
          <w:szCs w:val="20"/>
        </w:rPr>
        <w:t>本次技改后，纺纱车间未发生变化，其产生的粉尘量未发生变化，根据岳阳市衡润检测有限公司于</w:t>
      </w:r>
      <w:r>
        <w:rPr>
          <w:szCs w:val="20"/>
        </w:rPr>
        <w:t>2017</w:t>
      </w:r>
      <w:r>
        <w:rPr>
          <w:rFonts w:hint="eastAsia"/>
          <w:szCs w:val="20"/>
        </w:rPr>
        <w:t>年</w:t>
      </w:r>
      <w:r>
        <w:rPr>
          <w:szCs w:val="20"/>
        </w:rPr>
        <w:t>7</w:t>
      </w:r>
      <w:r>
        <w:rPr>
          <w:rFonts w:hint="eastAsia"/>
          <w:szCs w:val="20"/>
        </w:rPr>
        <w:t>月对德科厂区厂界的</w:t>
      </w:r>
      <w:r>
        <w:rPr>
          <w:szCs w:val="20"/>
        </w:rPr>
        <w:t>PM</w:t>
      </w:r>
      <w:r>
        <w:rPr>
          <w:szCs w:val="20"/>
          <w:vertAlign w:val="subscript"/>
        </w:rPr>
        <w:t>10</w:t>
      </w:r>
      <w:r>
        <w:rPr>
          <w:rFonts w:hint="eastAsia"/>
          <w:szCs w:val="20"/>
        </w:rPr>
        <w:t>进行现场检测的检测结果可知，厂界</w:t>
      </w:r>
      <w:r>
        <w:rPr>
          <w:szCs w:val="20"/>
        </w:rPr>
        <w:t>PM</w:t>
      </w:r>
      <w:r>
        <w:rPr>
          <w:szCs w:val="20"/>
          <w:vertAlign w:val="subscript"/>
        </w:rPr>
        <w:t>10</w:t>
      </w:r>
      <w:r>
        <w:rPr>
          <w:rFonts w:hint="eastAsia"/>
          <w:szCs w:val="20"/>
        </w:rPr>
        <w:t>浓度达到了《大气污染物综合排放标准》（</w:t>
      </w:r>
      <w:r>
        <w:rPr>
          <w:szCs w:val="20"/>
        </w:rPr>
        <w:t>GB16297-1996</w:t>
      </w:r>
      <w:r>
        <w:rPr>
          <w:rFonts w:hint="eastAsia"/>
          <w:szCs w:val="20"/>
        </w:rPr>
        <w:t>）表</w:t>
      </w:r>
      <w:r>
        <w:rPr>
          <w:szCs w:val="20"/>
        </w:rPr>
        <w:t>2</w:t>
      </w:r>
      <w:r>
        <w:rPr>
          <w:rFonts w:hint="eastAsia"/>
          <w:szCs w:val="20"/>
        </w:rPr>
        <w:t>中无组织排放浓度限值。</w:t>
      </w:r>
    </w:p>
    <w:p>
      <w:pPr>
        <w:ind w:firstLine="480"/>
        <w:rPr>
          <w:szCs w:val="20"/>
        </w:rPr>
      </w:pPr>
      <w:r>
        <w:rPr>
          <w:rFonts w:hint="eastAsia"/>
          <w:szCs w:val="20"/>
        </w:rPr>
        <w:t>3、食堂油烟废气</w:t>
      </w:r>
    </w:p>
    <w:p>
      <w:pPr>
        <w:ind w:firstLine="480"/>
      </w:pPr>
      <w:r>
        <w:rPr>
          <w:rFonts w:hint="eastAsia"/>
        </w:rPr>
        <w:t>技改项目实施后，企业共有职工2100人，均在厂区内就餐。人均每天油脂用量为</w:t>
      </w:r>
      <w:r>
        <w:t>7kg/2</w:t>
      </w:r>
      <w:r>
        <w:rPr>
          <w:rFonts w:hint="eastAsia"/>
        </w:rPr>
        <w:t>餐·</w:t>
      </w:r>
      <w:r>
        <w:t>100</w:t>
      </w:r>
      <w:r>
        <w:rPr>
          <w:rFonts w:hint="eastAsia"/>
        </w:rPr>
        <w:t>人，油烟产生量按油脂使用量的</w:t>
      </w:r>
      <w:r>
        <w:t>5%</w:t>
      </w:r>
      <w:r>
        <w:rPr>
          <w:rFonts w:hint="eastAsia"/>
        </w:rPr>
        <w:t>计，根据计算油烟的产生量为2.205</w:t>
      </w:r>
      <w:r>
        <w:t>t/a</w:t>
      </w:r>
      <w:r>
        <w:rPr>
          <w:rFonts w:hint="eastAsia"/>
        </w:rPr>
        <w:t>。厨房油烟排放高峰期一般在中午</w:t>
      </w:r>
      <w:r>
        <w:t>11:00-13:00</w:t>
      </w:r>
      <w:r>
        <w:rPr>
          <w:rFonts w:hint="eastAsia"/>
        </w:rPr>
        <w:t>、下午</w:t>
      </w:r>
      <w:r>
        <w:t>17:00-19:00</w:t>
      </w:r>
      <w:r>
        <w:rPr>
          <w:rFonts w:hint="eastAsia"/>
        </w:rPr>
        <w:t>。企业厨房油烟经油烟净化装置治理后由风机抽至屋顶排放，油烟净化设施的去除效率为</w:t>
      </w:r>
      <w:r>
        <w:t>80</w:t>
      </w:r>
      <w:r>
        <w:rPr>
          <w:rFonts w:hint="eastAsia"/>
        </w:rPr>
        <w:t>％，油烟排放量为</w:t>
      </w:r>
      <w:r>
        <w:t>0.</w:t>
      </w:r>
      <w:r>
        <w:rPr>
          <w:rFonts w:hint="eastAsia"/>
        </w:rPr>
        <w:t>441</w:t>
      </w:r>
      <w:r>
        <w:t>t/a</w:t>
      </w:r>
      <w:r>
        <w:rPr>
          <w:rFonts w:hint="eastAsia"/>
        </w:rPr>
        <w:t>。</w:t>
      </w:r>
    </w:p>
    <w:p>
      <w:pPr>
        <w:ind w:firstLine="480"/>
      </w:pPr>
      <w:r>
        <w:rPr>
          <w:rFonts w:hint="eastAsia"/>
        </w:rPr>
        <w:t>4、技改后废气产排情况汇总</w:t>
      </w:r>
    </w:p>
    <w:p>
      <w:pPr>
        <w:ind w:firstLine="480"/>
      </w:pPr>
      <w:r>
        <w:rPr>
          <w:rFonts w:hint="eastAsia"/>
        </w:rPr>
        <w:t>根据上述分析，技改后厂区废气产生和排放情况见表4.4-10。</w:t>
      </w:r>
    </w:p>
    <w:p>
      <w:pPr>
        <w:pStyle w:val="25"/>
        <w:rPr>
          <w:b/>
          <w:bCs/>
        </w:rPr>
      </w:pPr>
      <w:r>
        <w:rPr>
          <w:rFonts w:hint="eastAsia"/>
          <w:b/>
          <w:bCs/>
        </w:rPr>
        <w:t>表4.4-10  技改后废气产生及排放情况一览表       单位：t/a</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1383"/>
        <w:gridCol w:w="2070"/>
        <w:gridCol w:w="1990"/>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45" w:type="dxa"/>
            <w:gridSpan w:val="2"/>
            <w:vAlign w:val="center"/>
          </w:tcPr>
          <w:p>
            <w:pPr>
              <w:pStyle w:val="25"/>
              <w:rPr>
                <w:szCs w:val="21"/>
                <w:lang w:val="en-US" w:eastAsia="zh-CN"/>
              </w:rPr>
            </w:pPr>
            <w:r>
              <w:rPr>
                <w:rFonts w:hint="eastAsia"/>
                <w:szCs w:val="21"/>
                <w:lang w:val="en-US" w:eastAsia="zh-CN"/>
              </w:rPr>
              <w:t>废气名称</w:t>
            </w:r>
          </w:p>
        </w:tc>
        <w:tc>
          <w:tcPr>
            <w:tcW w:w="2070" w:type="dxa"/>
            <w:vAlign w:val="center"/>
          </w:tcPr>
          <w:p>
            <w:pPr>
              <w:pStyle w:val="25"/>
              <w:rPr>
                <w:szCs w:val="21"/>
                <w:lang w:val="en-US" w:eastAsia="zh-CN"/>
              </w:rPr>
            </w:pPr>
            <w:r>
              <w:rPr>
                <w:rFonts w:hint="eastAsia"/>
                <w:szCs w:val="21"/>
                <w:lang w:val="en-US" w:eastAsia="zh-CN"/>
              </w:rPr>
              <w:t>产生量</w:t>
            </w:r>
            <w:r>
              <w:rPr>
                <w:kern w:val="2"/>
                <w:szCs w:val="21"/>
                <w:lang w:val="en-US" w:eastAsia="zh-CN"/>
              </w:rPr>
              <w:t>(t/a)</w:t>
            </w:r>
          </w:p>
        </w:tc>
        <w:tc>
          <w:tcPr>
            <w:tcW w:w="1990" w:type="dxa"/>
            <w:vAlign w:val="center"/>
          </w:tcPr>
          <w:p>
            <w:pPr>
              <w:pStyle w:val="25"/>
              <w:rPr>
                <w:szCs w:val="21"/>
                <w:lang w:val="en-US" w:eastAsia="zh-CN"/>
              </w:rPr>
            </w:pPr>
            <w:r>
              <w:rPr>
                <w:rFonts w:hint="eastAsia"/>
                <w:szCs w:val="21"/>
                <w:lang w:val="en-US" w:eastAsia="zh-CN"/>
              </w:rPr>
              <w:t>削减量</w:t>
            </w:r>
            <w:r>
              <w:rPr>
                <w:kern w:val="2"/>
                <w:szCs w:val="21"/>
                <w:lang w:val="en-US" w:eastAsia="zh-CN"/>
              </w:rPr>
              <w:t>(t/a)</w:t>
            </w:r>
          </w:p>
        </w:tc>
        <w:tc>
          <w:tcPr>
            <w:tcW w:w="2649" w:type="dxa"/>
            <w:vAlign w:val="center"/>
          </w:tcPr>
          <w:p>
            <w:pPr>
              <w:pStyle w:val="25"/>
              <w:rPr>
                <w:szCs w:val="21"/>
                <w:lang w:val="en-US" w:eastAsia="zh-CN"/>
              </w:rPr>
            </w:pPr>
            <w:r>
              <w:rPr>
                <w:rFonts w:hint="eastAsia"/>
                <w:szCs w:val="21"/>
                <w:lang w:val="en-US" w:eastAsia="zh-CN"/>
              </w:rPr>
              <w:t>排放量</w:t>
            </w:r>
            <w:r>
              <w:rPr>
                <w:kern w:val="2"/>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2" w:type="dxa"/>
            <w:vMerge w:val="restart"/>
            <w:vAlign w:val="center"/>
          </w:tcPr>
          <w:p>
            <w:pPr>
              <w:pStyle w:val="25"/>
              <w:rPr>
                <w:szCs w:val="21"/>
                <w:lang w:val="en-US" w:eastAsia="zh-CN"/>
              </w:rPr>
            </w:pPr>
            <w:r>
              <w:rPr>
                <w:rFonts w:hint="eastAsia"/>
                <w:szCs w:val="21"/>
                <w:lang w:val="en-US" w:eastAsia="zh-CN"/>
              </w:rPr>
              <w:t>锅炉废气</w:t>
            </w:r>
          </w:p>
        </w:tc>
        <w:tc>
          <w:tcPr>
            <w:tcW w:w="1383" w:type="dxa"/>
            <w:vAlign w:val="center"/>
          </w:tcPr>
          <w:p>
            <w:pPr>
              <w:pStyle w:val="25"/>
              <w:rPr>
                <w:szCs w:val="21"/>
                <w:lang w:val="en-US" w:eastAsia="zh-CN"/>
              </w:rPr>
            </w:pPr>
            <w:r>
              <w:rPr>
                <w:rFonts w:hint="eastAsia"/>
                <w:szCs w:val="21"/>
                <w:lang w:val="en-US" w:eastAsia="zh-CN"/>
              </w:rPr>
              <w:t>颗粒物</w:t>
            </w:r>
          </w:p>
        </w:tc>
        <w:tc>
          <w:tcPr>
            <w:tcW w:w="2070" w:type="dxa"/>
            <w:vAlign w:val="center"/>
          </w:tcPr>
          <w:p>
            <w:pPr>
              <w:pStyle w:val="25"/>
              <w:rPr>
                <w:szCs w:val="21"/>
                <w:lang w:val="en-US" w:eastAsia="zh-CN"/>
              </w:rPr>
            </w:pPr>
            <w:r>
              <w:rPr>
                <w:kern w:val="2"/>
                <w:szCs w:val="21"/>
                <w:lang w:val="en-US" w:eastAsia="zh-CN"/>
              </w:rPr>
              <w:t>1.1</w:t>
            </w:r>
          </w:p>
        </w:tc>
        <w:tc>
          <w:tcPr>
            <w:tcW w:w="1990" w:type="dxa"/>
            <w:vAlign w:val="center"/>
          </w:tcPr>
          <w:p>
            <w:pPr>
              <w:pStyle w:val="25"/>
              <w:rPr>
                <w:szCs w:val="21"/>
                <w:lang w:val="en-US" w:eastAsia="zh-CN"/>
              </w:rPr>
            </w:pPr>
            <w:r>
              <w:rPr>
                <w:rFonts w:hint="eastAsia"/>
                <w:szCs w:val="21"/>
                <w:lang w:val="en-US" w:eastAsia="zh-CN"/>
              </w:rPr>
              <w:t>0.957</w:t>
            </w:r>
          </w:p>
        </w:tc>
        <w:tc>
          <w:tcPr>
            <w:tcW w:w="2649" w:type="dxa"/>
            <w:vAlign w:val="center"/>
          </w:tcPr>
          <w:p>
            <w:pPr>
              <w:pStyle w:val="25"/>
              <w:rPr>
                <w:szCs w:val="21"/>
                <w:lang w:val="en-US" w:eastAsia="zh-CN"/>
              </w:rPr>
            </w:pPr>
            <w:r>
              <w:rPr>
                <w:rFonts w:hint="eastAsia"/>
                <w:szCs w:val="21"/>
                <w:lang w:val="en-US" w:eastAsia="zh-CN"/>
              </w:rPr>
              <w:t>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2" w:type="dxa"/>
            <w:vMerge w:val="continue"/>
            <w:vAlign w:val="center"/>
          </w:tcPr>
          <w:p>
            <w:pPr>
              <w:pStyle w:val="25"/>
              <w:rPr>
                <w:szCs w:val="21"/>
                <w:lang w:val="en-US" w:eastAsia="zh-CN"/>
              </w:rPr>
            </w:pPr>
          </w:p>
        </w:tc>
        <w:tc>
          <w:tcPr>
            <w:tcW w:w="1383" w:type="dxa"/>
            <w:vAlign w:val="center"/>
          </w:tcPr>
          <w:p>
            <w:pPr>
              <w:pStyle w:val="25"/>
              <w:rPr>
                <w:szCs w:val="21"/>
                <w:lang w:val="en-US" w:eastAsia="zh-CN"/>
              </w:rPr>
            </w:pPr>
            <w:r>
              <w:rPr>
                <w:rFonts w:hint="eastAsia"/>
                <w:szCs w:val="21"/>
                <w:lang w:val="en-US" w:eastAsia="zh-CN"/>
              </w:rPr>
              <w:t>二氧化硫</w:t>
            </w:r>
          </w:p>
        </w:tc>
        <w:tc>
          <w:tcPr>
            <w:tcW w:w="2070" w:type="dxa"/>
            <w:vAlign w:val="center"/>
          </w:tcPr>
          <w:p>
            <w:pPr>
              <w:pStyle w:val="25"/>
              <w:rPr>
                <w:szCs w:val="21"/>
                <w:lang w:val="en-US" w:eastAsia="zh-CN"/>
              </w:rPr>
            </w:pPr>
            <w:r>
              <w:rPr>
                <w:kern w:val="2"/>
                <w:szCs w:val="21"/>
                <w:lang w:val="en-US" w:eastAsia="zh-CN"/>
              </w:rPr>
              <w:t>2.992</w:t>
            </w:r>
          </w:p>
        </w:tc>
        <w:tc>
          <w:tcPr>
            <w:tcW w:w="1990" w:type="dxa"/>
            <w:vAlign w:val="center"/>
          </w:tcPr>
          <w:p>
            <w:pPr>
              <w:pStyle w:val="25"/>
              <w:rPr>
                <w:szCs w:val="21"/>
                <w:lang w:val="en-US" w:eastAsia="zh-CN"/>
              </w:rPr>
            </w:pPr>
            <w:r>
              <w:rPr>
                <w:rFonts w:hint="eastAsia"/>
                <w:szCs w:val="21"/>
                <w:lang w:val="en-US" w:eastAsia="zh-CN"/>
              </w:rPr>
              <w:t>0</w:t>
            </w:r>
          </w:p>
        </w:tc>
        <w:tc>
          <w:tcPr>
            <w:tcW w:w="2649" w:type="dxa"/>
            <w:vAlign w:val="center"/>
          </w:tcPr>
          <w:p>
            <w:pPr>
              <w:pStyle w:val="25"/>
              <w:rPr>
                <w:szCs w:val="21"/>
                <w:lang w:val="en-US" w:eastAsia="zh-CN"/>
              </w:rPr>
            </w:pPr>
            <w:r>
              <w:rPr>
                <w:kern w:val="2"/>
                <w:szCs w:val="21"/>
                <w:lang w:val="en-US" w:eastAsia="zh-CN"/>
              </w:rPr>
              <w:t>2.992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2" w:type="dxa"/>
            <w:vMerge w:val="continue"/>
            <w:vAlign w:val="center"/>
          </w:tcPr>
          <w:p>
            <w:pPr>
              <w:pStyle w:val="25"/>
              <w:rPr>
                <w:szCs w:val="21"/>
                <w:lang w:val="en-US" w:eastAsia="zh-CN"/>
              </w:rPr>
            </w:pPr>
          </w:p>
        </w:tc>
        <w:tc>
          <w:tcPr>
            <w:tcW w:w="1383" w:type="dxa"/>
            <w:vAlign w:val="center"/>
          </w:tcPr>
          <w:p>
            <w:pPr>
              <w:pStyle w:val="25"/>
              <w:rPr>
                <w:szCs w:val="21"/>
                <w:lang w:val="en-US" w:eastAsia="zh-CN"/>
              </w:rPr>
            </w:pPr>
            <w:r>
              <w:rPr>
                <w:rFonts w:hint="eastAsia"/>
                <w:szCs w:val="21"/>
                <w:lang w:val="en-US" w:eastAsia="zh-CN"/>
              </w:rPr>
              <w:t>氮氧化物</w:t>
            </w:r>
          </w:p>
        </w:tc>
        <w:tc>
          <w:tcPr>
            <w:tcW w:w="2070" w:type="dxa"/>
            <w:vAlign w:val="center"/>
          </w:tcPr>
          <w:p>
            <w:pPr>
              <w:pStyle w:val="25"/>
              <w:rPr>
                <w:szCs w:val="21"/>
                <w:lang w:val="en-US" w:eastAsia="zh-CN"/>
              </w:rPr>
            </w:pPr>
            <w:r>
              <w:rPr>
                <w:rFonts w:hint="eastAsia"/>
                <w:szCs w:val="21"/>
                <w:lang w:val="en-US" w:eastAsia="zh-CN"/>
              </w:rPr>
              <w:t>2.244</w:t>
            </w:r>
          </w:p>
        </w:tc>
        <w:tc>
          <w:tcPr>
            <w:tcW w:w="1990" w:type="dxa"/>
            <w:vAlign w:val="center"/>
          </w:tcPr>
          <w:p>
            <w:pPr>
              <w:pStyle w:val="25"/>
              <w:rPr>
                <w:szCs w:val="21"/>
                <w:lang w:val="en-US" w:eastAsia="zh-CN"/>
              </w:rPr>
            </w:pPr>
            <w:r>
              <w:rPr>
                <w:rFonts w:hint="eastAsia"/>
                <w:szCs w:val="21"/>
                <w:lang w:val="en-US" w:eastAsia="zh-CN"/>
              </w:rPr>
              <w:t>0</w:t>
            </w:r>
          </w:p>
        </w:tc>
        <w:tc>
          <w:tcPr>
            <w:tcW w:w="2649" w:type="dxa"/>
            <w:vAlign w:val="center"/>
          </w:tcPr>
          <w:p>
            <w:pPr>
              <w:pStyle w:val="25"/>
              <w:rPr>
                <w:szCs w:val="21"/>
                <w:lang w:val="en-US" w:eastAsia="zh-CN"/>
              </w:rPr>
            </w:pPr>
            <w:r>
              <w:rPr>
                <w:rFonts w:hint="eastAsia"/>
                <w:szCs w:val="21"/>
                <w:lang w:val="en-US" w:eastAsia="zh-CN"/>
              </w:rPr>
              <w:t>2.244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2" w:type="dxa"/>
            <w:vMerge w:val="restart"/>
            <w:vAlign w:val="center"/>
          </w:tcPr>
          <w:p>
            <w:pPr>
              <w:pStyle w:val="25"/>
              <w:rPr>
                <w:szCs w:val="21"/>
                <w:lang w:val="en-US" w:eastAsia="zh-CN"/>
              </w:rPr>
            </w:pPr>
            <w:r>
              <w:rPr>
                <w:rFonts w:hint="eastAsia"/>
                <w:szCs w:val="21"/>
                <w:lang w:val="en-US" w:eastAsia="zh-CN"/>
              </w:rPr>
              <w:t>定型废气</w:t>
            </w:r>
          </w:p>
        </w:tc>
        <w:tc>
          <w:tcPr>
            <w:tcW w:w="1383" w:type="dxa"/>
            <w:vAlign w:val="center"/>
          </w:tcPr>
          <w:p>
            <w:pPr>
              <w:pStyle w:val="25"/>
              <w:rPr>
                <w:szCs w:val="21"/>
                <w:lang w:val="en-US" w:eastAsia="zh-CN"/>
              </w:rPr>
            </w:pPr>
            <w:r>
              <w:rPr>
                <w:rFonts w:hint="eastAsia"/>
                <w:szCs w:val="21"/>
                <w:lang w:val="en-US" w:eastAsia="zh-CN"/>
              </w:rPr>
              <w:t>颗粒物</w:t>
            </w:r>
          </w:p>
        </w:tc>
        <w:tc>
          <w:tcPr>
            <w:tcW w:w="2070" w:type="dxa"/>
            <w:vAlign w:val="center"/>
          </w:tcPr>
          <w:p>
            <w:pPr>
              <w:pStyle w:val="25"/>
              <w:rPr>
                <w:szCs w:val="21"/>
                <w:lang w:val="en-US" w:eastAsia="zh-CN"/>
              </w:rPr>
            </w:pPr>
            <w:r>
              <w:rPr>
                <w:rFonts w:hint="eastAsia"/>
                <w:szCs w:val="21"/>
                <w:lang w:val="en-US" w:eastAsia="zh-CN"/>
              </w:rPr>
              <w:t>10.8</w:t>
            </w:r>
          </w:p>
        </w:tc>
        <w:tc>
          <w:tcPr>
            <w:tcW w:w="1990" w:type="dxa"/>
            <w:vAlign w:val="center"/>
          </w:tcPr>
          <w:p>
            <w:pPr>
              <w:pStyle w:val="25"/>
              <w:rPr>
                <w:szCs w:val="21"/>
                <w:lang w:val="en-US" w:eastAsia="zh-CN"/>
              </w:rPr>
            </w:pPr>
            <w:r>
              <w:rPr>
                <w:rFonts w:hint="eastAsia"/>
                <w:szCs w:val="21"/>
                <w:lang w:val="en-US" w:eastAsia="zh-CN"/>
              </w:rPr>
              <w:t>9.18</w:t>
            </w:r>
          </w:p>
        </w:tc>
        <w:tc>
          <w:tcPr>
            <w:tcW w:w="2649" w:type="dxa"/>
            <w:vAlign w:val="center"/>
          </w:tcPr>
          <w:p>
            <w:pPr>
              <w:pStyle w:val="25"/>
              <w:rPr>
                <w:szCs w:val="21"/>
                <w:lang w:val="en-US" w:eastAsia="zh-CN"/>
              </w:rPr>
            </w:pPr>
            <w:r>
              <w:rPr>
                <w:rFonts w:hint="eastAsia"/>
                <w:szCs w:val="21"/>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2" w:type="dxa"/>
            <w:vMerge w:val="continue"/>
            <w:vAlign w:val="center"/>
          </w:tcPr>
          <w:p>
            <w:pPr>
              <w:pStyle w:val="25"/>
              <w:rPr>
                <w:szCs w:val="21"/>
                <w:lang w:val="en-US" w:eastAsia="zh-CN"/>
              </w:rPr>
            </w:pPr>
          </w:p>
        </w:tc>
        <w:tc>
          <w:tcPr>
            <w:tcW w:w="1383" w:type="dxa"/>
            <w:vAlign w:val="center"/>
          </w:tcPr>
          <w:p>
            <w:pPr>
              <w:pStyle w:val="25"/>
              <w:rPr>
                <w:szCs w:val="21"/>
                <w:lang w:val="en-US" w:eastAsia="zh-CN"/>
              </w:rPr>
            </w:pPr>
            <w:r>
              <w:rPr>
                <w:rFonts w:hint="eastAsia"/>
                <w:szCs w:val="21"/>
                <w:lang w:val="en-US" w:eastAsia="zh-CN"/>
              </w:rPr>
              <w:t>VOCs</w:t>
            </w:r>
          </w:p>
        </w:tc>
        <w:tc>
          <w:tcPr>
            <w:tcW w:w="2070" w:type="dxa"/>
            <w:vAlign w:val="center"/>
          </w:tcPr>
          <w:p>
            <w:pPr>
              <w:pStyle w:val="25"/>
              <w:rPr>
                <w:szCs w:val="21"/>
                <w:lang w:val="en-US" w:eastAsia="zh-CN"/>
              </w:rPr>
            </w:pPr>
            <w:r>
              <w:rPr>
                <w:rFonts w:hint="eastAsia"/>
                <w:szCs w:val="21"/>
                <w:lang w:val="en-US" w:eastAsia="zh-CN"/>
              </w:rPr>
              <w:t>8.1</w:t>
            </w:r>
          </w:p>
        </w:tc>
        <w:tc>
          <w:tcPr>
            <w:tcW w:w="1990" w:type="dxa"/>
            <w:vAlign w:val="center"/>
          </w:tcPr>
          <w:p>
            <w:pPr>
              <w:pStyle w:val="25"/>
              <w:rPr>
                <w:szCs w:val="21"/>
                <w:lang w:val="en-US" w:eastAsia="zh-CN"/>
              </w:rPr>
            </w:pPr>
            <w:r>
              <w:rPr>
                <w:rFonts w:hint="eastAsia"/>
                <w:szCs w:val="21"/>
                <w:lang w:val="en-US" w:eastAsia="zh-CN"/>
              </w:rPr>
              <w:t>6.48</w:t>
            </w:r>
          </w:p>
        </w:tc>
        <w:tc>
          <w:tcPr>
            <w:tcW w:w="2649" w:type="dxa"/>
            <w:vAlign w:val="center"/>
          </w:tcPr>
          <w:p>
            <w:pPr>
              <w:pStyle w:val="25"/>
              <w:rPr>
                <w:szCs w:val="21"/>
                <w:lang w:val="en-US" w:eastAsia="zh-CN"/>
              </w:rPr>
            </w:pPr>
            <w:r>
              <w:rPr>
                <w:rFonts w:hint="eastAsia"/>
                <w:szCs w:val="21"/>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2" w:type="dxa"/>
            <w:vAlign w:val="center"/>
          </w:tcPr>
          <w:p>
            <w:pPr>
              <w:pStyle w:val="25"/>
              <w:rPr>
                <w:szCs w:val="21"/>
                <w:lang w:val="en-US" w:eastAsia="zh-CN"/>
              </w:rPr>
            </w:pPr>
            <w:r>
              <w:rPr>
                <w:rFonts w:hint="eastAsia"/>
                <w:szCs w:val="21"/>
                <w:lang w:val="en-US" w:eastAsia="zh-CN"/>
              </w:rPr>
              <w:t>导热油废气</w:t>
            </w:r>
          </w:p>
        </w:tc>
        <w:tc>
          <w:tcPr>
            <w:tcW w:w="1383" w:type="dxa"/>
            <w:vAlign w:val="center"/>
          </w:tcPr>
          <w:p>
            <w:pPr>
              <w:pStyle w:val="25"/>
              <w:rPr>
                <w:szCs w:val="21"/>
                <w:lang w:val="en-US" w:eastAsia="zh-CN"/>
              </w:rPr>
            </w:pPr>
            <w:r>
              <w:rPr>
                <w:rFonts w:hint="eastAsia"/>
                <w:szCs w:val="21"/>
                <w:lang w:val="en-US" w:eastAsia="zh-CN"/>
              </w:rPr>
              <w:t>非甲烷总烃</w:t>
            </w:r>
          </w:p>
        </w:tc>
        <w:tc>
          <w:tcPr>
            <w:tcW w:w="2070" w:type="dxa"/>
            <w:vAlign w:val="center"/>
          </w:tcPr>
          <w:p>
            <w:pPr>
              <w:pStyle w:val="26"/>
              <w:rPr>
                <w:szCs w:val="21"/>
                <w:lang w:val="en-US" w:eastAsia="zh-CN"/>
              </w:rPr>
            </w:pPr>
            <w:r>
              <w:rPr>
                <w:rFonts w:hint="eastAsia"/>
                <w:kern w:val="2"/>
                <w:szCs w:val="21"/>
                <w:lang w:val="en-US" w:eastAsia="zh-CN"/>
              </w:rPr>
              <w:t>少量</w:t>
            </w:r>
          </w:p>
        </w:tc>
        <w:tc>
          <w:tcPr>
            <w:tcW w:w="1990" w:type="dxa"/>
            <w:vAlign w:val="center"/>
          </w:tcPr>
          <w:p>
            <w:pPr>
              <w:pStyle w:val="26"/>
              <w:rPr>
                <w:szCs w:val="21"/>
                <w:lang w:val="en-US" w:eastAsia="zh-CN"/>
              </w:rPr>
            </w:pPr>
            <w:r>
              <w:rPr>
                <w:rFonts w:hint="eastAsia"/>
                <w:szCs w:val="21"/>
                <w:lang w:val="en-US" w:eastAsia="zh-CN"/>
              </w:rPr>
              <w:t>/</w:t>
            </w:r>
          </w:p>
        </w:tc>
        <w:tc>
          <w:tcPr>
            <w:tcW w:w="2649" w:type="dxa"/>
            <w:vAlign w:val="center"/>
          </w:tcPr>
          <w:p>
            <w:pPr>
              <w:pStyle w:val="25"/>
              <w:rPr>
                <w:szCs w:val="21"/>
                <w:lang w:val="en-US" w:eastAsia="zh-CN"/>
              </w:rPr>
            </w:pPr>
            <w:r>
              <w:rPr>
                <w:rFonts w:hint="eastAsia"/>
                <w:kern w:val="2"/>
                <w:szCs w:val="21"/>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2" w:type="dxa"/>
            <w:vAlign w:val="center"/>
          </w:tcPr>
          <w:p>
            <w:pPr>
              <w:pStyle w:val="25"/>
              <w:rPr>
                <w:szCs w:val="21"/>
                <w:lang w:val="en-US" w:eastAsia="zh-CN"/>
              </w:rPr>
            </w:pPr>
            <w:r>
              <w:rPr>
                <w:rFonts w:hint="eastAsia"/>
                <w:szCs w:val="21"/>
                <w:lang w:val="en-US" w:eastAsia="zh-CN"/>
              </w:rPr>
              <w:t>醋酸废气</w:t>
            </w:r>
          </w:p>
        </w:tc>
        <w:tc>
          <w:tcPr>
            <w:tcW w:w="1383" w:type="dxa"/>
            <w:vAlign w:val="center"/>
          </w:tcPr>
          <w:p>
            <w:pPr>
              <w:pStyle w:val="25"/>
              <w:rPr>
                <w:szCs w:val="21"/>
                <w:lang w:val="en-US" w:eastAsia="zh-CN"/>
              </w:rPr>
            </w:pPr>
            <w:r>
              <w:rPr>
                <w:rFonts w:hint="eastAsia"/>
                <w:szCs w:val="21"/>
                <w:lang w:val="en-US" w:eastAsia="zh-CN"/>
              </w:rPr>
              <w:t>VOCs</w:t>
            </w:r>
          </w:p>
        </w:tc>
        <w:tc>
          <w:tcPr>
            <w:tcW w:w="2070" w:type="dxa"/>
            <w:vAlign w:val="center"/>
          </w:tcPr>
          <w:p>
            <w:pPr>
              <w:pStyle w:val="25"/>
              <w:rPr>
                <w:szCs w:val="21"/>
                <w:lang w:val="en-US" w:eastAsia="zh-CN"/>
              </w:rPr>
            </w:pPr>
            <w:r>
              <w:rPr>
                <w:rFonts w:hint="eastAsia"/>
                <w:szCs w:val="21"/>
                <w:lang w:val="en-US" w:eastAsia="zh-CN"/>
              </w:rPr>
              <w:t>0.035</w:t>
            </w:r>
          </w:p>
        </w:tc>
        <w:tc>
          <w:tcPr>
            <w:tcW w:w="1990" w:type="dxa"/>
            <w:vAlign w:val="center"/>
          </w:tcPr>
          <w:p>
            <w:pPr>
              <w:pStyle w:val="25"/>
              <w:rPr>
                <w:szCs w:val="21"/>
                <w:lang w:val="en-US" w:eastAsia="zh-CN"/>
              </w:rPr>
            </w:pPr>
            <w:r>
              <w:rPr>
                <w:rFonts w:hint="eastAsia"/>
                <w:szCs w:val="21"/>
                <w:lang w:val="en-US" w:eastAsia="zh-CN"/>
              </w:rPr>
              <w:t>0</w:t>
            </w:r>
          </w:p>
        </w:tc>
        <w:tc>
          <w:tcPr>
            <w:tcW w:w="2649" w:type="dxa"/>
            <w:vAlign w:val="center"/>
          </w:tcPr>
          <w:p>
            <w:pPr>
              <w:pStyle w:val="25"/>
              <w:rPr>
                <w:szCs w:val="21"/>
                <w:lang w:val="en-US" w:eastAsia="zh-CN"/>
              </w:rPr>
            </w:pPr>
            <w:r>
              <w:rPr>
                <w:rFonts w:hint="eastAsia"/>
                <w:szCs w:val="21"/>
                <w:lang w:val="en-US" w:eastAsia="zh-CN"/>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2" w:type="dxa"/>
            <w:vAlign w:val="center"/>
          </w:tcPr>
          <w:p>
            <w:pPr>
              <w:pStyle w:val="25"/>
              <w:rPr>
                <w:szCs w:val="21"/>
                <w:lang w:val="en-US" w:eastAsia="zh-CN"/>
              </w:rPr>
            </w:pPr>
            <w:r>
              <w:rPr>
                <w:rFonts w:hint="eastAsia"/>
                <w:szCs w:val="21"/>
                <w:lang w:val="en-US" w:eastAsia="zh-CN"/>
              </w:rPr>
              <w:t>污水处理站臭气</w:t>
            </w:r>
          </w:p>
        </w:tc>
        <w:tc>
          <w:tcPr>
            <w:tcW w:w="1383" w:type="dxa"/>
            <w:vAlign w:val="center"/>
          </w:tcPr>
          <w:p>
            <w:pPr>
              <w:pStyle w:val="25"/>
              <w:rPr>
                <w:szCs w:val="21"/>
                <w:lang w:val="en-US" w:eastAsia="zh-CN"/>
              </w:rPr>
            </w:pPr>
            <w:r>
              <w:rPr>
                <w:rFonts w:hint="eastAsia"/>
                <w:szCs w:val="21"/>
                <w:lang w:val="en-US" w:eastAsia="zh-CN"/>
              </w:rPr>
              <w:t>氨、硫化氢</w:t>
            </w:r>
          </w:p>
        </w:tc>
        <w:tc>
          <w:tcPr>
            <w:tcW w:w="2070" w:type="dxa"/>
            <w:vAlign w:val="center"/>
          </w:tcPr>
          <w:p>
            <w:pPr>
              <w:pStyle w:val="26"/>
              <w:rPr>
                <w:szCs w:val="21"/>
                <w:lang w:val="en-US" w:eastAsia="zh-CN"/>
              </w:rPr>
            </w:pPr>
            <w:r>
              <w:rPr>
                <w:rFonts w:hint="eastAsia"/>
                <w:kern w:val="2"/>
                <w:szCs w:val="21"/>
                <w:lang w:val="en-US" w:eastAsia="zh-CN"/>
              </w:rPr>
              <w:t>少量</w:t>
            </w:r>
          </w:p>
        </w:tc>
        <w:tc>
          <w:tcPr>
            <w:tcW w:w="1990" w:type="dxa"/>
            <w:vAlign w:val="center"/>
          </w:tcPr>
          <w:p>
            <w:pPr>
              <w:pStyle w:val="26"/>
              <w:rPr>
                <w:szCs w:val="21"/>
                <w:lang w:val="en-US" w:eastAsia="zh-CN"/>
              </w:rPr>
            </w:pPr>
            <w:r>
              <w:rPr>
                <w:rFonts w:hint="eastAsia"/>
                <w:szCs w:val="21"/>
                <w:lang w:val="en-US" w:eastAsia="zh-CN"/>
              </w:rPr>
              <w:t>/</w:t>
            </w:r>
          </w:p>
        </w:tc>
        <w:tc>
          <w:tcPr>
            <w:tcW w:w="2649" w:type="dxa"/>
            <w:vAlign w:val="center"/>
          </w:tcPr>
          <w:p>
            <w:pPr>
              <w:pStyle w:val="25"/>
              <w:rPr>
                <w:szCs w:val="21"/>
                <w:lang w:val="en-US" w:eastAsia="zh-CN"/>
              </w:rPr>
            </w:pPr>
            <w:r>
              <w:rPr>
                <w:rFonts w:hint="eastAsia"/>
                <w:kern w:val="2"/>
                <w:szCs w:val="21"/>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2" w:type="dxa"/>
            <w:vAlign w:val="center"/>
          </w:tcPr>
          <w:p>
            <w:pPr>
              <w:pStyle w:val="25"/>
              <w:rPr>
                <w:szCs w:val="21"/>
                <w:lang w:val="en-US" w:eastAsia="zh-CN"/>
              </w:rPr>
            </w:pPr>
            <w:r>
              <w:rPr>
                <w:rFonts w:hint="eastAsia"/>
                <w:szCs w:val="21"/>
                <w:lang w:val="en-US" w:eastAsia="zh-CN"/>
              </w:rPr>
              <w:t>纺纱粉尘</w:t>
            </w:r>
          </w:p>
        </w:tc>
        <w:tc>
          <w:tcPr>
            <w:tcW w:w="1383" w:type="dxa"/>
            <w:vAlign w:val="center"/>
          </w:tcPr>
          <w:p>
            <w:pPr>
              <w:pStyle w:val="25"/>
              <w:rPr>
                <w:szCs w:val="21"/>
                <w:lang w:val="en-US" w:eastAsia="zh-CN"/>
              </w:rPr>
            </w:pPr>
            <w:r>
              <w:rPr>
                <w:rFonts w:hint="eastAsia"/>
                <w:szCs w:val="21"/>
                <w:lang w:val="en-US" w:eastAsia="zh-CN"/>
              </w:rPr>
              <w:t>颗粒物</w:t>
            </w:r>
          </w:p>
        </w:tc>
        <w:tc>
          <w:tcPr>
            <w:tcW w:w="2070" w:type="dxa"/>
            <w:vAlign w:val="center"/>
          </w:tcPr>
          <w:p>
            <w:pPr>
              <w:pStyle w:val="26"/>
              <w:rPr>
                <w:szCs w:val="21"/>
                <w:lang w:val="en-US" w:eastAsia="zh-CN"/>
              </w:rPr>
            </w:pPr>
            <w:r>
              <w:rPr>
                <w:rFonts w:hint="eastAsia"/>
                <w:kern w:val="2"/>
                <w:szCs w:val="21"/>
                <w:lang w:val="en-US" w:eastAsia="zh-CN"/>
              </w:rPr>
              <w:t>少量</w:t>
            </w:r>
          </w:p>
        </w:tc>
        <w:tc>
          <w:tcPr>
            <w:tcW w:w="1990" w:type="dxa"/>
            <w:vAlign w:val="center"/>
          </w:tcPr>
          <w:p>
            <w:pPr>
              <w:pStyle w:val="26"/>
              <w:rPr>
                <w:szCs w:val="21"/>
                <w:lang w:val="en-US" w:eastAsia="zh-CN"/>
              </w:rPr>
            </w:pPr>
            <w:r>
              <w:rPr>
                <w:rFonts w:hint="eastAsia"/>
                <w:szCs w:val="21"/>
                <w:lang w:val="en-US" w:eastAsia="zh-CN"/>
              </w:rPr>
              <w:t>/</w:t>
            </w:r>
          </w:p>
        </w:tc>
        <w:tc>
          <w:tcPr>
            <w:tcW w:w="2649" w:type="dxa"/>
            <w:vAlign w:val="center"/>
          </w:tcPr>
          <w:p>
            <w:pPr>
              <w:pStyle w:val="25"/>
              <w:rPr>
                <w:szCs w:val="21"/>
                <w:lang w:val="en-US" w:eastAsia="zh-CN"/>
              </w:rPr>
            </w:pPr>
            <w:r>
              <w:rPr>
                <w:rFonts w:hint="eastAsia"/>
                <w:kern w:val="2"/>
                <w:szCs w:val="21"/>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2" w:type="dxa"/>
            <w:vAlign w:val="center"/>
          </w:tcPr>
          <w:p>
            <w:pPr>
              <w:pStyle w:val="25"/>
              <w:rPr>
                <w:szCs w:val="21"/>
                <w:lang w:val="en-US" w:eastAsia="zh-CN"/>
              </w:rPr>
            </w:pPr>
            <w:r>
              <w:rPr>
                <w:rFonts w:hint="eastAsia"/>
                <w:szCs w:val="21"/>
                <w:lang w:val="en-US" w:eastAsia="zh-CN"/>
              </w:rPr>
              <w:t>食堂油烟</w:t>
            </w:r>
          </w:p>
        </w:tc>
        <w:tc>
          <w:tcPr>
            <w:tcW w:w="1383" w:type="dxa"/>
            <w:vAlign w:val="center"/>
          </w:tcPr>
          <w:p>
            <w:pPr>
              <w:pStyle w:val="25"/>
              <w:rPr>
                <w:szCs w:val="21"/>
                <w:lang w:val="en-US" w:eastAsia="zh-CN"/>
              </w:rPr>
            </w:pPr>
            <w:r>
              <w:rPr>
                <w:rFonts w:hint="eastAsia"/>
                <w:szCs w:val="21"/>
                <w:lang w:val="en-US" w:eastAsia="zh-CN"/>
              </w:rPr>
              <w:t>油烟</w:t>
            </w:r>
          </w:p>
        </w:tc>
        <w:tc>
          <w:tcPr>
            <w:tcW w:w="2070" w:type="dxa"/>
            <w:vAlign w:val="center"/>
          </w:tcPr>
          <w:p>
            <w:pPr>
              <w:pStyle w:val="25"/>
              <w:rPr>
                <w:szCs w:val="21"/>
                <w:lang w:val="en-US" w:eastAsia="zh-CN"/>
              </w:rPr>
            </w:pPr>
            <w:r>
              <w:rPr>
                <w:rFonts w:hint="eastAsia"/>
                <w:szCs w:val="21"/>
                <w:lang w:val="en-US" w:eastAsia="zh-CN"/>
              </w:rPr>
              <w:t>2.205</w:t>
            </w:r>
          </w:p>
        </w:tc>
        <w:tc>
          <w:tcPr>
            <w:tcW w:w="1990" w:type="dxa"/>
            <w:vAlign w:val="center"/>
          </w:tcPr>
          <w:p>
            <w:pPr>
              <w:pStyle w:val="25"/>
              <w:rPr>
                <w:szCs w:val="21"/>
                <w:lang w:val="en-US" w:eastAsia="zh-CN"/>
              </w:rPr>
            </w:pPr>
            <w:r>
              <w:rPr>
                <w:rFonts w:hint="eastAsia"/>
                <w:szCs w:val="21"/>
                <w:lang w:val="en-US" w:eastAsia="zh-CN"/>
              </w:rPr>
              <w:t>1.764</w:t>
            </w:r>
          </w:p>
        </w:tc>
        <w:tc>
          <w:tcPr>
            <w:tcW w:w="2649" w:type="dxa"/>
            <w:vAlign w:val="center"/>
          </w:tcPr>
          <w:p>
            <w:pPr>
              <w:pStyle w:val="25"/>
              <w:rPr>
                <w:szCs w:val="21"/>
                <w:lang w:val="en-US" w:eastAsia="zh-CN"/>
              </w:rPr>
            </w:pPr>
            <w:r>
              <w:rPr>
                <w:rFonts w:hint="eastAsia"/>
                <w:szCs w:val="21"/>
                <w:lang w:val="en-US" w:eastAsia="zh-CN"/>
              </w:rPr>
              <w:t>0.441</w:t>
            </w:r>
          </w:p>
        </w:tc>
      </w:tr>
    </w:tbl>
    <w:p>
      <w:pPr>
        <w:pStyle w:val="25"/>
      </w:pPr>
    </w:p>
    <w:p>
      <w:pPr>
        <w:pStyle w:val="5"/>
      </w:pPr>
      <w:r>
        <w:rPr>
          <w:rFonts w:hint="eastAsia"/>
        </w:rPr>
        <w:t>技改前后废气环保措施及产排情况对比</w:t>
      </w:r>
    </w:p>
    <w:p>
      <w:pPr>
        <w:ind w:firstLine="480"/>
      </w:pPr>
      <w:r>
        <w:rPr>
          <w:rFonts w:hint="eastAsia"/>
        </w:rPr>
        <w:t>根据现有工程废气工程分析和技改后废气工程分析，废气的环保措施变化情况见表4.4-11，废气污染物产排变化情况见表4.4-12。</w:t>
      </w:r>
    </w:p>
    <w:p>
      <w:pPr>
        <w:pStyle w:val="25"/>
        <w:rPr>
          <w:b/>
          <w:bCs/>
        </w:rPr>
      </w:pPr>
      <w:r>
        <w:rPr>
          <w:rFonts w:hint="eastAsia"/>
          <w:b/>
          <w:bCs/>
        </w:rPr>
        <w:t>表4.4-11  技改前后废气处理环保措施对比一览表</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2850"/>
        <w:gridCol w:w="2784"/>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 w:type="dxa"/>
            <w:vAlign w:val="center"/>
          </w:tcPr>
          <w:p>
            <w:pPr>
              <w:pStyle w:val="25"/>
              <w:rPr>
                <w:szCs w:val="21"/>
                <w:lang w:val="en-US" w:eastAsia="zh-CN"/>
              </w:rPr>
            </w:pPr>
            <w:r>
              <w:rPr>
                <w:rFonts w:hint="eastAsia"/>
                <w:szCs w:val="21"/>
                <w:lang w:val="en-US" w:eastAsia="zh-CN"/>
              </w:rPr>
              <w:t>类别</w:t>
            </w:r>
          </w:p>
        </w:tc>
        <w:tc>
          <w:tcPr>
            <w:tcW w:w="2850" w:type="dxa"/>
            <w:vAlign w:val="center"/>
          </w:tcPr>
          <w:p>
            <w:pPr>
              <w:pStyle w:val="25"/>
              <w:rPr>
                <w:szCs w:val="21"/>
                <w:lang w:val="en-US" w:eastAsia="zh-CN"/>
              </w:rPr>
            </w:pPr>
            <w:r>
              <w:rPr>
                <w:rFonts w:hint="eastAsia"/>
                <w:szCs w:val="21"/>
                <w:lang w:val="en-US" w:eastAsia="zh-CN"/>
              </w:rPr>
              <w:t>技改前</w:t>
            </w:r>
          </w:p>
        </w:tc>
        <w:tc>
          <w:tcPr>
            <w:tcW w:w="2784" w:type="dxa"/>
            <w:vAlign w:val="center"/>
          </w:tcPr>
          <w:p>
            <w:pPr>
              <w:pStyle w:val="25"/>
              <w:rPr>
                <w:szCs w:val="21"/>
                <w:lang w:val="en-US" w:eastAsia="zh-CN"/>
              </w:rPr>
            </w:pPr>
            <w:r>
              <w:rPr>
                <w:rFonts w:hint="eastAsia"/>
                <w:szCs w:val="21"/>
                <w:lang w:val="en-US" w:eastAsia="zh-CN"/>
              </w:rPr>
              <w:t>技改后</w:t>
            </w:r>
          </w:p>
        </w:tc>
        <w:tc>
          <w:tcPr>
            <w:tcW w:w="2792" w:type="dxa"/>
            <w:vAlign w:val="center"/>
          </w:tcPr>
          <w:p>
            <w:pPr>
              <w:pStyle w:val="25"/>
              <w:rPr>
                <w:szCs w:val="21"/>
                <w:lang w:val="en-US" w:eastAsia="zh-CN"/>
              </w:rPr>
            </w:pPr>
            <w:r>
              <w:rPr>
                <w:rFonts w:hint="eastAsia"/>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 w:type="dxa"/>
            <w:vAlign w:val="center"/>
          </w:tcPr>
          <w:p>
            <w:pPr>
              <w:pStyle w:val="25"/>
              <w:rPr>
                <w:szCs w:val="21"/>
                <w:lang w:val="en-US" w:eastAsia="zh-CN"/>
              </w:rPr>
            </w:pPr>
            <w:r>
              <w:rPr>
                <w:rFonts w:hint="eastAsia"/>
                <w:szCs w:val="21"/>
                <w:lang w:val="en-US" w:eastAsia="zh-CN"/>
              </w:rPr>
              <w:t>锅炉废气</w:t>
            </w:r>
          </w:p>
        </w:tc>
        <w:tc>
          <w:tcPr>
            <w:tcW w:w="2850" w:type="dxa"/>
            <w:vAlign w:val="center"/>
          </w:tcPr>
          <w:p>
            <w:pPr>
              <w:pStyle w:val="25"/>
              <w:rPr>
                <w:szCs w:val="21"/>
                <w:lang w:val="en-US" w:eastAsia="zh-CN"/>
              </w:rPr>
            </w:pPr>
            <w:r>
              <w:rPr>
                <w:rFonts w:hint="eastAsia"/>
                <w:szCs w:val="21"/>
                <w:lang w:val="en-US" w:eastAsia="zh-CN"/>
              </w:rPr>
              <w:t>蒸汽锅炉废气采用麻石水膜除尘系统处理；导热油锅炉废气采用水幕除尘系统</w:t>
            </w:r>
          </w:p>
        </w:tc>
        <w:tc>
          <w:tcPr>
            <w:tcW w:w="2784" w:type="dxa"/>
            <w:vAlign w:val="center"/>
          </w:tcPr>
          <w:p>
            <w:pPr>
              <w:pStyle w:val="25"/>
              <w:rPr>
                <w:szCs w:val="21"/>
                <w:lang w:val="en-US" w:eastAsia="zh-CN"/>
              </w:rPr>
            </w:pPr>
            <w:r>
              <w:rPr>
                <w:rFonts w:hint="eastAsia"/>
                <w:szCs w:val="21"/>
                <w:lang w:val="en-US" w:eastAsia="zh-CN"/>
              </w:rPr>
              <w:t>锅炉均采用生物质作为燃料，新建三套布袋除尘系统处理锅炉烟气</w:t>
            </w:r>
          </w:p>
        </w:tc>
        <w:tc>
          <w:tcPr>
            <w:tcW w:w="2792" w:type="dxa"/>
            <w:vAlign w:val="center"/>
          </w:tcPr>
          <w:p>
            <w:pPr>
              <w:pStyle w:val="25"/>
              <w:rPr>
                <w:szCs w:val="21"/>
                <w:lang w:val="en-US" w:eastAsia="zh-CN"/>
              </w:rPr>
            </w:pPr>
            <w:r>
              <w:rPr>
                <w:rFonts w:hint="eastAsia"/>
                <w:szCs w:val="21"/>
                <w:lang w:val="en-US" w:eastAsia="zh-CN"/>
              </w:rPr>
              <w:t>燃料由煤技改为生物质；采用布袋除尘系统替换原有锅炉废气处理系统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 w:type="dxa"/>
            <w:vAlign w:val="center"/>
          </w:tcPr>
          <w:p>
            <w:pPr>
              <w:pStyle w:val="25"/>
              <w:rPr>
                <w:szCs w:val="21"/>
                <w:lang w:val="en-US" w:eastAsia="zh-CN"/>
              </w:rPr>
            </w:pPr>
            <w:r>
              <w:rPr>
                <w:rFonts w:hint="eastAsia"/>
                <w:szCs w:val="21"/>
                <w:lang w:val="en-US" w:eastAsia="zh-CN"/>
              </w:rPr>
              <w:t>定型废气</w:t>
            </w:r>
          </w:p>
        </w:tc>
        <w:tc>
          <w:tcPr>
            <w:tcW w:w="2850" w:type="dxa"/>
            <w:vAlign w:val="center"/>
          </w:tcPr>
          <w:p>
            <w:pPr>
              <w:pStyle w:val="25"/>
              <w:rPr>
                <w:szCs w:val="21"/>
                <w:lang w:val="en-US" w:eastAsia="zh-CN"/>
              </w:rPr>
            </w:pPr>
            <w:r>
              <w:rPr>
                <w:rFonts w:hint="eastAsia"/>
                <w:szCs w:val="21"/>
                <w:lang w:val="en-US" w:eastAsia="zh-CN"/>
              </w:rPr>
              <w:t>无组织排放</w:t>
            </w:r>
          </w:p>
        </w:tc>
        <w:tc>
          <w:tcPr>
            <w:tcW w:w="2784" w:type="dxa"/>
            <w:vAlign w:val="center"/>
          </w:tcPr>
          <w:p>
            <w:pPr>
              <w:pStyle w:val="25"/>
              <w:rPr>
                <w:szCs w:val="21"/>
                <w:lang w:val="en-US" w:eastAsia="zh-CN"/>
              </w:rPr>
            </w:pPr>
            <w:r>
              <w:rPr>
                <w:rFonts w:hint="eastAsia"/>
                <w:szCs w:val="21"/>
                <w:lang w:val="en-US" w:eastAsia="zh-CN"/>
              </w:rPr>
              <w:t>新建两套高压静电油烟净化处理系统处理定性废气</w:t>
            </w:r>
          </w:p>
        </w:tc>
        <w:tc>
          <w:tcPr>
            <w:tcW w:w="2792" w:type="dxa"/>
            <w:vAlign w:val="center"/>
          </w:tcPr>
          <w:p>
            <w:pPr>
              <w:pStyle w:val="25"/>
              <w:rPr>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 w:type="dxa"/>
            <w:vAlign w:val="center"/>
          </w:tcPr>
          <w:p>
            <w:pPr>
              <w:pStyle w:val="25"/>
              <w:rPr>
                <w:szCs w:val="21"/>
                <w:lang w:val="en-US" w:eastAsia="zh-CN"/>
              </w:rPr>
            </w:pPr>
            <w:r>
              <w:rPr>
                <w:rFonts w:hint="eastAsia"/>
                <w:szCs w:val="21"/>
                <w:lang w:val="en-US" w:eastAsia="zh-CN"/>
              </w:rPr>
              <w:t>导热油废气</w:t>
            </w:r>
          </w:p>
        </w:tc>
        <w:tc>
          <w:tcPr>
            <w:tcW w:w="2850" w:type="dxa"/>
            <w:vAlign w:val="center"/>
          </w:tcPr>
          <w:p>
            <w:pPr>
              <w:pStyle w:val="25"/>
              <w:rPr>
                <w:szCs w:val="21"/>
                <w:lang w:val="en-US" w:eastAsia="zh-CN"/>
              </w:rPr>
            </w:pPr>
            <w:r>
              <w:rPr>
                <w:rFonts w:hint="eastAsia"/>
                <w:szCs w:val="21"/>
                <w:lang w:val="en-US" w:eastAsia="zh-CN"/>
              </w:rPr>
              <w:t>无组织排放</w:t>
            </w:r>
          </w:p>
        </w:tc>
        <w:tc>
          <w:tcPr>
            <w:tcW w:w="2784" w:type="dxa"/>
            <w:vAlign w:val="center"/>
          </w:tcPr>
          <w:p>
            <w:pPr>
              <w:pStyle w:val="25"/>
              <w:rPr>
                <w:szCs w:val="21"/>
                <w:lang w:val="en-US" w:eastAsia="zh-CN"/>
              </w:rPr>
            </w:pPr>
            <w:r>
              <w:rPr>
                <w:rFonts w:hint="eastAsia"/>
                <w:szCs w:val="21"/>
                <w:lang w:val="en-US" w:eastAsia="zh-CN"/>
              </w:rPr>
              <w:t>无组织排放</w:t>
            </w:r>
          </w:p>
        </w:tc>
        <w:tc>
          <w:tcPr>
            <w:tcW w:w="2792" w:type="dxa"/>
            <w:vAlign w:val="center"/>
          </w:tcPr>
          <w:p>
            <w:pPr>
              <w:pStyle w:val="25"/>
              <w:rPr>
                <w:szCs w:val="21"/>
                <w:lang w:val="en-US" w:eastAsia="zh-CN"/>
              </w:rPr>
            </w:pPr>
            <w:r>
              <w:rPr>
                <w:rFonts w:hint="eastAsia"/>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 w:type="dxa"/>
            <w:vAlign w:val="center"/>
          </w:tcPr>
          <w:p>
            <w:pPr>
              <w:pStyle w:val="25"/>
              <w:rPr>
                <w:szCs w:val="21"/>
                <w:lang w:val="en-US" w:eastAsia="zh-CN"/>
              </w:rPr>
            </w:pPr>
            <w:r>
              <w:rPr>
                <w:rFonts w:hint="eastAsia"/>
                <w:szCs w:val="21"/>
                <w:lang w:val="en-US" w:eastAsia="zh-CN"/>
              </w:rPr>
              <w:t>醋酸废气</w:t>
            </w:r>
          </w:p>
        </w:tc>
        <w:tc>
          <w:tcPr>
            <w:tcW w:w="2850" w:type="dxa"/>
            <w:vAlign w:val="center"/>
          </w:tcPr>
          <w:p>
            <w:pPr>
              <w:pStyle w:val="25"/>
              <w:rPr>
                <w:szCs w:val="21"/>
                <w:lang w:val="en-US" w:eastAsia="zh-CN"/>
              </w:rPr>
            </w:pPr>
            <w:r>
              <w:rPr>
                <w:rFonts w:hint="eastAsia"/>
                <w:szCs w:val="21"/>
                <w:lang w:val="en-US" w:eastAsia="zh-CN"/>
              </w:rPr>
              <w:t>/</w:t>
            </w:r>
          </w:p>
        </w:tc>
        <w:tc>
          <w:tcPr>
            <w:tcW w:w="2784" w:type="dxa"/>
            <w:vAlign w:val="center"/>
          </w:tcPr>
          <w:p>
            <w:pPr>
              <w:pStyle w:val="25"/>
              <w:rPr>
                <w:szCs w:val="21"/>
                <w:lang w:val="en-US" w:eastAsia="zh-CN"/>
              </w:rPr>
            </w:pPr>
            <w:r>
              <w:rPr>
                <w:rFonts w:hint="eastAsia"/>
                <w:szCs w:val="21"/>
                <w:lang w:val="en-US" w:eastAsia="zh-CN"/>
              </w:rPr>
              <w:t>无组织排放</w:t>
            </w:r>
          </w:p>
        </w:tc>
        <w:tc>
          <w:tcPr>
            <w:tcW w:w="2792" w:type="dxa"/>
            <w:vAlign w:val="center"/>
          </w:tcPr>
          <w:p>
            <w:pPr>
              <w:pStyle w:val="25"/>
              <w:rPr>
                <w:szCs w:val="21"/>
                <w:lang w:val="en-US" w:eastAsia="zh-CN"/>
              </w:rPr>
            </w:pPr>
            <w:r>
              <w:rPr>
                <w:rFonts w:hint="eastAsia"/>
                <w:szCs w:val="21"/>
                <w:lang w:val="en-US" w:eastAsia="zh-CN"/>
              </w:rPr>
              <w:t>技改前无该废气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 w:type="dxa"/>
            <w:vAlign w:val="center"/>
          </w:tcPr>
          <w:p>
            <w:pPr>
              <w:pStyle w:val="25"/>
              <w:rPr>
                <w:szCs w:val="21"/>
                <w:lang w:val="en-US" w:eastAsia="zh-CN"/>
              </w:rPr>
            </w:pPr>
            <w:r>
              <w:rPr>
                <w:rFonts w:hint="eastAsia"/>
                <w:szCs w:val="21"/>
                <w:lang w:val="en-US" w:eastAsia="zh-CN"/>
              </w:rPr>
              <w:t>烧毛废气</w:t>
            </w:r>
          </w:p>
        </w:tc>
        <w:tc>
          <w:tcPr>
            <w:tcW w:w="2850" w:type="dxa"/>
            <w:vAlign w:val="center"/>
          </w:tcPr>
          <w:p>
            <w:pPr>
              <w:pStyle w:val="25"/>
              <w:rPr>
                <w:szCs w:val="21"/>
                <w:lang w:val="en-US" w:eastAsia="zh-CN"/>
              </w:rPr>
            </w:pPr>
            <w:r>
              <w:rPr>
                <w:rFonts w:hint="eastAsia"/>
                <w:szCs w:val="21"/>
                <w:lang w:val="en-US" w:eastAsia="zh-CN"/>
              </w:rPr>
              <w:t>无组织排放</w:t>
            </w:r>
          </w:p>
        </w:tc>
        <w:tc>
          <w:tcPr>
            <w:tcW w:w="2784" w:type="dxa"/>
            <w:vAlign w:val="center"/>
          </w:tcPr>
          <w:p>
            <w:pPr>
              <w:pStyle w:val="25"/>
              <w:rPr>
                <w:szCs w:val="21"/>
                <w:lang w:val="en-US" w:eastAsia="zh-CN"/>
              </w:rPr>
            </w:pPr>
            <w:r>
              <w:rPr>
                <w:rFonts w:hint="eastAsia"/>
                <w:szCs w:val="21"/>
                <w:lang w:val="en-US" w:eastAsia="zh-CN"/>
              </w:rPr>
              <w:t>/</w:t>
            </w:r>
          </w:p>
        </w:tc>
        <w:tc>
          <w:tcPr>
            <w:tcW w:w="2792" w:type="dxa"/>
            <w:vAlign w:val="center"/>
          </w:tcPr>
          <w:p>
            <w:pPr>
              <w:pStyle w:val="25"/>
              <w:rPr>
                <w:szCs w:val="21"/>
                <w:lang w:val="en-US" w:eastAsia="zh-CN"/>
              </w:rPr>
            </w:pPr>
            <w:r>
              <w:rPr>
                <w:rFonts w:hint="eastAsia"/>
                <w:szCs w:val="21"/>
                <w:lang w:val="en-US" w:eastAsia="zh-CN"/>
              </w:rPr>
              <w:t>技改后无该废气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 w:type="dxa"/>
            <w:vAlign w:val="center"/>
          </w:tcPr>
          <w:p>
            <w:pPr>
              <w:pStyle w:val="25"/>
              <w:rPr>
                <w:szCs w:val="21"/>
                <w:lang w:val="en-US" w:eastAsia="zh-CN"/>
              </w:rPr>
            </w:pPr>
            <w:r>
              <w:rPr>
                <w:rFonts w:hint="eastAsia"/>
                <w:szCs w:val="21"/>
                <w:lang w:val="en-US" w:eastAsia="zh-CN"/>
              </w:rPr>
              <w:t>污水处理站臭气</w:t>
            </w:r>
          </w:p>
        </w:tc>
        <w:tc>
          <w:tcPr>
            <w:tcW w:w="2850" w:type="dxa"/>
            <w:vAlign w:val="center"/>
          </w:tcPr>
          <w:p>
            <w:pPr>
              <w:pStyle w:val="25"/>
              <w:rPr>
                <w:szCs w:val="21"/>
                <w:lang w:val="en-US" w:eastAsia="zh-CN"/>
              </w:rPr>
            </w:pPr>
            <w:r>
              <w:rPr>
                <w:rFonts w:hint="eastAsia"/>
                <w:szCs w:val="21"/>
                <w:lang w:val="en-US" w:eastAsia="zh-CN"/>
              </w:rPr>
              <w:t>无组织排放</w:t>
            </w:r>
          </w:p>
        </w:tc>
        <w:tc>
          <w:tcPr>
            <w:tcW w:w="2784" w:type="dxa"/>
            <w:vAlign w:val="center"/>
          </w:tcPr>
          <w:p>
            <w:pPr>
              <w:pStyle w:val="25"/>
              <w:rPr>
                <w:szCs w:val="21"/>
                <w:lang w:val="en-US" w:eastAsia="zh-CN"/>
              </w:rPr>
            </w:pPr>
            <w:r>
              <w:rPr>
                <w:rFonts w:hint="eastAsia"/>
                <w:szCs w:val="21"/>
                <w:lang w:val="en-US" w:eastAsia="zh-CN"/>
              </w:rPr>
              <w:t>无组织排放</w:t>
            </w:r>
          </w:p>
        </w:tc>
        <w:tc>
          <w:tcPr>
            <w:tcW w:w="2792" w:type="dxa"/>
            <w:vAlign w:val="center"/>
          </w:tcPr>
          <w:p>
            <w:pPr>
              <w:pStyle w:val="25"/>
              <w:rPr>
                <w:szCs w:val="21"/>
                <w:lang w:val="en-US" w:eastAsia="zh-CN"/>
              </w:rPr>
            </w:pPr>
            <w:r>
              <w:rPr>
                <w:rFonts w:hint="eastAsia"/>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 w:type="dxa"/>
            <w:vAlign w:val="center"/>
          </w:tcPr>
          <w:p>
            <w:pPr>
              <w:pStyle w:val="25"/>
              <w:rPr>
                <w:szCs w:val="21"/>
                <w:lang w:val="en-US" w:eastAsia="zh-CN"/>
              </w:rPr>
            </w:pPr>
            <w:r>
              <w:rPr>
                <w:rFonts w:hint="eastAsia"/>
                <w:szCs w:val="21"/>
                <w:lang w:val="en-US" w:eastAsia="zh-CN"/>
              </w:rPr>
              <w:t>纺纱粉尘</w:t>
            </w:r>
          </w:p>
        </w:tc>
        <w:tc>
          <w:tcPr>
            <w:tcW w:w="2850" w:type="dxa"/>
            <w:vAlign w:val="center"/>
          </w:tcPr>
          <w:p>
            <w:pPr>
              <w:pStyle w:val="25"/>
              <w:rPr>
                <w:szCs w:val="21"/>
                <w:lang w:val="en-US" w:eastAsia="zh-CN"/>
              </w:rPr>
            </w:pPr>
            <w:r>
              <w:rPr>
                <w:rFonts w:hint="eastAsia"/>
                <w:szCs w:val="21"/>
                <w:lang w:val="en-US" w:eastAsia="zh-CN"/>
              </w:rPr>
              <w:t>无组织排放</w:t>
            </w:r>
          </w:p>
        </w:tc>
        <w:tc>
          <w:tcPr>
            <w:tcW w:w="2784" w:type="dxa"/>
            <w:vAlign w:val="center"/>
          </w:tcPr>
          <w:p>
            <w:pPr>
              <w:pStyle w:val="25"/>
              <w:rPr>
                <w:szCs w:val="21"/>
                <w:lang w:val="en-US" w:eastAsia="zh-CN"/>
              </w:rPr>
            </w:pPr>
            <w:r>
              <w:rPr>
                <w:rFonts w:hint="eastAsia"/>
                <w:szCs w:val="21"/>
                <w:lang w:val="en-US" w:eastAsia="zh-CN"/>
              </w:rPr>
              <w:t>无组织排放</w:t>
            </w:r>
          </w:p>
        </w:tc>
        <w:tc>
          <w:tcPr>
            <w:tcW w:w="2792" w:type="dxa"/>
            <w:vAlign w:val="center"/>
          </w:tcPr>
          <w:p>
            <w:pPr>
              <w:pStyle w:val="25"/>
              <w:rPr>
                <w:szCs w:val="21"/>
                <w:lang w:val="en-US" w:eastAsia="zh-CN"/>
              </w:rPr>
            </w:pPr>
            <w:r>
              <w:rPr>
                <w:rFonts w:hint="eastAsia"/>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 w:type="dxa"/>
            <w:vAlign w:val="center"/>
          </w:tcPr>
          <w:p>
            <w:pPr>
              <w:pStyle w:val="25"/>
              <w:rPr>
                <w:szCs w:val="21"/>
                <w:lang w:val="en-US" w:eastAsia="zh-CN"/>
              </w:rPr>
            </w:pPr>
            <w:r>
              <w:rPr>
                <w:rFonts w:hint="eastAsia"/>
                <w:szCs w:val="21"/>
                <w:lang w:val="en-US" w:eastAsia="zh-CN"/>
              </w:rPr>
              <w:t>织布粉尘</w:t>
            </w:r>
          </w:p>
        </w:tc>
        <w:tc>
          <w:tcPr>
            <w:tcW w:w="2850" w:type="dxa"/>
          </w:tcPr>
          <w:p>
            <w:pPr>
              <w:pStyle w:val="25"/>
              <w:rPr>
                <w:szCs w:val="21"/>
                <w:lang w:val="en-US" w:eastAsia="zh-CN"/>
              </w:rPr>
            </w:pPr>
            <w:r>
              <w:rPr>
                <w:rFonts w:hint="eastAsia"/>
                <w:szCs w:val="21"/>
                <w:lang w:val="en-US" w:eastAsia="zh-CN"/>
              </w:rPr>
              <w:t>无组织排放</w:t>
            </w:r>
          </w:p>
        </w:tc>
        <w:tc>
          <w:tcPr>
            <w:tcW w:w="2784" w:type="dxa"/>
          </w:tcPr>
          <w:p>
            <w:pPr>
              <w:pStyle w:val="25"/>
              <w:rPr>
                <w:szCs w:val="21"/>
                <w:lang w:val="en-US" w:eastAsia="zh-CN"/>
              </w:rPr>
            </w:pPr>
            <w:r>
              <w:rPr>
                <w:rFonts w:hint="eastAsia"/>
                <w:szCs w:val="21"/>
                <w:lang w:val="en-US" w:eastAsia="zh-CN"/>
              </w:rPr>
              <w:t>/</w:t>
            </w:r>
          </w:p>
        </w:tc>
        <w:tc>
          <w:tcPr>
            <w:tcW w:w="2792" w:type="dxa"/>
          </w:tcPr>
          <w:p>
            <w:pPr>
              <w:pStyle w:val="25"/>
              <w:rPr>
                <w:szCs w:val="21"/>
                <w:lang w:val="en-US" w:eastAsia="zh-CN"/>
              </w:rPr>
            </w:pPr>
            <w:r>
              <w:rPr>
                <w:rFonts w:hint="eastAsia"/>
                <w:szCs w:val="21"/>
                <w:lang w:val="en-US" w:eastAsia="zh-CN"/>
              </w:rPr>
              <w:t>技改后无该废气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 w:type="dxa"/>
            <w:vAlign w:val="center"/>
          </w:tcPr>
          <w:p>
            <w:pPr>
              <w:pStyle w:val="25"/>
              <w:rPr>
                <w:szCs w:val="21"/>
                <w:lang w:val="en-US" w:eastAsia="zh-CN"/>
              </w:rPr>
            </w:pPr>
            <w:r>
              <w:rPr>
                <w:rFonts w:hint="eastAsia"/>
                <w:szCs w:val="21"/>
                <w:lang w:val="en-US" w:eastAsia="zh-CN"/>
              </w:rPr>
              <w:t>食堂油烟</w:t>
            </w:r>
          </w:p>
        </w:tc>
        <w:tc>
          <w:tcPr>
            <w:tcW w:w="2850" w:type="dxa"/>
          </w:tcPr>
          <w:p>
            <w:pPr>
              <w:pStyle w:val="25"/>
              <w:rPr>
                <w:szCs w:val="21"/>
                <w:lang w:val="en-US" w:eastAsia="zh-CN"/>
              </w:rPr>
            </w:pPr>
            <w:r>
              <w:rPr>
                <w:rFonts w:hint="eastAsia"/>
                <w:szCs w:val="21"/>
                <w:lang w:val="en-US" w:eastAsia="zh-CN"/>
              </w:rPr>
              <w:t>无组织排放</w:t>
            </w:r>
          </w:p>
        </w:tc>
        <w:tc>
          <w:tcPr>
            <w:tcW w:w="2784" w:type="dxa"/>
          </w:tcPr>
          <w:p>
            <w:pPr>
              <w:pStyle w:val="25"/>
              <w:rPr>
                <w:szCs w:val="21"/>
                <w:lang w:val="en-US" w:eastAsia="zh-CN"/>
              </w:rPr>
            </w:pPr>
            <w:r>
              <w:rPr>
                <w:rFonts w:hint="eastAsia"/>
                <w:szCs w:val="21"/>
                <w:lang w:val="en-US" w:eastAsia="zh-CN"/>
              </w:rPr>
              <w:t>新增油烟净化装置处理</w:t>
            </w:r>
          </w:p>
        </w:tc>
        <w:tc>
          <w:tcPr>
            <w:tcW w:w="2792" w:type="dxa"/>
          </w:tcPr>
          <w:p>
            <w:pPr>
              <w:pStyle w:val="25"/>
              <w:rPr>
                <w:szCs w:val="21"/>
                <w:lang w:val="en-US" w:eastAsia="zh-CN"/>
              </w:rPr>
            </w:pPr>
            <w:r>
              <w:rPr>
                <w:rFonts w:hint="eastAsia"/>
                <w:szCs w:val="21"/>
                <w:lang w:val="en-US" w:eastAsia="zh-CN"/>
              </w:rPr>
              <w:t>有变化</w:t>
            </w:r>
          </w:p>
        </w:tc>
      </w:tr>
    </w:tbl>
    <w:p>
      <w:pPr>
        <w:pStyle w:val="25"/>
        <w:rPr>
          <w:b/>
          <w:bCs/>
        </w:rPr>
      </w:pPr>
      <w:r>
        <w:rPr>
          <w:rFonts w:hint="eastAsia"/>
          <w:b/>
          <w:bCs/>
        </w:rPr>
        <w:t>表4.4-12  技改前后废气污染物排放情况对比一览表</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2183"/>
        <w:gridCol w:w="3017"/>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pStyle w:val="25"/>
              <w:rPr>
                <w:szCs w:val="21"/>
                <w:lang w:val="en-US" w:eastAsia="zh-CN"/>
              </w:rPr>
            </w:pPr>
            <w:r>
              <w:rPr>
                <w:rFonts w:hint="eastAsia"/>
                <w:szCs w:val="21"/>
                <w:lang w:val="en-US" w:eastAsia="zh-CN"/>
              </w:rPr>
              <w:t>类别</w:t>
            </w:r>
          </w:p>
        </w:tc>
        <w:tc>
          <w:tcPr>
            <w:tcW w:w="2183" w:type="dxa"/>
            <w:vAlign w:val="center"/>
          </w:tcPr>
          <w:p>
            <w:pPr>
              <w:pStyle w:val="25"/>
              <w:rPr>
                <w:szCs w:val="21"/>
                <w:lang w:val="en-US" w:eastAsia="zh-CN"/>
              </w:rPr>
            </w:pPr>
            <w:r>
              <w:rPr>
                <w:rFonts w:hint="eastAsia"/>
                <w:szCs w:val="21"/>
                <w:lang w:val="en-US" w:eastAsia="zh-CN"/>
              </w:rPr>
              <w:t>技改前</w:t>
            </w:r>
          </w:p>
        </w:tc>
        <w:tc>
          <w:tcPr>
            <w:tcW w:w="3017" w:type="dxa"/>
            <w:vAlign w:val="center"/>
          </w:tcPr>
          <w:p>
            <w:pPr>
              <w:pStyle w:val="25"/>
              <w:rPr>
                <w:szCs w:val="21"/>
                <w:lang w:val="en-US" w:eastAsia="zh-CN"/>
              </w:rPr>
            </w:pPr>
            <w:r>
              <w:rPr>
                <w:rFonts w:hint="eastAsia"/>
                <w:szCs w:val="21"/>
                <w:lang w:val="en-US" w:eastAsia="zh-CN"/>
              </w:rPr>
              <w:t>技改后</w:t>
            </w:r>
          </w:p>
        </w:tc>
        <w:tc>
          <w:tcPr>
            <w:tcW w:w="2792" w:type="dxa"/>
            <w:vAlign w:val="center"/>
          </w:tcPr>
          <w:p>
            <w:pPr>
              <w:pStyle w:val="25"/>
              <w:rPr>
                <w:szCs w:val="21"/>
                <w:lang w:val="en-US" w:eastAsia="zh-CN"/>
              </w:rPr>
            </w:pPr>
            <w:r>
              <w:rPr>
                <w:rFonts w:hint="eastAsia"/>
                <w:szCs w:val="21"/>
                <w:lang w:val="en-US" w:eastAsia="zh-CN"/>
              </w:rPr>
              <w:t>技改后增减量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pStyle w:val="25"/>
              <w:rPr>
                <w:szCs w:val="21"/>
                <w:lang w:val="en-US" w:eastAsia="zh-CN"/>
              </w:rPr>
            </w:pPr>
            <w:r>
              <w:rPr>
                <w:rFonts w:hint="eastAsia"/>
                <w:szCs w:val="21"/>
                <w:lang w:val="en-US" w:eastAsia="zh-CN"/>
              </w:rPr>
              <w:t>二氧化硫</w:t>
            </w:r>
          </w:p>
        </w:tc>
        <w:tc>
          <w:tcPr>
            <w:tcW w:w="2183" w:type="dxa"/>
          </w:tcPr>
          <w:p>
            <w:pPr>
              <w:pStyle w:val="25"/>
              <w:rPr>
                <w:szCs w:val="21"/>
                <w:lang w:val="en-US" w:eastAsia="zh-CN"/>
              </w:rPr>
            </w:pPr>
            <w:r>
              <w:rPr>
                <w:rFonts w:hint="eastAsia"/>
                <w:szCs w:val="21"/>
                <w:lang w:val="en-US" w:eastAsia="zh-CN"/>
              </w:rPr>
              <w:t>9.075</w:t>
            </w:r>
          </w:p>
        </w:tc>
        <w:tc>
          <w:tcPr>
            <w:tcW w:w="3017" w:type="dxa"/>
          </w:tcPr>
          <w:p>
            <w:pPr>
              <w:pStyle w:val="25"/>
              <w:rPr>
                <w:szCs w:val="21"/>
                <w:lang w:val="en-US" w:eastAsia="zh-CN"/>
              </w:rPr>
            </w:pPr>
            <w:r>
              <w:rPr>
                <w:rFonts w:hint="eastAsia"/>
                <w:szCs w:val="21"/>
                <w:lang w:val="en-US" w:eastAsia="zh-CN"/>
              </w:rPr>
              <w:t>2.992</w:t>
            </w:r>
          </w:p>
        </w:tc>
        <w:tc>
          <w:tcPr>
            <w:tcW w:w="2792" w:type="dxa"/>
          </w:tcPr>
          <w:p>
            <w:pPr>
              <w:pStyle w:val="25"/>
              <w:rPr>
                <w:szCs w:val="21"/>
                <w:lang w:val="en-US" w:eastAsia="zh-CN"/>
              </w:rPr>
            </w:pPr>
            <w:r>
              <w:rPr>
                <w:rFonts w:hint="eastAsia"/>
                <w:szCs w:val="21"/>
                <w:lang w:val="en-US" w:eastAsia="zh-CN"/>
              </w:rPr>
              <w:t>-6.083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pStyle w:val="25"/>
              <w:rPr>
                <w:szCs w:val="21"/>
                <w:lang w:val="en-US" w:eastAsia="zh-CN"/>
              </w:rPr>
            </w:pPr>
            <w:r>
              <w:rPr>
                <w:rFonts w:hint="eastAsia"/>
                <w:szCs w:val="21"/>
                <w:lang w:val="en-US" w:eastAsia="zh-CN"/>
              </w:rPr>
              <w:t>氮氧化物</w:t>
            </w:r>
          </w:p>
        </w:tc>
        <w:tc>
          <w:tcPr>
            <w:tcW w:w="2183" w:type="dxa"/>
            <w:vAlign w:val="center"/>
          </w:tcPr>
          <w:p>
            <w:pPr>
              <w:pStyle w:val="25"/>
              <w:rPr>
                <w:szCs w:val="21"/>
                <w:lang w:val="en-US" w:eastAsia="zh-CN"/>
              </w:rPr>
            </w:pPr>
            <w:r>
              <w:rPr>
                <w:rFonts w:hint="eastAsia"/>
                <w:szCs w:val="21"/>
                <w:lang w:val="en-US" w:eastAsia="zh-CN"/>
              </w:rPr>
              <w:t>10.270</w:t>
            </w:r>
          </w:p>
        </w:tc>
        <w:tc>
          <w:tcPr>
            <w:tcW w:w="3017" w:type="dxa"/>
            <w:vAlign w:val="center"/>
          </w:tcPr>
          <w:p>
            <w:pPr>
              <w:pStyle w:val="25"/>
              <w:rPr>
                <w:szCs w:val="21"/>
                <w:lang w:val="en-US" w:eastAsia="zh-CN"/>
              </w:rPr>
            </w:pPr>
            <w:r>
              <w:rPr>
                <w:rFonts w:hint="eastAsia"/>
                <w:szCs w:val="21"/>
                <w:lang w:val="en-US" w:eastAsia="zh-CN"/>
              </w:rPr>
              <w:t>2.244</w:t>
            </w:r>
          </w:p>
        </w:tc>
        <w:tc>
          <w:tcPr>
            <w:tcW w:w="2792" w:type="dxa"/>
            <w:vAlign w:val="center"/>
          </w:tcPr>
          <w:p>
            <w:pPr>
              <w:pStyle w:val="25"/>
              <w:rPr>
                <w:szCs w:val="21"/>
                <w:lang w:val="en-US" w:eastAsia="zh-CN"/>
              </w:rPr>
            </w:pPr>
            <w:r>
              <w:rPr>
                <w:rFonts w:hint="eastAsia"/>
                <w:szCs w:val="21"/>
                <w:lang w:val="en-US" w:eastAsia="zh-CN"/>
              </w:rPr>
              <w:t>-8.026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pStyle w:val="25"/>
              <w:rPr>
                <w:szCs w:val="21"/>
                <w:lang w:val="en-US" w:eastAsia="zh-CN"/>
              </w:rPr>
            </w:pPr>
            <w:r>
              <w:rPr>
                <w:rFonts w:hint="eastAsia"/>
                <w:szCs w:val="21"/>
                <w:lang w:val="en-US" w:eastAsia="zh-CN"/>
              </w:rPr>
              <w:t>VOCs</w:t>
            </w:r>
          </w:p>
        </w:tc>
        <w:tc>
          <w:tcPr>
            <w:tcW w:w="2183" w:type="dxa"/>
          </w:tcPr>
          <w:p>
            <w:pPr>
              <w:pStyle w:val="25"/>
              <w:rPr>
                <w:szCs w:val="21"/>
                <w:lang w:val="en-US" w:eastAsia="zh-CN"/>
              </w:rPr>
            </w:pPr>
            <w:r>
              <w:rPr>
                <w:rFonts w:hint="eastAsia"/>
                <w:szCs w:val="21"/>
                <w:lang w:val="en-US" w:eastAsia="zh-CN"/>
              </w:rPr>
              <w:t>8.625</w:t>
            </w:r>
          </w:p>
        </w:tc>
        <w:tc>
          <w:tcPr>
            <w:tcW w:w="3017" w:type="dxa"/>
          </w:tcPr>
          <w:p>
            <w:pPr>
              <w:pStyle w:val="25"/>
              <w:rPr>
                <w:szCs w:val="21"/>
                <w:lang w:val="en-US" w:eastAsia="zh-CN"/>
              </w:rPr>
            </w:pPr>
            <w:r>
              <w:rPr>
                <w:rFonts w:hint="eastAsia"/>
                <w:szCs w:val="21"/>
                <w:lang w:val="en-US" w:eastAsia="zh-CN"/>
              </w:rPr>
              <w:t>1.94</w:t>
            </w:r>
          </w:p>
        </w:tc>
        <w:tc>
          <w:tcPr>
            <w:tcW w:w="2792" w:type="dxa"/>
            <w:vAlign w:val="center"/>
          </w:tcPr>
          <w:p>
            <w:pPr>
              <w:pStyle w:val="25"/>
              <w:rPr>
                <w:szCs w:val="21"/>
                <w:lang w:val="en-US" w:eastAsia="zh-CN"/>
              </w:rPr>
            </w:pPr>
            <w:r>
              <w:rPr>
                <w:rFonts w:hint="eastAsia"/>
                <w:szCs w:val="21"/>
                <w:lang w:val="en-US" w:eastAsia="zh-CN"/>
              </w:rPr>
              <w:t>-6.685</w:t>
            </w:r>
          </w:p>
        </w:tc>
      </w:tr>
    </w:tbl>
    <w:p>
      <w:pPr>
        <w:pStyle w:val="4"/>
      </w:pPr>
      <w:r>
        <w:rPr>
          <w:rFonts w:hint="eastAsia"/>
        </w:rPr>
        <w:t>固体废物</w:t>
      </w:r>
    </w:p>
    <w:p>
      <w:pPr>
        <w:ind w:firstLine="480"/>
        <w:rPr>
          <w:u w:val="single"/>
        </w:rPr>
      </w:pPr>
      <w:r>
        <w:rPr>
          <w:rFonts w:hint="eastAsia"/>
          <w:u w:val="single"/>
        </w:rPr>
        <w:t>本项目固体废物主要为污泥、废包装材料、废矿物油、不合格产品、生活垃圾等。本项目固废产生情况见表</w:t>
      </w:r>
      <w:r>
        <w:rPr>
          <w:u w:val="single"/>
        </w:rPr>
        <w:t>4.3-6</w:t>
      </w:r>
      <w:r>
        <w:rPr>
          <w:rFonts w:hint="eastAsia"/>
          <w:u w:val="single"/>
        </w:rPr>
        <w:t>。</w:t>
      </w:r>
    </w:p>
    <w:p>
      <w:pPr>
        <w:pStyle w:val="26"/>
        <w:rPr>
          <w:u w:val="single"/>
        </w:rPr>
      </w:pPr>
      <w:r>
        <w:rPr>
          <w:rFonts w:hint="eastAsia"/>
          <w:b/>
          <w:bCs/>
          <w:u w:val="single"/>
        </w:rPr>
        <w:t>表</w:t>
      </w:r>
      <w:r>
        <w:rPr>
          <w:b/>
          <w:bCs/>
          <w:u w:val="single"/>
        </w:rPr>
        <w:t xml:space="preserve">4.3-6   </w:t>
      </w:r>
      <w:r>
        <w:rPr>
          <w:rFonts w:hint="eastAsia"/>
          <w:b/>
          <w:bCs/>
          <w:u w:val="single"/>
        </w:rPr>
        <w:t>技改后固废产生情况汇总表</w:t>
      </w:r>
    </w:p>
    <w:tbl>
      <w:tblPr>
        <w:tblStyle w:val="23"/>
        <w:tblW w:w="96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0"/>
        <w:gridCol w:w="1659"/>
        <w:gridCol w:w="1408"/>
        <w:gridCol w:w="889"/>
        <w:gridCol w:w="1260"/>
        <w:gridCol w:w="1400"/>
        <w:gridCol w:w="1485"/>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31" w:hRule="atLeast"/>
          <w:tblHeader/>
          <w:jc w:val="center"/>
        </w:trPr>
        <w:tc>
          <w:tcPr>
            <w:tcW w:w="610" w:type="dxa"/>
            <w:vAlign w:val="center"/>
          </w:tcPr>
          <w:p>
            <w:pPr>
              <w:pStyle w:val="26"/>
              <w:rPr>
                <w:kern w:val="2"/>
                <w:szCs w:val="21"/>
                <w:u w:val="single"/>
                <w:lang w:val="en-US" w:eastAsia="zh-CN"/>
              </w:rPr>
            </w:pPr>
            <w:r>
              <w:rPr>
                <w:rFonts w:hint="eastAsia"/>
                <w:kern w:val="2"/>
                <w:szCs w:val="21"/>
                <w:u w:val="single"/>
                <w:lang w:val="en-US" w:eastAsia="zh-CN"/>
              </w:rPr>
              <w:t>序号</w:t>
            </w:r>
          </w:p>
        </w:tc>
        <w:tc>
          <w:tcPr>
            <w:tcW w:w="1659" w:type="dxa"/>
            <w:vAlign w:val="center"/>
          </w:tcPr>
          <w:p>
            <w:pPr>
              <w:pStyle w:val="26"/>
              <w:rPr>
                <w:kern w:val="2"/>
                <w:szCs w:val="21"/>
                <w:u w:val="single"/>
                <w:lang w:val="en-US" w:eastAsia="zh-CN"/>
              </w:rPr>
            </w:pPr>
            <w:r>
              <w:rPr>
                <w:rFonts w:hint="eastAsia"/>
                <w:kern w:val="2"/>
                <w:szCs w:val="21"/>
                <w:u w:val="single"/>
                <w:lang w:val="en-US" w:eastAsia="zh-CN"/>
              </w:rPr>
              <w:t>固废名称</w:t>
            </w:r>
          </w:p>
        </w:tc>
        <w:tc>
          <w:tcPr>
            <w:tcW w:w="1408" w:type="dxa"/>
            <w:vAlign w:val="center"/>
          </w:tcPr>
          <w:p>
            <w:pPr>
              <w:pStyle w:val="26"/>
              <w:rPr>
                <w:kern w:val="2"/>
                <w:szCs w:val="21"/>
                <w:u w:val="single"/>
                <w:lang w:val="en-US" w:eastAsia="zh-CN"/>
              </w:rPr>
            </w:pPr>
            <w:r>
              <w:rPr>
                <w:rFonts w:hint="eastAsia"/>
                <w:kern w:val="2"/>
                <w:szCs w:val="21"/>
                <w:u w:val="single"/>
                <w:lang w:val="en-US" w:eastAsia="zh-CN"/>
              </w:rPr>
              <w:t>产生工序</w:t>
            </w:r>
          </w:p>
        </w:tc>
        <w:tc>
          <w:tcPr>
            <w:tcW w:w="889" w:type="dxa"/>
            <w:vAlign w:val="center"/>
          </w:tcPr>
          <w:p>
            <w:pPr>
              <w:pStyle w:val="26"/>
              <w:rPr>
                <w:kern w:val="2"/>
                <w:szCs w:val="21"/>
                <w:u w:val="single"/>
                <w:lang w:val="en-US" w:eastAsia="zh-CN"/>
              </w:rPr>
            </w:pPr>
            <w:r>
              <w:rPr>
                <w:rFonts w:hint="eastAsia"/>
                <w:kern w:val="2"/>
                <w:szCs w:val="21"/>
                <w:u w:val="single"/>
                <w:lang w:val="en-US" w:eastAsia="zh-CN"/>
              </w:rPr>
              <w:t>形态</w:t>
            </w:r>
          </w:p>
        </w:tc>
        <w:tc>
          <w:tcPr>
            <w:tcW w:w="1260" w:type="dxa"/>
            <w:vAlign w:val="center"/>
          </w:tcPr>
          <w:p>
            <w:pPr>
              <w:pStyle w:val="26"/>
              <w:rPr>
                <w:kern w:val="2"/>
                <w:szCs w:val="21"/>
                <w:u w:val="single"/>
                <w:lang w:val="en-US" w:eastAsia="zh-CN"/>
              </w:rPr>
            </w:pPr>
            <w:r>
              <w:rPr>
                <w:rFonts w:hint="eastAsia"/>
                <w:kern w:val="2"/>
                <w:szCs w:val="21"/>
                <w:u w:val="single"/>
                <w:lang w:val="en-US" w:eastAsia="zh-CN"/>
              </w:rPr>
              <w:t>主要成份</w:t>
            </w:r>
          </w:p>
        </w:tc>
        <w:tc>
          <w:tcPr>
            <w:tcW w:w="1400" w:type="dxa"/>
            <w:vAlign w:val="center"/>
          </w:tcPr>
          <w:p>
            <w:pPr>
              <w:pStyle w:val="26"/>
              <w:rPr>
                <w:kern w:val="2"/>
                <w:szCs w:val="21"/>
                <w:u w:val="single"/>
                <w:lang w:val="en-US" w:eastAsia="zh-CN"/>
              </w:rPr>
            </w:pPr>
            <w:r>
              <w:rPr>
                <w:rFonts w:hint="eastAsia"/>
                <w:kern w:val="2"/>
                <w:szCs w:val="21"/>
                <w:u w:val="single"/>
                <w:lang w:val="en-US" w:eastAsia="zh-CN"/>
              </w:rPr>
              <w:t>属性</w:t>
            </w:r>
          </w:p>
        </w:tc>
        <w:tc>
          <w:tcPr>
            <w:tcW w:w="1485" w:type="dxa"/>
            <w:vAlign w:val="center"/>
          </w:tcPr>
          <w:p>
            <w:pPr>
              <w:pStyle w:val="26"/>
              <w:spacing w:line="240" w:lineRule="auto"/>
              <w:rPr>
                <w:kern w:val="2"/>
                <w:szCs w:val="21"/>
                <w:u w:val="single"/>
                <w:lang w:val="en-US" w:eastAsia="zh-CN"/>
              </w:rPr>
            </w:pPr>
            <w:r>
              <w:rPr>
                <w:rFonts w:hint="eastAsia"/>
                <w:kern w:val="2"/>
                <w:szCs w:val="21"/>
                <w:u w:val="single"/>
                <w:lang w:val="en-US" w:eastAsia="zh-CN"/>
              </w:rPr>
              <w:t>废物代码</w:t>
            </w:r>
          </w:p>
        </w:tc>
        <w:tc>
          <w:tcPr>
            <w:tcW w:w="983" w:type="dxa"/>
            <w:vAlign w:val="center"/>
          </w:tcPr>
          <w:p>
            <w:pPr>
              <w:pStyle w:val="26"/>
              <w:spacing w:line="240" w:lineRule="auto"/>
              <w:rPr>
                <w:kern w:val="2"/>
                <w:szCs w:val="21"/>
                <w:u w:val="single"/>
                <w:lang w:val="en-US" w:eastAsia="zh-CN"/>
              </w:rPr>
            </w:pPr>
            <w:r>
              <w:rPr>
                <w:rFonts w:hint="eastAsia"/>
                <w:kern w:val="2"/>
                <w:szCs w:val="21"/>
                <w:u w:val="single"/>
                <w:lang w:val="en-US" w:eastAsia="zh-CN"/>
              </w:rPr>
              <w:t>产生量</w:t>
            </w:r>
          </w:p>
          <w:p>
            <w:pPr>
              <w:pStyle w:val="26"/>
              <w:spacing w:line="240" w:lineRule="auto"/>
              <w:rPr>
                <w:kern w:val="2"/>
                <w:szCs w:val="21"/>
                <w:u w:val="single"/>
                <w:lang w:val="en-US" w:eastAsia="zh-CN"/>
              </w:rPr>
            </w:pPr>
            <w:r>
              <w:rPr>
                <w:kern w:val="2"/>
                <w:szCs w:val="21"/>
                <w:u w:val="singl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9" w:hRule="atLeast"/>
          <w:jc w:val="center"/>
        </w:trPr>
        <w:tc>
          <w:tcPr>
            <w:tcW w:w="610" w:type="dxa"/>
            <w:vAlign w:val="center"/>
          </w:tcPr>
          <w:p>
            <w:pPr>
              <w:pStyle w:val="26"/>
              <w:rPr>
                <w:kern w:val="2"/>
                <w:szCs w:val="21"/>
                <w:u w:val="single"/>
                <w:lang w:val="en-US" w:eastAsia="zh-CN"/>
              </w:rPr>
            </w:pPr>
            <w:r>
              <w:rPr>
                <w:kern w:val="2"/>
                <w:szCs w:val="21"/>
                <w:u w:val="single"/>
                <w:lang w:val="en-US" w:eastAsia="zh-CN"/>
              </w:rPr>
              <w:t>1</w:t>
            </w:r>
          </w:p>
        </w:tc>
        <w:tc>
          <w:tcPr>
            <w:tcW w:w="165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废矿物油</w:t>
            </w:r>
          </w:p>
        </w:tc>
        <w:tc>
          <w:tcPr>
            <w:tcW w:w="1408"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定型废气治理</w:t>
            </w:r>
          </w:p>
        </w:tc>
        <w:tc>
          <w:tcPr>
            <w:tcW w:w="88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液态</w:t>
            </w:r>
          </w:p>
        </w:tc>
        <w:tc>
          <w:tcPr>
            <w:tcW w:w="126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硅油等</w:t>
            </w:r>
          </w:p>
        </w:tc>
        <w:tc>
          <w:tcPr>
            <w:tcW w:w="140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危险废物</w:t>
            </w:r>
          </w:p>
        </w:tc>
        <w:tc>
          <w:tcPr>
            <w:tcW w:w="1485" w:type="dxa"/>
            <w:vAlign w:val="center"/>
          </w:tcPr>
          <w:p>
            <w:pPr>
              <w:pStyle w:val="26"/>
              <w:spacing w:line="240" w:lineRule="auto"/>
              <w:rPr>
                <w:kern w:val="2"/>
                <w:szCs w:val="21"/>
                <w:u w:val="single"/>
                <w:lang w:val="en-US" w:eastAsia="zh-CN"/>
              </w:rPr>
            </w:pPr>
            <w:r>
              <w:rPr>
                <w:kern w:val="2"/>
                <w:szCs w:val="21"/>
                <w:u w:val="single"/>
                <w:lang w:val="en-US" w:eastAsia="zh-CN"/>
              </w:rPr>
              <w:t>HW08</w:t>
            </w:r>
          </w:p>
          <w:p>
            <w:pPr>
              <w:pStyle w:val="26"/>
              <w:spacing w:line="240" w:lineRule="auto"/>
              <w:ind w:firstLine="0" w:firstLineChars="0"/>
              <w:rPr>
                <w:kern w:val="2"/>
                <w:szCs w:val="21"/>
                <w:u w:val="single"/>
                <w:lang w:val="en-US" w:eastAsia="zh-CN"/>
              </w:rPr>
            </w:pPr>
            <w:r>
              <w:rPr>
                <w:kern w:val="2"/>
                <w:szCs w:val="21"/>
                <w:u w:val="single"/>
                <w:lang w:val="en-US" w:eastAsia="zh-CN"/>
              </w:rPr>
              <w:t>900-210-08</w:t>
            </w:r>
          </w:p>
        </w:tc>
        <w:tc>
          <w:tcPr>
            <w:tcW w:w="983" w:type="dxa"/>
            <w:vAlign w:val="center"/>
          </w:tcPr>
          <w:p>
            <w:pPr>
              <w:pStyle w:val="26"/>
              <w:spacing w:line="240" w:lineRule="auto"/>
              <w:ind w:firstLine="0" w:firstLineChars="0"/>
              <w:rPr>
                <w:kern w:val="2"/>
                <w:szCs w:val="21"/>
                <w:u w:val="single"/>
                <w:lang w:val="en-US" w:eastAsia="zh-CN"/>
              </w:rPr>
            </w:pPr>
            <w:r>
              <w:rPr>
                <w:kern w:val="2"/>
                <w:szCs w:val="21"/>
                <w:u w:val="singl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73" w:hRule="atLeast"/>
          <w:jc w:val="center"/>
        </w:trPr>
        <w:tc>
          <w:tcPr>
            <w:tcW w:w="610" w:type="dxa"/>
            <w:vAlign w:val="center"/>
          </w:tcPr>
          <w:p>
            <w:pPr>
              <w:pStyle w:val="26"/>
              <w:rPr>
                <w:kern w:val="2"/>
                <w:szCs w:val="21"/>
                <w:u w:val="single"/>
                <w:lang w:val="en-US" w:eastAsia="zh-CN"/>
              </w:rPr>
            </w:pPr>
            <w:r>
              <w:rPr>
                <w:kern w:val="2"/>
                <w:szCs w:val="21"/>
                <w:u w:val="single"/>
                <w:lang w:val="en-US" w:eastAsia="zh-CN"/>
              </w:rPr>
              <w:t>2</w:t>
            </w:r>
          </w:p>
        </w:tc>
        <w:tc>
          <w:tcPr>
            <w:tcW w:w="165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普通废包装材料</w:t>
            </w:r>
          </w:p>
        </w:tc>
        <w:tc>
          <w:tcPr>
            <w:tcW w:w="1408"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原料包装</w:t>
            </w:r>
          </w:p>
        </w:tc>
        <w:tc>
          <w:tcPr>
            <w:tcW w:w="88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固态</w:t>
            </w:r>
          </w:p>
        </w:tc>
        <w:tc>
          <w:tcPr>
            <w:tcW w:w="126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包装袋</w:t>
            </w:r>
            <w:r>
              <w:rPr>
                <w:kern w:val="2"/>
                <w:szCs w:val="21"/>
                <w:u w:val="single"/>
                <w:lang w:val="en-US" w:eastAsia="zh-CN"/>
              </w:rPr>
              <w:t>/</w:t>
            </w:r>
            <w:r>
              <w:rPr>
                <w:rFonts w:hint="eastAsia"/>
                <w:kern w:val="2"/>
                <w:szCs w:val="21"/>
                <w:u w:val="single"/>
                <w:lang w:val="en-US" w:eastAsia="zh-CN"/>
              </w:rPr>
              <w:t>箱</w:t>
            </w:r>
          </w:p>
        </w:tc>
        <w:tc>
          <w:tcPr>
            <w:tcW w:w="140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一般废物</w:t>
            </w:r>
          </w:p>
        </w:tc>
        <w:tc>
          <w:tcPr>
            <w:tcW w:w="1485" w:type="dxa"/>
            <w:vAlign w:val="center"/>
          </w:tcPr>
          <w:p>
            <w:pPr>
              <w:pStyle w:val="26"/>
              <w:spacing w:line="240" w:lineRule="auto"/>
              <w:ind w:firstLine="0" w:firstLineChars="0"/>
              <w:rPr>
                <w:kern w:val="2"/>
                <w:szCs w:val="21"/>
                <w:u w:val="single"/>
                <w:lang w:val="en-US" w:eastAsia="zh-CN"/>
              </w:rPr>
            </w:pPr>
            <w:r>
              <w:rPr>
                <w:kern w:val="2"/>
                <w:szCs w:val="21"/>
                <w:u w:val="single"/>
                <w:lang w:val="en-US" w:eastAsia="zh-CN"/>
              </w:rPr>
              <w:t>-</w:t>
            </w:r>
          </w:p>
        </w:tc>
        <w:tc>
          <w:tcPr>
            <w:tcW w:w="983" w:type="dxa"/>
            <w:vAlign w:val="center"/>
          </w:tcPr>
          <w:p>
            <w:pPr>
              <w:pStyle w:val="26"/>
              <w:spacing w:line="240" w:lineRule="auto"/>
              <w:ind w:firstLine="0" w:firstLineChars="0"/>
              <w:rPr>
                <w:kern w:val="2"/>
                <w:szCs w:val="21"/>
                <w:u w:val="single"/>
                <w:lang w:val="en-US" w:eastAsia="zh-CN"/>
              </w:rPr>
            </w:pPr>
            <w:r>
              <w:rPr>
                <w:kern w:val="2"/>
                <w:szCs w:val="21"/>
                <w:u w:val="singl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9" w:hRule="atLeast"/>
          <w:jc w:val="center"/>
        </w:trPr>
        <w:tc>
          <w:tcPr>
            <w:tcW w:w="610" w:type="dxa"/>
            <w:vAlign w:val="center"/>
          </w:tcPr>
          <w:p>
            <w:pPr>
              <w:pStyle w:val="26"/>
              <w:rPr>
                <w:kern w:val="2"/>
                <w:szCs w:val="21"/>
                <w:u w:val="single"/>
                <w:lang w:val="en-US" w:eastAsia="zh-CN"/>
              </w:rPr>
            </w:pPr>
            <w:r>
              <w:rPr>
                <w:kern w:val="2"/>
                <w:szCs w:val="21"/>
                <w:u w:val="single"/>
                <w:lang w:val="en-US" w:eastAsia="zh-CN"/>
              </w:rPr>
              <w:t>3</w:t>
            </w:r>
          </w:p>
        </w:tc>
        <w:tc>
          <w:tcPr>
            <w:tcW w:w="1659" w:type="dxa"/>
            <w:vAlign w:val="center"/>
          </w:tcPr>
          <w:p>
            <w:pPr>
              <w:pStyle w:val="26"/>
              <w:spacing w:line="240" w:lineRule="auto"/>
              <w:ind w:firstLine="0" w:firstLineChars="0"/>
              <w:rPr>
                <w:kern w:val="2"/>
                <w:szCs w:val="21"/>
                <w:u w:val="single"/>
                <w:lang w:val="en-US" w:eastAsia="zh-CN"/>
              </w:rPr>
            </w:pPr>
            <w:r>
              <w:rPr>
                <w:rFonts w:hint="eastAsia"/>
                <w:kern w:val="2"/>
                <w:szCs w:val="21"/>
                <w:u w:val="single"/>
                <w:lang w:val="en-US" w:eastAsia="zh-CN"/>
              </w:rPr>
              <w:t>含危化品废包装材料</w:t>
            </w:r>
          </w:p>
        </w:tc>
        <w:tc>
          <w:tcPr>
            <w:tcW w:w="1408" w:type="dxa"/>
            <w:vAlign w:val="center"/>
          </w:tcPr>
          <w:p>
            <w:pPr>
              <w:pStyle w:val="26"/>
              <w:spacing w:line="240" w:lineRule="auto"/>
              <w:ind w:firstLine="0" w:firstLineChars="0"/>
              <w:rPr>
                <w:kern w:val="2"/>
                <w:szCs w:val="21"/>
                <w:u w:val="single"/>
                <w:lang w:val="en-US" w:eastAsia="zh-CN"/>
              </w:rPr>
            </w:pPr>
            <w:r>
              <w:rPr>
                <w:rFonts w:hint="eastAsia"/>
                <w:kern w:val="2"/>
                <w:szCs w:val="21"/>
                <w:u w:val="single"/>
                <w:lang w:val="en-US" w:eastAsia="zh-CN"/>
              </w:rPr>
              <w:t>包装</w:t>
            </w:r>
          </w:p>
        </w:tc>
        <w:tc>
          <w:tcPr>
            <w:tcW w:w="889" w:type="dxa"/>
            <w:vAlign w:val="center"/>
          </w:tcPr>
          <w:p>
            <w:pPr>
              <w:pStyle w:val="26"/>
              <w:spacing w:line="240" w:lineRule="auto"/>
              <w:ind w:firstLine="0" w:firstLineChars="0"/>
              <w:rPr>
                <w:kern w:val="2"/>
                <w:szCs w:val="21"/>
                <w:u w:val="single"/>
                <w:lang w:val="en-US" w:eastAsia="zh-CN"/>
              </w:rPr>
            </w:pPr>
            <w:r>
              <w:rPr>
                <w:rFonts w:hint="eastAsia"/>
                <w:kern w:val="2"/>
                <w:szCs w:val="21"/>
                <w:u w:val="single"/>
                <w:lang w:val="en-US" w:eastAsia="zh-CN"/>
              </w:rPr>
              <w:t>固态</w:t>
            </w:r>
          </w:p>
        </w:tc>
        <w:tc>
          <w:tcPr>
            <w:tcW w:w="1260" w:type="dxa"/>
            <w:vAlign w:val="center"/>
          </w:tcPr>
          <w:p>
            <w:pPr>
              <w:pStyle w:val="26"/>
              <w:spacing w:line="240" w:lineRule="auto"/>
              <w:ind w:firstLine="0" w:firstLineChars="0"/>
              <w:rPr>
                <w:kern w:val="2"/>
                <w:szCs w:val="21"/>
                <w:u w:val="single"/>
                <w:lang w:val="en-US" w:eastAsia="zh-CN"/>
              </w:rPr>
            </w:pPr>
            <w:r>
              <w:rPr>
                <w:rFonts w:hint="eastAsia"/>
                <w:kern w:val="2"/>
                <w:szCs w:val="21"/>
                <w:u w:val="single"/>
                <w:lang w:val="en-US" w:eastAsia="zh-CN"/>
              </w:rPr>
              <w:t>包装袋</w:t>
            </w:r>
            <w:r>
              <w:rPr>
                <w:kern w:val="2"/>
                <w:szCs w:val="21"/>
                <w:u w:val="single"/>
                <w:lang w:val="en-US" w:eastAsia="zh-CN"/>
              </w:rPr>
              <w:t>/</w:t>
            </w:r>
            <w:r>
              <w:rPr>
                <w:rFonts w:hint="eastAsia"/>
                <w:kern w:val="2"/>
                <w:szCs w:val="21"/>
                <w:u w:val="single"/>
                <w:lang w:val="en-US" w:eastAsia="zh-CN"/>
              </w:rPr>
              <w:t>桶</w:t>
            </w:r>
          </w:p>
        </w:tc>
        <w:tc>
          <w:tcPr>
            <w:tcW w:w="1400" w:type="dxa"/>
            <w:vAlign w:val="center"/>
          </w:tcPr>
          <w:p>
            <w:pPr>
              <w:pStyle w:val="26"/>
              <w:spacing w:line="240" w:lineRule="auto"/>
              <w:ind w:firstLine="0" w:firstLineChars="0"/>
              <w:rPr>
                <w:kern w:val="2"/>
                <w:szCs w:val="21"/>
                <w:u w:val="single"/>
                <w:lang w:val="en-US" w:eastAsia="zh-CN"/>
              </w:rPr>
            </w:pPr>
            <w:r>
              <w:rPr>
                <w:rFonts w:hint="eastAsia"/>
                <w:kern w:val="2"/>
                <w:szCs w:val="21"/>
                <w:u w:val="single"/>
                <w:lang w:val="en-US" w:eastAsia="zh-CN"/>
              </w:rPr>
              <w:t>危险固废</w:t>
            </w:r>
          </w:p>
        </w:tc>
        <w:tc>
          <w:tcPr>
            <w:tcW w:w="1485" w:type="dxa"/>
            <w:vAlign w:val="center"/>
          </w:tcPr>
          <w:p>
            <w:pPr>
              <w:pStyle w:val="26"/>
              <w:spacing w:line="240" w:lineRule="auto"/>
              <w:rPr>
                <w:kern w:val="2"/>
                <w:szCs w:val="21"/>
                <w:u w:val="single"/>
                <w:lang w:val="en-US" w:eastAsia="zh-CN"/>
              </w:rPr>
            </w:pPr>
            <w:r>
              <w:rPr>
                <w:kern w:val="2"/>
                <w:szCs w:val="21"/>
                <w:u w:val="single"/>
                <w:lang w:val="en-US" w:eastAsia="zh-CN"/>
              </w:rPr>
              <w:t>HW49</w:t>
            </w:r>
          </w:p>
          <w:p>
            <w:pPr>
              <w:pStyle w:val="26"/>
              <w:spacing w:line="240" w:lineRule="auto"/>
              <w:ind w:firstLine="0" w:firstLineChars="0"/>
              <w:rPr>
                <w:kern w:val="2"/>
                <w:szCs w:val="21"/>
                <w:u w:val="single"/>
                <w:lang w:val="en-US" w:eastAsia="zh-CN"/>
              </w:rPr>
            </w:pPr>
            <w:r>
              <w:rPr>
                <w:kern w:val="2"/>
                <w:szCs w:val="21"/>
                <w:u w:val="single"/>
                <w:lang w:val="en-US" w:eastAsia="zh-CN"/>
              </w:rPr>
              <w:t>900-041-49</w:t>
            </w:r>
          </w:p>
        </w:tc>
        <w:tc>
          <w:tcPr>
            <w:tcW w:w="983" w:type="dxa"/>
            <w:vAlign w:val="center"/>
          </w:tcPr>
          <w:p>
            <w:pPr>
              <w:pStyle w:val="26"/>
              <w:spacing w:line="240" w:lineRule="auto"/>
              <w:ind w:firstLine="0" w:firstLineChars="0"/>
              <w:rPr>
                <w:kern w:val="2"/>
                <w:szCs w:val="21"/>
                <w:u w:val="single"/>
                <w:lang w:val="en-US" w:eastAsia="zh-CN"/>
              </w:rPr>
            </w:pPr>
            <w:r>
              <w:rPr>
                <w:kern w:val="2"/>
                <w:szCs w:val="21"/>
                <w:u w:val="singl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9" w:hRule="atLeast"/>
          <w:jc w:val="center"/>
        </w:trPr>
        <w:tc>
          <w:tcPr>
            <w:tcW w:w="610" w:type="dxa"/>
            <w:vAlign w:val="center"/>
          </w:tcPr>
          <w:p>
            <w:pPr>
              <w:pStyle w:val="26"/>
              <w:spacing w:line="240" w:lineRule="auto"/>
              <w:rPr>
                <w:kern w:val="2"/>
                <w:szCs w:val="21"/>
                <w:u w:val="single"/>
                <w:lang w:val="en-US" w:eastAsia="zh-CN"/>
              </w:rPr>
            </w:pPr>
            <w:r>
              <w:rPr>
                <w:kern w:val="2"/>
                <w:szCs w:val="21"/>
                <w:u w:val="single"/>
                <w:lang w:val="en-US" w:eastAsia="zh-CN"/>
              </w:rPr>
              <w:t>4</w:t>
            </w:r>
          </w:p>
        </w:tc>
        <w:tc>
          <w:tcPr>
            <w:tcW w:w="165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污泥</w:t>
            </w:r>
          </w:p>
        </w:tc>
        <w:tc>
          <w:tcPr>
            <w:tcW w:w="1408"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废水处理</w:t>
            </w:r>
          </w:p>
        </w:tc>
        <w:tc>
          <w:tcPr>
            <w:tcW w:w="88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固体</w:t>
            </w:r>
          </w:p>
        </w:tc>
        <w:tc>
          <w:tcPr>
            <w:tcW w:w="126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有机物</w:t>
            </w:r>
          </w:p>
        </w:tc>
        <w:tc>
          <w:tcPr>
            <w:tcW w:w="140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危险废物</w:t>
            </w:r>
          </w:p>
        </w:tc>
        <w:tc>
          <w:tcPr>
            <w:tcW w:w="1485" w:type="dxa"/>
            <w:vAlign w:val="center"/>
          </w:tcPr>
          <w:p>
            <w:pPr>
              <w:pStyle w:val="26"/>
              <w:spacing w:line="240" w:lineRule="auto"/>
              <w:rPr>
                <w:kern w:val="2"/>
                <w:szCs w:val="21"/>
                <w:u w:val="single"/>
                <w:lang w:val="en-US" w:eastAsia="zh-CN"/>
              </w:rPr>
            </w:pPr>
            <w:r>
              <w:rPr>
                <w:kern w:val="2"/>
                <w:szCs w:val="21"/>
                <w:u w:val="single"/>
                <w:lang w:val="en-US" w:eastAsia="zh-CN"/>
              </w:rPr>
              <w:t>HW49</w:t>
            </w:r>
          </w:p>
          <w:p>
            <w:pPr>
              <w:pStyle w:val="26"/>
              <w:spacing w:line="240" w:lineRule="auto"/>
              <w:ind w:firstLine="0" w:firstLineChars="0"/>
              <w:rPr>
                <w:kern w:val="2"/>
                <w:szCs w:val="21"/>
                <w:u w:val="single"/>
                <w:lang w:val="en-US" w:eastAsia="zh-CN"/>
              </w:rPr>
            </w:pPr>
            <w:r>
              <w:rPr>
                <w:kern w:val="2"/>
                <w:szCs w:val="21"/>
                <w:u w:val="single"/>
                <w:lang w:val="en-US" w:eastAsia="zh-CN"/>
              </w:rPr>
              <w:t>802-006-49</w:t>
            </w:r>
          </w:p>
        </w:tc>
        <w:tc>
          <w:tcPr>
            <w:tcW w:w="983" w:type="dxa"/>
            <w:vAlign w:val="center"/>
          </w:tcPr>
          <w:p>
            <w:pPr>
              <w:pStyle w:val="26"/>
              <w:spacing w:line="240" w:lineRule="auto"/>
              <w:ind w:firstLine="0" w:firstLineChars="0"/>
              <w:rPr>
                <w:kern w:val="2"/>
                <w:szCs w:val="21"/>
                <w:u w:val="single"/>
                <w:lang w:val="en-US" w:eastAsia="zh-CN"/>
              </w:rPr>
            </w:pPr>
            <w:r>
              <w:rPr>
                <w:kern w:val="2"/>
                <w:szCs w:val="21"/>
                <w:u w:val="single"/>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73" w:hRule="atLeast"/>
          <w:jc w:val="center"/>
        </w:trPr>
        <w:tc>
          <w:tcPr>
            <w:tcW w:w="610" w:type="dxa"/>
            <w:vAlign w:val="center"/>
          </w:tcPr>
          <w:p>
            <w:pPr>
              <w:pStyle w:val="26"/>
              <w:rPr>
                <w:kern w:val="2"/>
                <w:szCs w:val="21"/>
                <w:u w:val="single"/>
                <w:lang w:val="en-US" w:eastAsia="zh-CN"/>
              </w:rPr>
            </w:pPr>
            <w:r>
              <w:rPr>
                <w:kern w:val="2"/>
                <w:szCs w:val="21"/>
                <w:u w:val="single"/>
                <w:lang w:val="en-US" w:eastAsia="zh-CN"/>
              </w:rPr>
              <w:t>5</w:t>
            </w:r>
          </w:p>
        </w:tc>
        <w:tc>
          <w:tcPr>
            <w:tcW w:w="165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纺纱废弃原料</w:t>
            </w:r>
          </w:p>
        </w:tc>
        <w:tc>
          <w:tcPr>
            <w:tcW w:w="1408"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生产</w:t>
            </w:r>
          </w:p>
        </w:tc>
        <w:tc>
          <w:tcPr>
            <w:tcW w:w="88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固态</w:t>
            </w:r>
          </w:p>
        </w:tc>
        <w:tc>
          <w:tcPr>
            <w:tcW w:w="126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涤纶纤维</w:t>
            </w:r>
          </w:p>
        </w:tc>
        <w:tc>
          <w:tcPr>
            <w:tcW w:w="140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一般废物</w:t>
            </w:r>
          </w:p>
        </w:tc>
        <w:tc>
          <w:tcPr>
            <w:tcW w:w="1485" w:type="dxa"/>
            <w:vAlign w:val="center"/>
          </w:tcPr>
          <w:p>
            <w:pPr>
              <w:pStyle w:val="26"/>
              <w:ind w:firstLine="0" w:firstLineChars="0"/>
              <w:rPr>
                <w:kern w:val="2"/>
                <w:szCs w:val="21"/>
                <w:u w:val="single"/>
                <w:lang w:val="en-US" w:eastAsia="zh-CN"/>
              </w:rPr>
            </w:pPr>
            <w:r>
              <w:rPr>
                <w:kern w:val="2"/>
                <w:szCs w:val="21"/>
                <w:u w:val="single"/>
                <w:lang w:val="en-US" w:eastAsia="zh-CN"/>
              </w:rPr>
              <w:t>-</w:t>
            </w:r>
          </w:p>
        </w:tc>
        <w:tc>
          <w:tcPr>
            <w:tcW w:w="983"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73" w:hRule="atLeast"/>
          <w:jc w:val="center"/>
        </w:trPr>
        <w:tc>
          <w:tcPr>
            <w:tcW w:w="610" w:type="dxa"/>
            <w:vAlign w:val="center"/>
          </w:tcPr>
          <w:p>
            <w:pPr>
              <w:pStyle w:val="26"/>
              <w:rPr>
                <w:kern w:val="2"/>
                <w:szCs w:val="21"/>
                <w:u w:val="single"/>
                <w:lang w:val="en-US" w:eastAsia="zh-CN"/>
              </w:rPr>
            </w:pPr>
            <w:r>
              <w:rPr>
                <w:kern w:val="2"/>
                <w:szCs w:val="21"/>
                <w:u w:val="single"/>
                <w:lang w:val="en-US" w:eastAsia="zh-CN"/>
              </w:rPr>
              <w:t>6</w:t>
            </w:r>
          </w:p>
        </w:tc>
        <w:tc>
          <w:tcPr>
            <w:tcW w:w="165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纺纱杂质</w:t>
            </w:r>
          </w:p>
        </w:tc>
        <w:tc>
          <w:tcPr>
            <w:tcW w:w="1408"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生产</w:t>
            </w:r>
          </w:p>
        </w:tc>
        <w:tc>
          <w:tcPr>
            <w:tcW w:w="88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固态</w:t>
            </w:r>
          </w:p>
        </w:tc>
        <w:tc>
          <w:tcPr>
            <w:tcW w:w="126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砂砾等</w:t>
            </w:r>
          </w:p>
        </w:tc>
        <w:tc>
          <w:tcPr>
            <w:tcW w:w="140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一般废物</w:t>
            </w:r>
          </w:p>
        </w:tc>
        <w:tc>
          <w:tcPr>
            <w:tcW w:w="1485" w:type="dxa"/>
            <w:vAlign w:val="center"/>
          </w:tcPr>
          <w:p>
            <w:pPr>
              <w:pStyle w:val="26"/>
              <w:ind w:firstLine="0" w:firstLineChars="0"/>
              <w:rPr>
                <w:kern w:val="2"/>
                <w:szCs w:val="21"/>
                <w:u w:val="single"/>
                <w:lang w:val="en-US" w:eastAsia="zh-CN"/>
              </w:rPr>
            </w:pPr>
            <w:r>
              <w:rPr>
                <w:kern w:val="2"/>
                <w:szCs w:val="21"/>
                <w:u w:val="single"/>
                <w:lang w:val="en-US" w:eastAsia="zh-CN"/>
              </w:rPr>
              <w:t>-</w:t>
            </w:r>
          </w:p>
        </w:tc>
        <w:tc>
          <w:tcPr>
            <w:tcW w:w="983"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73" w:hRule="atLeast"/>
          <w:jc w:val="center"/>
        </w:trPr>
        <w:tc>
          <w:tcPr>
            <w:tcW w:w="610" w:type="dxa"/>
            <w:vAlign w:val="center"/>
          </w:tcPr>
          <w:p>
            <w:pPr>
              <w:pStyle w:val="26"/>
              <w:rPr>
                <w:kern w:val="2"/>
                <w:szCs w:val="21"/>
                <w:u w:val="single"/>
                <w:lang w:val="en-US" w:eastAsia="zh-CN"/>
              </w:rPr>
            </w:pPr>
            <w:r>
              <w:rPr>
                <w:kern w:val="2"/>
                <w:szCs w:val="21"/>
                <w:u w:val="single"/>
                <w:lang w:val="en-US" w:eastAsia="zh-CN"/>
              </w:rPr>
              <w:t>7</w:t>
            </w:r>
          </w:p>
        </w:tc>
        <w:tc>
          <w:tcPr>
            <w:tcW w:w="165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草木灰</w:t>
            </w:r>
          </w:p>
        </w:tc>
        <w:tc>
          <w:tcPr>
            <w:tcW w:w="1408"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锅炉</w:t>
            </w:r>
          </w:p>
        </w:tc>
        <w:tc>
          <w:tcPr>
            <w:tcW w:w="88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固态</w:t>
            </w:r>
          </w:p>
        </w:tc>
        <w:tc>
          <w:tcPr>
            <w:tcW w:w="1260" w:type="dxa"/>
            <w:vAlign w:val="center"/>
          </w:tcPr>
          <w:p>
            <w:pPr>
              <w:pStyle w:val="26"/>
              <w:ind w:firstLine="0" w:firstLineChars="0"/>
              <w:rPr>
                <w:kern w:val="2"/>
                <w:szCs w:val="21"/>
                <w:u w:val="single"/>
                <w:lang w:val="en-US" w:eastAsia="zh-CN"/>
              </w:rPr>
            </w:pPr>
            <w:r>
              <w:rPr>
                <w:kern w:val="2"/>
                <w:szCs w:val="21"/>
                <w:u w:val="single"/>
                <w:lang w:val="en-US" w:eastAsia="zh-CN"/>
              </w:rPr>
              <w:t>/</w:t>
            </w:r>
          </w:p>
        </w:tc>
        <w:tc>
          <w:tcPr>
            <w:tcW w:w="140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一般废物</w:t>
            </w:r>
          </w:p>
        </w:tc>
        <w:tc>
          <w:tcPr>
            <w:tcW w:w="1485" w:type="dxa"/>
            <w:vAlign w:val="center"/>
          </w:tcPr>
          <w:p>
            <w:pPr>
              <w:pStyle w:val="26"/>
              <w:ind w:firstLine="0" w:firstLineChars="0"/>
              <w:rPr>
                <w:kern w:val="2"/>
                <w:szCs w:val="21"/>
                <w:u w:val="single"/>
                <w:lang w:val="en-US" w:eastAsia="zh-CN"/>
              </w:rPr>
            </w:pPr>
            <w:r>
              <w:rPr>
                <w:kern w:val="2"/>
                <w:szCs w:val="21"/>
                <w:u w:val="single"/>
                <w:lang w:val="en-US" w:eastAsia="zh-CN"/>
              </w:rPr>
              <w:t>-</w:t>
            </w:r>
          </w:p>
        </w:tc>
        <w:tc>
          <w:tcPr>
            <w:tcW w:w="983" w:type="dxa"/>
            <w:vAlign w:val="center"/>
          </w:tcPr>
          <w:p>
            <w:pPr>
              <w:pStyle w:val="26"/>
              <w:ind w:firstLine="0" w:firstLineChars="0"/>
              <w:rPr>
                <w:kern w:val="2"/>
                <w:szCs w:val="21"/>
                <w:u w:val="single"/>
                <w:lang w:val="en-US" w:eastAsia="zh-CN"/>
              </w:rPr>
            </w:pPr>
            <w:r>
              <w:rPr>
                <w:kern w:val="2"/>
                <w:szCs w:val="21"/>
                <w:u w:val="single"/>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73" w:hRule="atLeast"/>
          <w:jc w:val="center"/>
        </w:trPr>
        <w:tc>
          <w:tcPr>
            <w:tcW w:w="610" w:type="dxa"/>
            <w:vAlign w:val="center"/>
          </w:tcPr>
          <w:p>
            <w:pPr>
              <w:pStyle w:val="26"/>
              <w:rPr>
                <w:kern w:val="2"/>
                <w:szCs w:val="21"/>
                <w:u w:val="single"/>
                <w:lang w:val="en-US" w:eastAsia="zh-CN"/>
              </w:rPr>
            </w:pPr>
            <w:r>
              <w:rPr>
                <w:kern w:val="2"/>
                <w:szCs w:val="21"/>
                <w:u w:val="single"/>
                <w:lang w:val="en-US" w:eastAsia="zh-CN"/>
              </w:rPr>
              <w:t>8</w:t>
            </w:r>
          </w:p>
        </w:tc>
        <w:tc>
          <w:tcPr>
            <w:tcW w:w="165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生活垃圾</w:t>
            </w:r>
          </w:p>
        </w:tc>
        <w:tc>
          <w:tcPr>
            <w:tcW w:w="1408"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员工生活</w:t>
            </w:r>
          </w:p>
        </w:tc>
        <w:tc>
          <w:tcPr>
            <w:tcW w:w="889"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固态</w:t>
            </w:r>
          </w:p>
        </w:tc>
        <w:tc>
          <w:tcPr>
            <w:tcW w:w="126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有机物</w:t>
            </w:r>
          </w:p>
        </w:tc>
        <w:tc>
          <w:tcPr>
            <w:tcW w:w="1400" w:type="dxa"/>
            <w:vAlign w:val="center"/>
          </w:tcPr>
          <w:p>
            <w:pPr>
              <w:pStyle w:val="26"/>
              <w:ind w:firstLine="0" w:firstLineChars="0"/>
              <w:rPr>
                <w:kern w:val="2"/>
                <w:szCs w:val="21"/>
                <w:u w:val="single"/>
                <w:lang w:val="en-US" w:eastAsia="zh-CN"/>
              </w:rPr>
            </w:pPr>
            <w:r>
              <w:rPr>
                <w:rFonts w:hint="eastAsia"/>
                <w:kern w:val="2"/>
                <w:szCs w:val="21"/>
                <w:u w:val="single"/>
                <w:lang w:val="en-US" w:eastAsia="zh-CN"/>
              </w:rPr>
              <w:t>一般废物</w:t>
            </w:r>
          </w:p>
        </w:tc>
        <w:tc>
          <w:tcPr>
            <w:tcW w:w="1485" w:type="dxa"/>
            <w:vAlign w:val="center"/>
          </w:tcPr>
          <w:p>
            <w:pPr>
              <w:pStyle w:val="26"/>
              <w:spacing w:line="240" w:lineRule="auto"/>
              <w:ind w:firstLine="0" w:firstLineChars="0"/>
              <w:rPr>
                <w:kern w:val="2"/>
                <w:szCs w:val="21"/>
                <w:u w:val="single"/>
                <w:lang w:val="en-US" w:eastAsia="zh-CN"/>
              </w:rPr>
            </w:pPr>
            <w:r>
              <w:rPr>
                <w:kern w:val="2"/>
                <w:szCs w:val="21"/>
                <w:u w:val="single"/>
                <w:lang w:val="en-US" w:eastAsia="zh-CN"/>
              </w:rPr>
              <w:t>-</w:t>
            </w:r>
          </w:p>
        </w:tc>
        <w:tc>
          <w:tcPr>
            <w:tcW w:w="983" w:type="dxa"/>
            <w:vAlign w:val="center"/>
          </w:tcPr>
          <w:p>
            <w:pPr>
              <w:pStyle w:val="26"/>
              <w:spacing w:line="240" w:lineRule="auto"/>
              <w:ind w:firstLine="0" w:firstLineChars="0"/>
              <w:rPr>
                <w:kern w:val="2"/>
                <w:szCs w:val="21"/>
                <w:u w:val="single"/>
                <w:lang w:val="en-US" w:eastAsia="zh-CN"/>
              </w:rPr>
            </w:pPr>
            <w:r>
              <w:rPr>
                <w:rFonts w:hint="eastAsia"/>
                <w:kern w:val="2"/>
                <w:szCs w:val="21"/>
                <w:u w:val="single"/>
                <w:lang w:val="en-US" w:eastAsia="zh-CN"/>
              </w:rPr>
              <w:t>630</w:t>
            </w:r>
          </w:p>
        </w:tc>
      </w:tr>
    </w:tbl>
    <w:p>
      <w:pPr>
        <w:pStyle w:val="5"/>
      </w:pPr>
      <w:r>
        <w:rPr>
          <w:rFonts w:hint="eastAsia"/>
        </w:rPr>
        <w:t>技改前后废气环保措施及产排情况对比</w:t>
      </w:r>
    </w:p>
    <w:p>
      <w:pPr>
        <w:ind w:firstLine="480"/>
      </w:pPr>
      <w:r>
        <w:rPr>
          <w:rFonts w:hint="eastAsia"/>
        </w:rPr>
        <w:t>根据现有工程废气工程分析和技改后废气工程分析，废气的环保措施变化情况见表4.4-11，废气污染物产排变化情况见表4.4-12。</w:t>
      </w:r>
    </w:p>
    <w:p>
      <w:pPr>
        <w:pStyle w:val="25"/>
        <w:rPr>
          <w:b/>
          <w:bCs/>
        </w:rPr>
      </w:pPr>
      <w:r>
        <w:rPr>
          <w:rFonts w:hint="eastAsia"/>
          <w:b/>
          <w:bCs/>
        </w:rPr>
        <w:t>表4.4-11  技改前后废气处理环保措施对比一览表</w:t>
      </w:r>
    </w:p>
    <w:tbl>
      <w:tblPr>
        <w:tblStyle w:val="23"/>
        <w:tblW w:w="97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866"/>
        <w:gridCol w:w="2817"/>
        <w:gridCol w:w="2117"/>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2960" w:type="dxa"/>
            <w:gridSpan w:val="2"/>
            <w:vAlign w:val="center"/>
          </w:tcPr>
          <w:p>
            <w:pPr>
              <w:pStyle w:val="25"/>
              <w:rPr>
                <w:szCs w:val="21"/>
                <w:lang w:val="en-US" w:eastAsia="zh-CN"/>
              </w:rPr>
            </w:pPr>
            <w:r>
              <w:rPr>
                <w:rFonts w:hint="eastAsia"/>
                <w:szCs w:val="21"/>
                <w:lang w:val="en-US" w:eastAsia="zh-CN"/>
              </w:rPr>
              <w:t>类别</w:t>
            </w:r>
          </w:p>
        </w:tc>
        <w:tc>
          <w:tcPr>
            <w:tcW w:w="2817" w:type="dxa"/>
            <w:vAlign w:val="center"/>
          </w:tcPr>
          <w:p>
            <w:pPr>
              <w:pStyle w:val="25"/>
              <w:rPr>
                <w:szCs w:val="21"/>
                <w:lang w:val="en-US" w:eastAsia="zh-CN"/>
              </w:rPr>
            </w:pPr>
            <w:r>
              <w:rPr>
                <w:rFonts w:hint="eastAsia"/>
                <w:szCs w:val="21"/>
                <w:lang w:val="en-US" w:eastAsia="zh-CN"/>
              </w:rPr>
              <w:t>技改前</w:t>
            </w:r>
          </w:p>
        </w:tc>
        <w:tc>
          <w:tcPr>
            <w:tcW w:w="2117" w:type="dxa"/>
            <w:vAlign w:val="center"/>
          </w:tcPr>
          <w:p>
            <w:pPr>
              <w:pStyle w:val="25"/>
              <w:rPr>
                <w:szCs w:val="21"/>
                <w:lang w:val="en-US" w:eastAsia="zh-CN"/>
              </w:rPr>
            </w:pPr>
            <w:r>
              <w:rPr>
                <w:rFonts w:hint="eastAsia"/>
                <w:szCs w:val="21"/>
                <w:lang w:val="en-US" w:eastAsia="zh-CN"/>
              </w:rPr>
              <w:t>技改后</w:t>
            </w:r>
          </w:p>
        </w:tc>
        <w:tc>
          <w:tcPr>
            <w:tcW w:w="1872" w:type="dxa"/>
            <w:vAlign w:val="center"/>
          </w:tcPr>
          <w:p>
            <w:pPr>
              <w:pStyle w:val="25"/>
              <w:rPr>
                <w:szCs w:val="21"/>
                <w:lang w:val="en-US" w:eastAsia="zh-CN"/>
              </w:rPr>
            </w:pPr>
            <w:r>
              <w:rPr>
                <w:rFonts w:hint="eastAsia"/>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Merge w:val="restart"/>
            <w:vAlign w:val="center"/>
          </w:tcPr>
          <w:p>
            <w:pPr>
              <w:pStyle w:val="26"/>
              <w:spacing w:line="240" w:lineRule="auto"/>
              <w:rPr>
                <w:szCs w:val="21"/>
                <w:lang w:val="en-US" w:eastAsia="zh-CN"/>
              </w:rPr>
            </w:pPr>
            <w:r>
              <w:rPr>
                <w:rFonts w:hint="eastAsia"/>
                <w:kern w:val="2"/>
                <w:szCs w:val="21"/>
                <w:lang w:val="en-US" w:eastAsia="zh-CN"/>
              </w:rPr>
              <w:t>印染生产及包装</w:t>
            </w:r>
          </w:p>
        </w:tc>
        <w:tc>
          <w:tcPr>
            <w:tcW w:w="1866" w:type="dxa"/>
            <w:vAlign w:val="center"/>
          </w:tcPr>
          <w:p>
            <w:pPr>
              <w:pStyle w:val="26"/>
              <w:spacing w:line="240" w:lineRule="auto"/>
              <w:ind w:firstLine="0" w:firstLineChars="0"/>
              <w:rPr>
                <w:szCs w:val="21"/>
                <w:lang w:val="en-US" w:eastAsia="zh-CN"/>
              </w:rPr>
            </w:pPr>
            <w:r>
              <w:rPr>
                <w:rFonts w:hint="eastAsia"/>
                <w:kern w:val="2"/>
                <w:szCs w:val="21"/>
                <w:lang w:val="en-US" w:eastAsia="zh-CN"/>
              </w:rPr>
              <w:t>煤渣</w:t>
            </w:r>
          </w:p>
        </w:tc>
        <w:tc>
          <w:tcPr>
            <w:tcW w:w="2817" w:type="dxa"/>
            <w:vAlign w:val="center"/>
          </w:tcPr>
          <w:p>
            <w:pPr>
              <w:pStyle w:val="26"/>
              <w:ind w:firstLine="0" w:firstLineChars="0"/>
              <w:rPr>
                <w:szCs w:val="21"/>
                <w:lang w:val="en-US" w:eastAsia="zh-CN"/>
              </w:rPr>
            </w:pPr>
            <w:r>
              <w:rPr>
                <w:rFonts w:hint="eastAsia"/>
                <w:szCs w:val="21"/>
                <w:lang w:val="en-US" w:eastAsia="zh-CN"/>
              </w:rPr>
              <w:t>外售用于铺路等</w:t>
            </w:r>
          </w:p>
        </w:tc>
        <w:tc>
          <w:tcPr>
            <w:tcW w:w="2117" w:type="dxa"/>
            <w:vAlign w:val="center"/>
          </w:tcPr>
          <w:p>
            <w:pPr>
              <w:pStyle w:val="25"/>
              <w:ind w:firstLine="0" w:firstLineChars="0"/>
              <w:rPr>
                <w:szCs w:val="21"/>
                <w:lang w:val="en-US" w:eastAsia="zh-CN"/>
              </w:rPr>
            </w:pPr>
            <w:r>
              <w:rPr>
                <w:rFonts w:hint="eastAsia"/>
                <w:szCs w:val="21"/>
                <w:lang w:val="en-US" w:eastAsia="zh-CN"/>
              </w:rPr>
              <w:t>/</w:t>
            </w:r>
          </w:p>
        </w:tc>
        <w:tc>
          <w:tcPr>
            <w:tcW w:w="1872" w:type="dxa"/>
            <w:vAlign w:val="center"/>
          </w:tcPr>
          <w:p>
            <w:pPr>
              <w:pStyle w:val="25"/>
              <w:ind w:firstLine="0" w:firstLineChars="0"/>
              <w:rPr>
                <w:szCs w:val="21"/>
                <w:lang w:val="en-US" w:eastAsia="zh-CN"/>
              </w:rPr>
            </w:pPr>
            <w:r>
              <w:rPr>
                <w:rFonts w:hint="eastAsia"/>
                <w:szCs w:val="21"/>
                <w:lang w:val="en-US" w:eastAsia="zh-CN"/>
              </w:rPr>
              <w:t>技改后无该固废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Merge w:val="continue"/>
            <w:vAlign w:val="center"/>
          </w:tcPr>
          <w:p>
            <w:pPr>
              <w:pStyle w:val="26"/>
              <w:spacing w:line="240" w:lineRule="auto"/>
              <w:rPr>
                <w:szCs w:val="21"/>
                <w:lang w:val="en-US" w:eastAsia="zh-CN"/>
              </w:rPr>
            </w:pPr>
          </w:p>
        </w:tc>
        <w:tc>
          <w:tcPr>
            <w:tcW w:w="1866" w:type="dxa"/>
            <w:vAlign w:val="center"/>
          </w:tcPr>
          <w:p>
            <w:pPr>
              <w:pStyle w:val="26"/>
              <w:spacing w:line="240" w:lineRule="auto"/>
              <w:ind w:firstLine="0" w:firstLineChars="0"/>
              <w:rPr>
                <w:szCs w:val="21"/>
                <w:lang w:val="en-US" w:eastAsia="zh-CN"/>
              </w:rPr>
            </w:pPr>
            <w:r>
              <w:rPr>
                <w:rFonts w:hint="eastAsia"/>
                <w:kern w:val="2"/>
                <w:szCs w:val="21"/>
                <w:lang w:val="en-US" w:eastAsia="zh-CN"/>
              </w:rPr>
              <w:t>草木灰</w:t>
            </w:r>
          </w:p>
        </w:tc>
        <w:tc>
          <w:tcPr>
            <w:tcW w:w="2817" w:type="dxa"/>
            <w:vAlign w:val="center"/>
          </w:tcPr>
          <w:p>
            <w:pPr>
              <w:pStyle w:val="26"/>
              <w:ind w:firstLine="0" w:firstLineChars="0"/>
              <w:rPr>
                <w:szCs w:val="21"/>
                <w:lang w:val="en-US" w:eastAsia="zh-CN"/>
              </w:rPr>
            </w:pPr>
            <w:r>
              <w:rPr>
                <w:rFonts w:hint="eastAsia"/>
                <w:szCs w:val="21"/>
                <w:lang w:val="en-US" w:eastAsia="zh-CN"/>
              </w:rPr>
              <w:t>/</w:t>
            </w:r>
          </w:p>
        </w:tc>
        <w:tc>
          <w:tcPr>
            <w:tcW w:w="2117" w:type="dxa"/>
            <w:vAlign w:val="center"/>
          </w:tcPr>
          <w:p>
            <w:pPr>
              <w:pStyle w:val="25"/>
              <w:ind w:firstLine="0" w:firstLineChars="0"/>
              <w:rPr>
                <w:szCs w:val="21"/>
                <w:lang w:val="en-US" w:eastAsia="zh-CN"/>
              </w:rPr>
            </w:pPr>
            <w:r>
              <w:rPr>
                <w:rFonts w:hint="eastAsia"/>
                <w:szCs w:val="21"/>
                <w:lang w:val="en-US" w:eastAsia="zh-CN"/>
              </w:rPr>
              <w:t>外售用作于农肥</w:t>
            </w:r>
          </w:p>
        </w:tc>
        <w:tc>
          <w:tcPr>
            <w:tcW w:w="1872" w:type="dxa"/>
            <w:vAlign w:val="center"/>
          </w:tcPr>
          <w:p>
            <w:pPr>
              <w:pStyle w:val="25"/>
              <w:ind w:firstLine="0" w:firstLineChars="0"/>
              <w:rPr>
                <w:szCs w:val="21"/>
                <w:lang w:val="en-US" w:eastAsia="zh-CN"/>
              </w:rPr>
            </w:pPr>
            <w:r>
              <w:rPr>
                <w:rFonts w:hint="eastAsia"/>
                <w:szCs w:val="21"/>
                <w:lang w:val="en-US" w:eastAsia="zh-CN"/>
              </w:rPr>
              <w:t>技改前无该固废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Merge w:val="continue"/>
            <w:vAlign w:val="center"/>
          </w:tcPr>
          <w:p>
            <w:pPr>
              <w:pStyle w:val="26"/>
              <w:spacing w:line="240" w:lineRule="auto"/>
              <w:rPr>
                <w:szCs w:val="21"/>
                <w:lang w:val="en-US" w:eastAsia="zh-CN"/>
              </w:rPr>
            </w:pPr>
          </w:p>
        </w:tc>
        <w:tc>
          <w:tcPr>
            <w:tcW w:w="1866" w:type="dxa"/>
            <w:vAlign w:val="center"/>
          </w:tcPr>
          <w:p>
            <w:pPr>
              <w:pStyle w:val="26"/>
              <w:spacing w:line="240" w:lineRule="auto"/>
              <w:ind w:firstLine="0" w:firstLineChars="0"/>
              <w:rPr>
                <w:kern w:val="2"/>
                <w:szCs w:val="21"/>
                <w:lang w:val="en-US" w:eastAsia="zh-CN"/>
              </w:rPr>
            </w:pPr>
            <w:r>
              <w:rPr>
                <w:rFonts w:hint="eastAsia"/>
                <w:kern w:val="2"/>
                <w:szCs w:val="21"/>
                <w:lang w:val="en-US" w:eastAsia="zh-CN"/>
              </w:rPr>
              <w:t>普通废包装材料</w:t>
            </w:r>
            <w:r>
              <w:rPr>
                <w:kern w:val="2"/>
                <w:szCs w:val="21"/>
                <w:lang w:val="en-US" w:eastAsia="zh-CN"/>
              </w:rPr>
              <w:t>(t/a)</w:t>
            </w:r>
          </w:p>
        </w:tc>
        <w:tc>
          <w:tcPr>
            <w:tcW w:w="2817" w:type="dxa"/>
            <w:vAlign w:val="center"/>
          </w:tcPr>
          <w:p>
            <w:pPr>
              <w:pStyle w:val="26"/>
              <w:ind w:firstLine="0" w:firstLineChars="0"/>
              <w:rPr>
                <w:szCs w:val="21"/>
                <w:lang w:val="en-US" w:eastAsia="zh-CN"/>
              </w:rPr>
            </w:pPr>
            <w:r>
              <w:rPr>
                <w:rFonts w:hint="eastAsia"/>
                <w:szCs w:val="21"/>
                <w:lang w:val="en-US" w:eastAsia="zh-CN"/>
              </w:rPr>
              <w:t>外售综合利用</w:t>
            </w:r>
          </w:p>
        </w:tc>
        <w:tc>
          <w:tcPr>
            <w:tcW w:w="2117" w:type="dxa"/>
            <w:vAlign w:val="center"/>
          </w:tcPr>
          <w:p>
            <w:pPr>
              <w:pStyle w:val="25"/>
              <w:ind w:firstLine="0" w:firstLineChars="0"/>
              <w:rPr>
                <w:szCs w:val="21"/>
                <w:lang w:val="en-US" w:eastAsia="zh-CN"/>
              </w:rPr>
            </w:pPr>
            <w:r>
              <w:rPr>
                <w:rFonts w:hint="eastAsia"/>
                <w:szCs w:val="21"/>
                <w:lang w:val="en-US" w:eastAsia="zh-CN"/>
              </w:rPr>
              <w:t>外售综合利用</w:t>
            </w:r>
          </w:p>
        </w:tc>
        <w:tc>
          <w:tcPr>
            <w:tcW w:w="1872" w:type="dxa"/>
            <w:vAlign w:val="center"/>
          </w:tcPr>
          <w:p>
            <w:pPr>
              <w:pStyle w:val="25"/>
              <w:ind w:firstLine="0" w:firstLineChars="0"/>
              <w:rPr>
                <w:szCs w:val="21"/>
                <w:lang w:val="en-US" w:eastAsia="zh-CN"/>
              </w:rPr>
            </w:pPr>
            <w:r>
              <w:rPr>
                <w:rFonts w:hint="eastAsia"/>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Merge w:val="continue"/>
            <w:vAlign w:val="center"/>
          </w:tcPr>
          <w:p>
            <w:pPr>
              <w:pStyle w:val="26"/>
              <w:spacing w:line="240" w:lineRule="auto"/>
              <w:rPr>
                <w:szCs w:val="21"/>
                <w:lang w:val="en-US" w:eastAsia="zh-CN"/>
              </w:rPr>
            </w:pPr>
          </w:p>
        </w:tc>
        <w:tc>
          <w:tcPr>
            <w:tcW w:w="1866" w:type="dxa"/>
            <w:vAlign w:val="center"/>
          </w:tcPr>
          <w:p>
            <w:pPr>
              <w:pStyle w:val="26"/>
              <w:spacing w:line="240" w:lineRule="auto"/>
              <w:ind w:firstLine="0" w:firstLineChars="0"/>
              <w:rPr>
                <w:szCs w:val="21"/>
                <w:lang w:val="en-US" w:eastAsia="zh-CN"/>
              </w:rPr>
            </w:pPr>
            <w:r>
              <w:rPr>
                <w:rFonts w:hint="eastAsia"/>
                <w:kern w:val="2"/>
                <w:szCs w:val="21"/>
                <w:lang w:val="en-US" w:eastAsia="zh-CN"/>
              </w:rPr>
              <w:t>含危化品废包装材料</w:t>
            </w:r>
            <w:r>
              <w:rPr>
                <w:kern w:val="2"/>
                <w:szCs w:val="21"/>
                <w:lang w:val="en-US" w:eastAsia="zh-CN"/>
              </w:rPr>
              <w:t>(t/a)</w:t>
            </w:r>
          </w:p>
        </w:tc>
        <w:tc>
          <w:tcPr>
            <w:tcW w:w="2817" w:type="dxa"/>
            <w:vAlign w:val="center"/>
          </w:tcPr>
          <w:p>
            <w:pPr>
              <w:pStyle w:val="26"/>
              <w:ind w:firstLine="0" w:firstLineChars="0"/>
              <w:rPr>
                <w:szCs w:val="21"/>
                <w:lang w:val="en-US" w:eastAsia="zh-CN"/>
              </w:rPr>
            </w:pPr>
            <w:r>
              <w:rPr>
                <w:rFonts w:hint="eastAsia"/>
                <w:szCs w:val="21"/>
                <w:lang w:val="en-US" w:eastAsia="zh-CN"/>
              </w:rPr>
              <w:t>交由环卫部门统一收集处理</w:t>
            </w:r>
          </w:p>
        </w:tc>
        <w:tc>
          <w:tcPr>
            <w:tcW w:w="2117" w:type="dxa"/>
            <w:vAlign w:val="center"/>
          </w:tcPr>
          <w:p>
            <w:pPr>
              <w:pStyle w:val="25"/>
              <w:ind w:firstLine="0" w:firstLineChars="0"/>
              <w:rPr>
                <w:szCs w:val="21"/>
                <w:lang w:val="en-US" w:eastAsia="zh-CN"/>
              </w:rPr>
            </w:pPr>
            <w:r>
              <w:rPr>
                <w:rFonts w:hint="eastAsia"/>
                <w:szCs w:val="21"/>
                <w:lang w:val="en-US" w:eastAsia="zh-CN"/>
              </w:rPr>
              <w:t>交由有资质单位处理</w:t>
            </w:r>
          </w:p>
        </w:tc>
        <w:tc>
          <w:tcPr>
            <w:tcW w:w="1872" w:type="dxa"/>
            <w:vAlign w:val="center"/>
          </w:tcPr>
          <w:p>
            <w:pPr>
              <w:pStyle w:val="25"/>
              <w:ind w:firstLine="0" w:firstLineChars="0"/>
              <w:rPr>
                <w:szCs w:val="21"/>
                <w:lang w:val="en-US" w:eastAsia="zh-CN"/>
              </w:rPr>
            </w:pPr>
            <w:r>
              <w:rPr>
                <w:rFonts w:hint="eastAsia"/>
                <w:szCs w:val="21"/>
                <w:lang w:val="en-US" w:eastAsia="zh-CN"/>
              </w:rPr>
              <w:t>技改后妥善处理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Merge w:val="restart"/>
            <w:vAlign w:val="center"/>
          </w:tcPr>
          <w:p>
            <w:pPr>
              <w:pStyle w:val="26"/>
              <w:spacing w:line="240" w:lineRule="auto"/>
              <w:rPr>
                <w:szCs w:val="21"/>
                <w:lang w:val="en-US" w:eastAsia="zh-CN"/>
              </w:rPr>
            </w:pPr>
            <w:r>
              <w:rPr>
                <w:rFonts w:hint="eastAsia"/>
                <w:kern w:val="2"/>
                <w:szCs w:val="21"/>
                <w:lang w:val="en-US" w:eastAsia="zh-CN"/>
              </w:rPr>
              <w:t>纺纱生产</w:t>
            </w:r>
          </w:p>
        </w:tc>
        <w:tc>
          <w:tcPr>
            <w:tcW w:w="1866" w:type="dxa"/>
            <w:vAlign w:val="center"/>
          </w:tcPr>
          <w:p>
            <w:pPr>
              <w:pStyle w:val="26"/>
              <w:spacing w:line="240" w:lineRule="auto"/>
              <w:rPr>
                <w:szCs w:val="21"/>
                <w:lang w:val="en-US" w:eastAsia="zh-CN"/>
              </w:rPr>
            </w:pPr>
            <w:r>
              <w:rPr>
                <w:rFonts w:hint="eastAsia"/>
                <w:kern w:val="2"/>
                <w:szCs w:val="21"/>
                <w:lang w:val="en-US" w:eastAsia="zh-CN"/>
              </w:rPr>
              <w:t>废弃原料</w:t>
            </w:r>
          </w:p>
        </w:tc>
        <w:tc>
          <w:tcPr>
            <w:tcW w:w="2817" w:type="dxa"/>
            <w:vAlign w:val="center"/>
          </w:tcPr>
          <w:p>
            <w:pPr>
              <w:pStyle w:val="25"/>
              <w:rPr>
                <w:szCs w:val="21"/>
                <w:lang w:val="en-US" w:eastAsia="zh-CN"/>
              </w:rPr>
            </w:pPr>
            <w:r>
              <w:rPr>
                <w:rFonts w:hint="eastAsia"/>
                <w:szCs w:val="21"/>
                <w:lang w:val="en-US" w:eastAsia="zh-CN"/>
              </w:rPr>
              <w:t>交由环卫部门统一收集处理</w:t>
            </w:r>
          </w:p>
        </w:tc>
        <w:tc>
          <w:tcPr>
            <w:tcW w:w="2117" w:type="dxa"/>
            <w:vAlign w:val="center"/>
          </w:tcPr>
          <w:p>
            <w:pPr>
              <w:pStyle w:val="25"/>
              <w:rPr>
                <w:szCs w:val="21"/>
                <w:lang w:val="en-US" w:eastAsia="zh-CN"/>
              </w:rPr>
            </w:pPr>
            <w:r>
              <w:rPr>
                <w:rFonts w:hint="eastAsia"/>
                <w:szCs w:val="21"/>
                <w:lang w:val="en-US" w:eastAsia="zh-CN"/>
              </w:rPr>
              <w:t>交由环卫部门统一收集处理</w:t>
            </w:r>
          </w:p>
        </w:tc>
        <w:tc>
          <w:tcPr>
            <w:tcW w:w="1872" w:type="dxa"/>
            <w:vAlign w:val="center"/>
          </w:tcPr>
          <w:p>
            <w:pPr>
              <w:pStyle w:val="25"/>
              <w:rPr>
                <w:szCs w:val="21"/>
                <w:lang w:val="en-US" w:eastAsia="zh-CN"/>
              </w:rPr>
            </w:pPr>
            <w:r>
              <w:rPr>
                <w:rFonts w:hint="eastAsia"/>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Merge w:val="continue"/>
            <w:vAlign w:val="center"/>
          </w:tcPr>
          <w:p>
            <w:pPr>
              <w:pStyle w:val="26"/>
              <w:spacing w:line="240" w:lineRule="auto"/>
              <w:rPr>
                <w:szCs w:val="21"/>
                <w:lang w:val="en-US" w:eastAsia="zh-CN"/>
              </w:rPr>
            </w:pPr>
          </w:p>
        </w:tc>
        <w:tc>
          <w:tcPr>
            <w:tcW w:w="1866" w:type="dxa"/>
            <w:vAlign w:val="center"/>
          </w:tcPr>
          <w:p>
            <w:pPr>
              <w:pStyle w:val="26"/>
              <w:spacing w:line="240" w:lineRule="auto"/>
              <w:rPr>
                <w:szCs w:val="21"/>
                <w:lang w:val="en-US" w:eastAsia="zh-CN"/>
              </w:rPr>
            </w:pPr>
            <w:r>
              <w:rPr>
                <w:rFonts w:hint="eastAsia"/>
                <w:kern w:val="2"/>
                <w:szCs w:val="21"/>
                <w:lang w:val="en-US" w:eastAsia="zh-CN"/>
              </w:rPr>
              <w:t>杂质</w:t>
            </w:r>
          </w:p>
        </w:tc>
        <w:tc>
          <w:tcPr>
            <w:tcW w:w="2817" w:type="dxa"/>
            <w:vAlign w:val="center"/>
          </w:tcPr>
          <w:p>
            <w:pPr>
              <w:pStyle w:val="25"/>
              <w:rPr>
                <w:szCs w:val="21"/>
                <w:lang w:val="en-US" w:eastAsia="zh-CN"/>
              </w:rPr>
            </w:pPr>
            <w:r>
              <w:rPr>
                <w:rFonts w:hint="eastAsia"/>
                <w:szCs w:val="21"/>
                <w:lang w:val="en-US" w:eastAsia="zh-CN"/>
              </w:rPr>
              <w:t>交由环卫部门统一收集处理</w:t>
            </w:r>
          </w:p>
        </w:tc>
        <w:tc>
          <w:tcPr>
            <w:tcW w:w="2117" w:type="dxa"/>
            <w:vAlign w:val="center"/>
          </w:tcPr>
          <w:p>
            <w:pPr>
              <w:pStyle w:val="25"/>
              <w:rPr>
                <w:szCs w:val="21"/>
                <w:lang w:val="en-US" w:eastAsia="zh-CN"/>
              </w:rPr>
            </w:pPr>
            <w:r>
              <w:rPr>
                <w:rFonts w:hint="eastAsia"/>
                <w:szCs w:val="21"/>
                <w:lang w:val="en-US" w:eastAsia="zh-CN"/>
              </w:rPr>
              <w:t>交由环卫部门统一收集处理</w:t>
            </w:r>
          </w:p>
        </w:tc>
        <w:tc>
          <w:tcPr>
            <w:tcW w:w="1872" w:type="dxa"/>
            <w:vAlign w:val="center"/>
          </w:tcPr>
          <w:p>
            <w:pPr>
              <w:pStyle w:val="25"/>
              <w:rPr>
                <w:szCs w:val="21"/>
                <w:lang w:val="en-US" w:eastAsia="zh-CN"/>
              </w:rPr>
            </w:pPr>
            <w:r>
              <w:rPr>
                <w:rFonts w:hint="eastAsia"/>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Merge w:val="continue"/>
            <w:vAlign w:val="center"/>
          </w:tcPr>
          <w:p>
            <w:pPr>
              <w:pStyle w:val="26"/>
              <w:spacing w:line="240" w:lineRule="auto"/>
              <w:rPr>
                <w:szCs w:val="21"/>
                <w:lang w:val="en-US" w:eastAsia="zh-CN"/>
              </w:rPr>
            </w:pPr>
          </w:p>
        </w:tc>
        <w:tc>
          <w:tcPr>
            <w:tcW w:w="1866" w:type="dxa"/>
            <w:vAlign w:val="center"/>
          </w:tcPr>
          <w:p>
            <w:pPr>
              <w:pStyle w:val="26"/>
              <w:spacing w:line="240" w:lineRule="auto"/>
              <w:rPr>
                <w:szCs w:val="21"/>
                <w:lang w:val="en-US" w:eastAsia="zh-CN"/>
              </w:rPr>
            </w:pPr>
            <w:r>
              <w:rPr>
                <w:rFonts w:hint="eastAsia"/>
                <w:kern w:val="2"/>
                <w:szCs w:val="21"/>
                <w:lang w:val="en-US" w:eastAsia="zh-CN"/>
              </w:rPr>
              <w:t>普通包装材料</w:t>
            </w:r>
          </w:p>
        </w:tc>
        <w:tc>
          <w:tcPr>
            <w:tcW w:w="2817" w:type="dxa"/>
            <w:vAlign w:val="center"/>
          </w:tcPr>
          <w:p>
            <w:pPr>
              <w:pStyle w:val="26"/>
              <w:rPr>
                <w:szCs w:val="21"/>
                <w:lang w:val="en-US" w:eastAsia="zh-CN"/>
              </w:rPr>
            </w:pPr>
            <w:r>
              <w:rPr>
                <w:rFonts w:hint="eastAsia"/>
                <w:szCs w:val="21"/>
                <w:lang w:val="en-US" w:eastAsia="zh-CN"/>
              </w:rPr>
              <w:t>外售综合利用</w:t>
            </w:r>
          </w:p>
        </w:tc>
        <w:tc>
          <w:tcPr>
            <w:tcW w:w="2117" w:type="dxa"/>
            <w:vAlign w:val="center"/>
          </w:tcPr>
          <w:p>
            <w:pPr>
              <w:pStyle w:val="25"/>
              <w:rPr>
                <w:szCs w:val="21"/>
                <w:lang w:val="en-US" w:eastAsia="zh-CN"/>
              </w:rPr>
            </w:pPr>
            <w:r>
              <w:rPr>
                <w:rFonts w:hint="eastAsia"/>
                <w:szCs w:val="21"/>
                <w:lang w:val="en-US" w:eastAsia="zh-CN"/>
              </w:rPr>
              <w:t>外售综合利用</w:t>
            </w:r>
          </w:p>
        </w:tc>
        <w:tc>
          <w:tcPr>
            <w:tcW w:w="1872" w:type="dxa"/>
            <w:vAlign w:val="center"/>
          </w:tcPr>
          <w:p>
            <w:pPr>
              <w:pStyle w:val="25"/>
              <w:rPr>
                <w:szCs w:val="21"/>
                <w:lang w:val="en-US" w:eastAsia="zh-CN"/>
              </w:rPr>
            </w:pPr>
            <w:r>
              <w:rPr>
                <w:rFonts w:hint="eastAsia"/>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Merge w:val="restart"/>
            <w:vAlign w:val="center"/>
          </w:tcPr>
          <w:p>
            <w:pPr>
              <w:pStyle w:val="26"/>
              <w:spacing w:line="240" w:lineRule="auto"/>
              <w:rPr>
                <w:szCs w:val="21"/>
                <w:lang w:val="en-US" w:eastAsia="zh-CN"/>
              </w:rPr>
            </w:pPr>
            <w:r>
              <w:rPr>
                <w:rFonts w:hint="eastAsia"/>
                <w:kern w:val="2"/>
                <w:szCs w:val="21"/>
                <w:lang w:val="en-US" w:eastAsia="zh-CN"/>
              </w:rPr>
              <w:t>织布车间</w:t>
            </w:r>
          </w:p>
        </w:tc>
        <w:tc>
          <w:tcPr>
            <w:tcW w:w="1866" w:type="dxa"/>
            <w:vAlign w:val="center"/>
          </w:tcPr>
          <w:p>
            <w:pPr>
              <w:pStyle w:val="26"/>
              <w:spacing w:line="240" w:lineRule="auto"/>
              <w:rPr>
                <w:szCs w:val="21"/>
                <w:lang w:val="en-US" w:eastAsia="zh-CN"/>
              </w:rPr>
            </w:pPr>
            <w:r>
              <w:rPr>
                <w:rFonts w:hint="eastAsia"/>
                <w:kern w:val="2"/>
                <w:szCs w:val="21"/>
                <w:lang w:val="en-US" w:eastAsia="zh-CN"/>
              </w:rPr>
              <w:t>废弃棉线</w:t>
            </w:r>
          </w:p>
        </w:tc>
        <w:tc>
          <w:tcPr>
            <w:tcW w:w="2817" w:type="dxa"/>
            <w:vAlign w:val="center"/>
          </w:tcPr>
          <w:p>
            <w:pPr>
              <w:pStyle w:val="26"/>
              <w:rPr>
                <w:szCs w:val="21"/>
                <w:lang w:val="en-US" w:eastAsia="zh-CN"/>
              </w:rPr>
            </w:pPr>
            <w:r>
              <w:rPr>
                <w:rFonts w:hint="eastAsia"/>
                <w:szCs w:val="21"/>
                <w:lang w:val="en-US" w:eastAsia="zh-CN"/>
              </w:rPr>
              <w:t>交由环卫部门统一收集处理</w:t>
            </w:r>
          </w:p>
        </w:tc>
        <w:tc>
          <w:tcPr>
            <w:tcW w:w="2117" w:type="dxa"/>
            <w:vAlign w:val="center"/>
          </w:tcPr>
          <w:p>
            <w:pPr>
              <w:pStyle w:val="25"/>
              <w:rPr>
                <w:szCs w:val="21"/>
                <w:lang w:val="en-US" w:eastAsia="zh-CN"/>
              </w:rPr>
            </w:pPr>
            <w:r>
              <w:rPr>
                <w:rFonts w:hint="eastAsia"/>
                <w:szCs w:val="21"/>
                <w:lang w:val="en-US" w:eastAsia="zh-CN"/>
              </w:rPr>
              <w:t>/</w:t>
            </w:r>
          </w:p>
        </w:tc>
        <w:tc>
          <w:tcPr>
            <w:tcW w:w="1872" w:type="dxa"/>
            <w:vAlign w:val="center"/>
          </w:tcPr>
          <w:p>
            <w:pPr>
              <w:pStyle w:val="25"/>
              <w:rPr>
                <w:szCs w:val="21"/>
                <w:lang w:val="en-US" w:eastAsia="zh-CN"/>
              </w:rPr>
            </w:pPr>
            <w:r>
              <w:rPr>
                <w:rFonts w:hint="eastAsia"/>
                <w:szCs w:val="21"/>
                <w:lang w:val="en-US" w:eastAsia="zh-CN"/>
              </w:rPr>
              <w:t>技改后无该固废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Merge w:val="continue"/>
            <w:vAlign w:val="center"/>
          </w:tcPr>
          <w:p>
            <w:pPr>
              <w:pStyle w:val="26"/>
              <w:spacing w:line="240" w:lineRule="auto"/>
              <w:rPr>
                <w:szCs w:val="21"/>
                <w:lang w:val="en-US" w:eastAsia="zh-CN"/>
              </w:rPr>
            </w:pPr>
          </w:p>
        </w:tc>
        <w:tc>
          <w:tcPr>
            <w:tcW w:w="1866" w:type="dxa"/>
            <w:vAlign w:val="center"/>
          </w:tcPr>
          <w:p>
            <w:pPr>
              <w:pStyle w:val="26"/>
              <w:spacing w:line="240" w:lineRule="auto"/>
              <w:rPr>
                <w:szCs w:val="21"/>
                <w:lang w:val="en-US" w:eastAsia="zh-CN"/>
              </w:rPr>
            </w:pPr>
            <w:r>
              <w:rPr>
                <w:rFonts w:hint="eastAsia"/>
                <w:kern w:val="2"/>
                <w:szCs w:val="21"/>
                <w:lang w:val="en-US" w:eastAsia="zh-CN"/>
              </w:rPr>
              <w:t>粉尘</w:t>
            </w:r>
          </w:p>
        </w:tc>
        <w:tc>
          <w:tcPr>
            <w:tcW w:w="2817" w:type="dxa"/>
            <w:vAlign w:val="center"/>
          </w:tcPr>
          <w:p>
            <w:pPr>
              <w:pStyle w:val="26"/>
              <w:rPr>
                <w:szCs w:val="21"/>
                <w:lang w:val="en-US" w:eastAsia="zh-CN"/>
              </w:rPr>
            </w:pPr>
            <w:r>
              <w:rPr>
                <w:rFonts w:hint="eastAsia"/>
                <w:szCs w:val="21"/>
                <w:lang w:val="en-US" w:eastAsia="zh-CN"/>
              </w:rPr>
              <w:t>交由环卫部门统一收集处理</w:t>
            </w:r>
          </w:p>
        </w:tc>
        <w:tc>
          <w:tcPr>
            <w:tcW w:w="2117" w:type="dxa"/>
            <w:vAlign w:val="center"/>
          </w:tcPr>
          <w:p>
            <w:pPr>
              <w:pStyle w:val="25"/>
              <w:rPr>
                <w:szCs w:val="21"/>
                <w:lang w:val="en-US" w:eastAsia="zh-CN"/>
              </w:rPr>
            </w:pPr>
            <w:r>
              <w:rPr>
                <w:rFonts w:hint="eastAsia"/>
                <w:szCs w:val="21"/>
                <w:lang w:val="en-US" w:eastAsia="zh-CN"/>
              </w:rPr>
              <w:t>/</w:t>
            </w:r>
          </w:p>
        </w:tc>
        <w:tc>
          <w:tcPr>
            <w:tcW w:w="1872" w:type="dxa"/>
            <w:vAlign w:val="center"/>
          </w:tcPr>
          <w:p>
            <w:pPr>
              <w:pStyle w:val="25"/>
              <w:rPr>
                <w:szCs w:val="21"/>
                <w:lang w:val="en-US" w:eastAsia="zh-CN"/>
              </w:rPr>
            </w:pPr>
            <w:r>
              <w:rPr>
                <w:rFonts w:hint="eastAsia"/>
                <w:szCs w:val="21"/>
                <w:lang w:val="en-US" w:eastAsia="zh-CN"/>
              </w:rPr>
              <w:t>技改后无该固废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26"/>
              <w:spacing w:line="240" w:lineRule="auto"/>
              <w:rPr>
                <w:szCs w:val="21"/>
                <w:lang w:val="en-US" w:eastAsia="zh-CN"/>
              </w:rPr>
            </w:pPr>
            <w:r>
              <w:rPr>
                <w:rFonts w:hint="eastAsia"/>
                <w:kern w:val="2"/>
                <w:szCs w:val="21"/>
                <w:lang w:val="en-US" w:eastAsia="zh-CN"/>
              </w:rPr>
              <w:t>生活</w:t>
            </w:r>
          </w:p>
        </w:tc>
        <w:tc>
          <w:tcPr>
            <w:tcW w:w="1866" w:type="dxa"/>
            <w:vAlign w:val="center"/>
          </w:tcPr>
          <w:p>
            <w:pPr>
              <w:pStyle w:val="26"/>
              <w:spacing w:line="240" w:lineRule="auto"/>
              <w:rPr>
                <w:kern w:val="2"/>
                <w:szCs w:val="21"/>
                <w:lang w:val="en-US" w:eastAsia="zh-CN"/>
              </w:rPr>
            </w:pPr>
            <w:r>
              <w:rPr>
                <w:rFonts w:hint="eastAsia"/>
                <w:kern w:val="2"/>
                <w:szCs w:val="21"/>
                <w:lang w:val="en-US" w:eastAsia="zh-CN"/>
              </w:rPr>
              <w:t>生活垃圾</w:t>
            </w:r>
            <w:r>
              <w:rPr>
                <w:kern w:val="2"/>
                <w:szCs w:val="21"/>
                <w:lang w:val="en-US" w:eastAsia="zh-CN"/>
              </w:rPr>
              <w:t>(t/a)</w:t>
            </w:r>
          </w:p>
        </w:tc>
        <w:tc>
          <w:tcPr>
            <w:tcW w:w="2817" w:type="dxa"/>
            <w:vAlign w:val="center"/>
          </w:tcPr>
          <w:p>
            <w:pPr>
              <w:pStyle w:val="25"/>
              <w:rPr>
                <w:szCs w:val="21"/>
                <w:lang w:val="en-US" w:eastAsia="zh-CN"/>
              </w:rPr>
            </w:pPr>
            <w:r>
              <w:rPr>
                <w:rFonts w:hint="eastAsia"/>
                <w:szCs w:val="21"/>
                <w:lang w:val="en-US" w:eastAsia="zh-CN"/>
              </w:rPr>
              <w:t>交由环卫部门统一收集处理</w:t>
            </w:r>
          </w:p>
        </w:tc>
        <w:tc>
          <w:tcPr>
            <w:tcW w:w="2117" w:type="dxa"/>
            <w:vAlign w:val="center"/>
          </w:tcPr>
          <w:p>
            <w:pPr>
              <w:pStyle w:val="25"/>
              <w:rPr>
                <w:szCs w:val="21"/>
                <w:lang w:val="en-US" w:eastAsia="zh-CN"/>
              </w:rPr>
            </w:pPr>
            <w:r>
              <w:rPr>
                <w:rFonts w:hint="eastAsia"/>
                <w:szCs w:val="21"/>
                <w:lang w:val="en-US" w:eastAsia="zh-CN"/>
              </w:rPr>
              <w:t>交由环卫部门统一收集处理</w:t>
            </w:r>
          </w:p>
        </w:tc>
        <w:tc>
          <w:tcPr>
            <w:tcW w:w="1872" w:type="dxa"/>
            <w:vAlign w:val="center"/>
          </w:tcPr>
          <w:p>
            <w:pPr>
              <w:pStyle w:val="25"/>
              <w:rPr>
                <w:szCs w:val="21"/>
                <w:lang w:val="en-US" w:eastAsia="zh-CN"/>
              </w:rPr>
            </w:pPr>
            <w:r>
              <w:rPr>
                <w:rFonts w:hint="eastAsia"/>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26"/>
              <w:spacing w:line="240" w:lineRule="auto"/>
              <w:rPr>
                <w:szCs w:val="21"/>
                <w:lang w:val="en-US" w:eastAsia="zh-CN"/>
              </w:rPr>
            </w:pPr>
            <w:r>
              <w:rPr>
                <w:rFonts w:hint="eastAsia"/>
                <w:kern w:val="2"/>
                <w:szCs w:val="21"/>
                <w:lang w:val="en-US" w:eastAsia="zh-CN"/>
              </w:rPr>
              <w:t>厂区</w:t>
            </w:r>
          </w:p>
        </w:tc>
        <w:tc>
          <w:tcPr>
            <w:tcW w:w="1866" w:type="dxa"/>
            <w:vAlign w:val="center"/>
          </w:tcPr>
          <w:p>
            <w:pPr>
              <w:pStyle w:val="26"/>
              <w:spacing w:line="240" w:lineRule="auto"/>
              <w:rPr>
                <w:kern w:val="2"/>
                <w:szCs w:val="21"/>
                <w:lang w:val="en-US" w:eastAsia="zh-CN"/>
              </w:rPr>
            </w:pPr>
            <w:r>
              <w:rPr>
                <w:rFonts w:hint="eastAsia"/>
                <w:kern w:val="2"/>
                <w:szCs w:val="21"/>
                <w:lang w:val="en-US" w:eastAsia="zh-CN"/>
              </w:rPr>
              <w:t>废矿物油</w:t>
            </w:r>
            <w:r>
              <w:rPr>
                <w:kern w:val="2"/>
                <w:szCs w:val="21"/>
                <w:lang w:val="en-US" w:eastAsia="zh-CN"/>
              </w:rPr>
              <w:t>(t/a)</w:t>
            </w:r>
          </w:p>
        </w:tc>
        <w:tc>
          <w:tcPr>
            <w:tcW w:w="2817" w:type="dxa"/>
            <w:vAlign w:val="center"/>
          </w:tcPr>
          <w:p>
            <w:pPr>
              <w:pStyle w:val="26"/>
              <w:rPr>
                <w:szCs w:val="21"/>
                <w:lang w:val="en-US" w:eastAsia="zh-CN"/>
              </w:rPr>
            </w:pPr>
            <w:r>
              <w:rPr>
                <w:rFonts w:hint="eastAsia"/>
                <w:szCs w:val="21"/>
                <w:lang w:val="en-US" w:eastAsia="zh-CN"/>
              </w:rPr>
              <w:t>作为锅炉燃料焚烧</w:t>
            </w:r>
          </w:p>
        </w:tc>
        <w:tc>
          <w:tcPr>
            <w:tcW w:w="2117" w:type="dxa"/>
            <w:vAlign w:val="center"/>
          </w:tcPr>
          <w:p>
            <w:pPr>
              <w:pStyle w:val="25"/>
              <w:rPr>
                <w:szCs w:val="21"/>
                <w:lang w:val="en-US" w:eastAsia="zh-CN"/>
              </w:rPr>
            </w:pPr>
            <w:r>
              <w:rPr>
                <w:rFonts w:hint="eastAsia"/>
                <w:szCs w:val="21"/>
                <w:lang w:val="en-US" w:eastAsia="zh-CN"/>
              </w:rPr>
              <w:t>交由有资质单位处理</w:t>
            </w:r>
          </w:p>
        </w:tc>
        <w:tc>
          <w:tcPr>
            <w:tcW w:w="1872" w:type="dxa"/>
            <w:vAlign w:val="center"/>
          </w:tcPr>
          <w:p>
            <w:pPr>
              <w:pStyle w:val="25"/>
              <w:rPr>
                <w:szCs w:val="21"/>
                <w:lang w:val="en-US" w:eastAsia="zh-CN"/>
              </w:rPr>
            </w:pPr>
            <w:r>
              <w:rPr>
                <w:rFonts w:hint="eastAsia"/>
                <w:szCs w:val="21"/>
                <w:lang w:val="en-US" w:eastAsia="zh-CN"/>
              </w:rPr>
              <w:t>技改后妥善处理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4" w:type="dxa"/>
            <w:vAlign w:val="center"/>
          </w:tcPr>
          <w:p>
            <w:pPr>
              <w:pStyle w:val="26"/>
              <w:spacing w:line="240" w:lineRule="auto"/>
              <w:rPr>
                <w:szCs w:val="21"/>
                <w:lang w:val="en-US" w:eastAsia="zh-CN"/>
              </w:rPr>
            </w:pPr>
            <w:r>
              <w:rPr>
                <w:rFonts w:hint="eastAsia"/>
                <w:kern w:val="2"/>
                <w:szCs w:val="21"/>
                <w:lang w:val="en-US" w:eastAsia="zh-CN"/>
              </w:rPr>
              <w:t>污水处理</w:t>
            </w:r>
          </w:p>
        </w:tc>
        <w:tc>
          <w:tcPr>
            <w:tcW w:w="1866" w:type="dxa"/>
            <w:vAlign w:val="center"/>
          </w:tcPr>
          <w:p>
            <w:pPr>
              <w:pStyle w:val="26"/>
              <w:spacing w:line="240" w:lineRule="auto"/>
              <w:rPr>
                <w:kern w:val="2"/>
                <w:szCs w:val="21"/>
                <w:lang w:val="en-US" w:eastAsia="zh-CN"/>
              </w:rPr>
            </w:pPr>
            <w:r>
              <w:rPr>
                <w:rFonts w:hint="eastAsia"/>
                <w:kern w:val="2"/>
                <w:szCs w:val="21"/>
                <w:lang w:val="en-US" w:eastAsia="zh-CN"/>
              </w:rPr>
              <w:t>污泥</w:t>
            </w:r>
            <w:r>
              <w:rPr>
                <w:kern w:val="2"/>
                <w:szCs w:val="21"/>
                <w:lang w:val="en-US" w:eastAsia="zh-CN"/>
              </w:rPr>
              <w:t>(t/a)</w:t>
            </w:r>
          </w:p>
        </w:tc>
        <w:tc>
          <w:tcPr>
            <w:tcW w:w="2817" w:type="dxa"/>
            <w:vAlign w:val="center"/>
          </w:tcPr>
          <w:p>
            <w:pPr>
              <w:pStyle w:val="26"/>
              <w:rPr>
                <w:szCs w:val="21"/>
                <w:lang w:val="en-US" w:eastAsia="zh-CN"/>
              </w:rPr>
            </w:pPr>
            <w:r>
              <w:rPr>
                <w:rFonts w:hint="eastAsia"/>
                <w:szCs w:val="21"/>
                <w:lang w:val="en-US" w:eastAsia="zh-CN"/>
              </w:rPr>
              <w:t>作为锅炉燃料焚烧</w:t>
            </w:r>
          </w:p>
        </w:tc>
        <w:tc>
          <w:tcPr>
            <w:tcW w:w="2117" w:type="dxa"/>
            <w:vAlign w:val="center"/>
          </w:tcPr>
          <w:p>
            <w:pPr>
              <w:pStyle w:val="25"/>
              <w:rPr>
                <w:szCs w:val="21"/>
                <w:lang w:val="en-US" w:eastAsia="zh-CN"/>
              </w:rPr>
            </w:pPr>
            <w:r>
              <w:rPr>
                <w:rFonts w:hint="eastAsia"/>
                <w:szCs w:val="21"/>
                <w:lang w:val="en-US" w:eastAsia="zh-CN"/>
              </w:rPr>
              <w:t>交由有资质单位处理</w:t>
            </w:r>
          </w:p>
        </w:tc>
        <w:tc>
          <w:tcPr>
            <w:tcW w:w="1872" w:type="dxa"/>
            <w:vAlign w:val="center"/>
          </w:tcPr>
          <w:p>
            <w:pPr>
              <w:pStyle w:val="25"/>
              <w:rPr>
                <w:szCs w:val="21"/>
                <w:lang w:val="en-US" w:eastAsia="zh-CN"/>
              </w:rPr>
            </w:pPr>
            <w:r>
              <w:rPr>
                <w:rFonts w:hint="eastAsia"/>
                <w:szCs w:val="21"/>
                <w:lang w:val="en-US" w:eastAsia="zh-CN"/>
              </w:rPr>
              <w:t>技改后妥善处理</w:t>
            </w:r>
          </w:p>
        </w:tc>
      </w:tr>
    </w:tbl>
    <w:p>
      <w:pPr>
        <w:pStyle w:val="25"/>
        <w:rPr>
          <w:b/>
          <w:bCs/>
        </w:rPr>
      </w:pPr>
      <w:r>
        <w:rPr>
          <w:rFonts w:hint="eastAsia"/>
          <w:b/>
          <w:bCs/>
        </w:rPr>
        <w:t>表4.4-12  技改前后废气污染物排放情况对比一览表</w:t>
      </w:r>
    </w:p>
    <w:tbl>
      <w:tblPr>
        <w:tblStyle w:val="23"/>
        <w:tblW w:w="9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552"/>
        <w:gridCol w:w="1820"/>
        <w:gridCol w:w="2515"/>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Align w:val="center"/>
          </w:tcPr>
          <w:p>
            <w:pPr>
              <w:pStyle w:val="25"/>
              <w:rPr>
                <w:szCs w:val="21"/>
                <w:lang w:val="en-US" w:eastAsia="zh-CN"/>
              </w:rPr>
            </w:pPr>
          </w:p>
        </w:tc>
        <w:tc>
          <w:tcPr>
            <w:tcW w:w="1552" w:type="dxa"/>
            <w:vAlign w:val="center"/>
          </w:tcPr>
          <w:p>
            <w:pPr>
              <w:pStyle w:val="25"/>
              <w:rPr>
                <w:szCs w:val="21"/>
                <w:lang w:val="en-US" w:eastAsia="zh-CN"/>
              </w:rPr>
            </w:pPr>
            <w:r>
              <w:rPr>
                <w:rFonts w:hint="eastAsia"/>
                <w:szCs w:val="21"/>
                <w:lang w:val="en-US" w:eastAsia="zh-CN"/>
              </w:rPr>
              <w:t>类别</w:t>
            </w:r>
          </w:p>
        </w:tc>
        <w:tc>
          <w:tcPr>
            <w:tcW w:w="1820" w:type="dxa"/>
            <w:vAlign w:val="center"/>
          </w:tcPr>
          <w:p>
            <w:pPr>
              <w:pStyle w:val="25"/>
              <w:rPr>
                <w:szCs w:val="21"/>
                <w:lang w:val="en-US" w:eastAsia="zh-CN"/>
              </w:rPr>
            </w:pPr>
            <w:r>
              <w:rPr>
                <w:rFonts w:hint="eastAsia"/>
                <w:szCs w:val="21"/>
                <w:lang w:val="en-US" w:eastAsia="zh-CN"/>
              </w:rPr>
              <w:t>技改前（t/a）</w:t>
            </w:r>
          </w:p>
        </w:tc>
        <w:tc>
          <w:tcPr>
            <w:tcW w:w="2515" w:type="dxa"/>
            <w:vAlign w:val="center"/>
          </w:tcPr>
          <w:p>
            <w:pPr>
              <w:pStyle w:val="25"/>
              <w:rPr>
                <w:szCs w:val="21"/>
                <w:lang w:val="en-US" w:eastAsia="zh-CN"/>
              </w:rPr>
            </w:pPr>
            <w:r>
              <w:rPr>
                <w:rFonts w:hint="eastAsia"/>
                <w:szCs w:val="21"/>
                <w:lang w:val="en-US" w:eastAsia="zh-CN"/>
              </w:rPr>
              <w:t>技改后（t/a）</w:t>
            </w:r>
          </w:p>
        </w:tc>
        <w:tc>
          <w:tcPr>
            <w:tcW w:w="2328" w:type="dxa"/>
            <w:vAlign w:val="center"/>
          </w:tcPr>
          <w:p>
            <w:pPr>
              <w:pStyle w:val="25"/>
              <w:rPr>
                <w:szCs w:val="21"/>
                <w:lang w:val="en-US" w:eastAsia="zh-CN"/>
              </w:rPr>
            </w:pPr>
            <w:r>
              <w:rPr>
                <w:rFonts w:hint="eastAsia"/>
                <w:szCs w:val="21"/>
                <w:lang w:val="en-US" w:eastAsia="zh-CN"/>
              </w:rPr>
              <w:t>技改后增减量（t/a）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Merge w:val="restart"/>
            <w:vAlign w:val="center"/>
          </w:tcPr>
          <w:p>
            <w:pPr>
              <w:pStyle w:val="26"/>
              <w:rPr>
                <w:szCs w:val="21"/>
                <w:lang w:val="en-US" w:eastAsia="zh-CN"/>
              </w:rPr>
            </w:pPr>
            <w:r>
              <w:rPr>
                <w:rFonts w:hint="eastAsia"/>
                <w:kern w:val="2"/>
                <w:szCs w:val="21"/>
                <w:lang w:val="en-US" w:eastAsia="zh-CN"/>
              </w:rPr>
              <w:t>印染生产</w:t>
            </w:r>
          </w:p>
        </w:tc>
        <w:tc>
          <w:tcPr>
            <w:tcW w:w="1552" w:type="dxa"/>
            <w:vAlign w:val="center"/>
          </w:tcPr>
          <w:p>
            <w:pPr>
              <w:pStyle w:val="26"/>
              <w:spacing w:line="240" w:lineRule="auto"/>
              <w:ind w:firstLine="0" w:firstLineChars="0"/>
              <w:rPr>
                <w:szCs w:val="21"/>
                <w:lang w:val="en-US" w:eastAsia="zh-CN"/>
              </w:rPr>
            </w:pPr>
            <w:r>
              <w:rPr>
                <w:rFonts w:hint="eastAsia"/>
                <w:kern w:val="2"/>
                <w:szCs w:val="21"/>
                <w:lang w:val="en-US" w:eastAsia="zh-CN"/>
              </w:rPr>
              <w:t>废矿物油</w:t>
            </w:r>
            <w:r>
              <w:rPr>
                <w:kern w:val="2"/>
                <w:szCs w:val="21"/>
                <w:lang w:val="en-US" w:eastAsia="zh-CN"/>
              </w:rPr>
              <w:t>(t/a)</w:t>
            </w:r>
          </w:p>
        </w:tc>
        <w:tc>
          <w:tcPr>
            <w:tcW w:w="1820" w:type="dxa"/>
            <w:vAlign w:val="center"/>
          </w:tcPr>
          <w:p>
            <w:pPr>
              <w:pStyle w:val="26"/>
              <w:ind w:firstLine="0" w:firstLineChars="0"/>
              <w:rPr>
                <w:szCs w:val="21"/>
                <w:lang w:val="en-US" w:eastAsia="zh-CN"/>
              </w:rPr>
            </w:pPr>
            <w:r>
              <w:rPr>
                <w:kern w:val="2"/>
                <w:szCs w:val="21"/>
                <w:lang w:val="en-US" w:eastAsia="zh-CN"/>
              </w:rPr>
              <w:t>0.5</w:t>
            </w:r>
          </w:p>
        </w:tc>
        <w:tc>
          <w:tcPr>
            <w:tcW w:w="2515" w:type="dxa"/>
            <w:vAlign w:val="center"/>
          </w:tcPr>
          <w:p>
            <w:pPr>
              <w:pStyle w:val="26"/>
              <w:ind w:firstLine="0" w:firstLineChars="0"/>
              <w:rPr>
                <w:szCs w:val="21"/>
                <w:lang w:val="en-US" w:eastAsia="zh-CN"/>
              </w:rPr>
            </w:pPr>
            <w:r>
              <w:rPr>
                <w:kern w:val="2"/>
                <w:szCs w:val="21"/>
                <w:lang w:val="en-US" w:eastAsia="zh-CN"/>
              </w:rPr>
              <w:t>0.5</w:t>
            </w:r>
          </w:p>
        </w:tc>
        <w:tc>
          <w:tcPr>
            <w:tcW w:w="2328" w:type="dxa"/>
            <w:vAlign w:val="center"/>
          </w:tcPr>
          <w:p>
            <w:pPr>
              <w:pStyle w:val="26"/>
              <w:ind w:firstLine="0" w:firstLineChars="0"/>
              <w:rPr>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Merge w:val="continue"/>
            <w:vAlign w:val="center"/>
          </w:tcPr>
          <w:p>
            <w:pPr>
              <w:pStyle w:val="26"/>
              <w:rPr>
                <w:szCs w:val="21"/>
                <w:lang w:val="en-US" w:eastAsia="zh-CN"/>
              </w:rPr>
            </w:pPr>
          </w:p>
        </w:tc>
        <w:tc>
          <w:tcPr>
            <w:tcW w:w="1552" w:type="dxa"/>
            <w:vAlign w:val="center"/>
          </w:tcPr>
          <w:p>
            <w:pPr>
              <w:pStyle w:val="26"/>
              <w:spacing w:line="240" w:lineRule="auto"/>
              <w:ind w:firstLine="0" w:firstLineChars="0"/>
              <w:rPr>
                <w:szCs w:val="21"/>
                <w:lang w:val="en-US" w:eastAsia="zh-CN"/>
              </w:rPr>
            </w:pPr>
            <w:r>
              <w:rPr>
                <w:rFonts w:hint="eastAsia"/>
                <w:kern w:val="2"/>
                <w:szCs w:val="21"/>
                <w:lang w:val="en-US" w:eastAsia="zh-CN"/>
              </w:rPr>
              <w:t>普通废包装材料</w:t>
            </w:r>
            <w:r>
              <w:rPr>
                <w:kern w:val="2"/>
                <w:szCs w:val="21"/>
                <w:lang w:val="en-US" w:eastAsia="zh-CN"/>
              </w:rPr>
              <w:t>(t/a)</w:t>
            </w:r>
          </w:p>
        </w:tc>
        <w:tc>
          <w:tcPr>
            <w:tcW w:w="1820" w:type="dxa"/>
            <w:vAlign w:val="center"/>
          </w:tcPr>
          <w:p>
            <w:pPr>
              <w:pStyle w:val="26"/>
              <w:ind w:firstLine="0" w:firstLineChars="0"/>
              <w:rPr>
                <w:szCs w:val="21"/>
                <w:lang w:val="en-US" w:eastAsia="zh-CN"/>
              </w:rPr>
            </w:pPr>
            <w:r>
              <w:rPr>
                <w:kern w:val="2"/>
                <w:szCs w:val="21"/>
                <w:lang w:val="en-US" w:eastAsia="zh-CN"/>
              </w:rPr>
              <w:t>4</w:t>
            </w:r>
          </w:p>
        </w:tc>
        <w:tc>
          <w:tcPr>
            <w:tcW w:w="2515" w:type="dxa"/>
            <w:vAlign w:val="center"/>
          </w:tcPr>
          <w:p>
            <w:pPr>
              <w:pStyle w:val="26"/>
              <w:ind w:firstLine="0" w:firstLineChars="0"/>
              <w:rPr>
                <w:szCs w:val="21"/>
                <w:lang w:val="en-US" w:eastAsia="zh-CN"/>
              </w:rPr>
            </w:pPr>
            <w:r>
              <w:rPr>
                <w:kern w:val="2"/>
                <w:szCs w:val="21"/>
                <w:lang w:val="en-US" w:eastAsia="zh-CN"/>
              </w:rPr>
              <w:t>4</w:t>
            </w:r>
          </w:p>
        </w:tc>
        <w:tc>
          <w:tcPr>
            <w:tcW w:w="2328" w:type="dxa"/>
            <w:vAlign w:val="center"/>
          </w:tcPr>
          <w:p>
            <w:pPr>
              <w:pStyle w:val="26"/>
              <w:ind w:firstLine="0" w:firstLineChars="0"/>
              <w:rPr>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Merge w:val="continue"/>
            <w:vAlign w:val="center"/>
          </w:tcPr>
          <w:p>
            <w:pPr>
              <w:pStyle w:val="26"/>
              <w:rPr>
                <w:szCs w:val="21"/>
                <w:lang w:val="en-US" w:eastAsia="zh-CN"/>
              </w:rPr>
            </w:pPr>
          </w:p>
        </w:tc>
        <w:tc>
          <w:tcPr>
            <w:tcW w:w="1552" w:type="dxa"/>
            <w:vAlign w:val="center"/>
          </w:tcPr>
          <w:p>
            <w:pPr>
              <w:pStyle w:val="26"/>
              <w:spacing w:line="240" w:lineRule="auto"/>
              <w:ind w:firstLine="0" w:firstLineChars="0"/>
              <w:rPr>
                <w:szCs w:val="21"/>
                <w:lang w:val="en-US" w:eastAsia="zh-CN"/>
              </w:rPr>
            </w:pPr>
            <w:r>
              <w:rPr>
                <w:rFonts w:hint="eastAsia"/>
                <w:kern w:val="2"/>
                <w:szCs w:val="21"/>
                <w:lang w:val="en-US" w:eastAsia="zh-CN"/>
              </w:rPr>
              <w:t>含危化品废包装材料</w:t>
            </w:r>
            <w:r>
              <w:rPr>
                <w:kern w:val="2"/>
                <w:szCs w:val="21"/>
                <w:lang w:val="en-US" w:eastAsia="zh-CN"/>
              </w:rPr>
              <w:t>(t/a)</w:t>
            </w:r>
          </w:p>
        </w:tc>
        <w:tc>
          <w:tcPr>
            <w:tcW w:w="1820" w:type="dxa"/>
            <w:vAlign w:val="center"/>
          </w:tcPr>
          <w:p>
            <w:pPr>
              <w:pStyle w:val="26"/>
              <w:ind w:firstLine="0" w:firstLineChars="0"/>
              <w:rPr>
                <w:szCs w:val="21"/>
                <w:lang w:val="en-US" w:eastAsia="zh-CN"/>
              </w:rPr>
            </w:pPr>
            <w:r>
              <w:rPr>
                <w:kern w:val="2"/>
                <w:szCs w:val="21"/>
                <w:lang w:val="en-US" w:eastAsia="zh-CN"/>
              </w:rPr>
              <w:t>0.2</w:t>
            </w:r>
          </w:p>
        </w:tc>
        <w:tc>
          <w:tcPr>
            <w:tcW w:w="2515" w:type="dxa"/>
            <w:vAlign w:val="center"/>
          </w:tcPr>
          <w:p>
            <w:pPr>
              <w:pStyle w:val="26"/>
              <w:ind w:firstLine="0" w:firstLineChars="0"/>
              <w:rPr>
                <w:szCs w:val="21"/>
                <w:lang w:val="en-US" w:eastAsia="zh-CN"/>
              </w:rPr>
            </w:pPr>
            <w:r>
              <w:rPr>
                <w:kern w:val="2"/>
                <w:szCs w:val="21"/>
                <w:lang w:val="en-US" w:eastAsia="zh-CN"/>
              </w:rPr>
              <w:t>0.2</w:t>
            </w:r>
          </w:p>
        </w:tc>
        <w:tc>
          <w:tcPr>
            <w:tcW w:w="2328" w:type="dxa"/>
            <w:vAlign w:val="center"/>
          </w:tcPr>
          <w:p>
            <w:pPr>
              <w:pStyle w:val="26"/>
              <w:ind w:firstLine="0" w:firstLineChars="0"/>
              <w:rPr>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Merge w:val="restart"/>
            <w:vAlign w:val="center"/>
          </w:tcPr>
          <w:p>
            <w:pPr>
              <w:pStyle w:val="26"/>
              <w:rPr>
                <w:szCs w:val="21"/>
                <w:lang w:val="en-US" w:eastAsia="zh-CN"/>
              </w:rPr>
            </w:pPr>
            <w:r>
              <w:rPr>
                <w:rFonts w:hint="eastAsia"/>
                <w:kern w:val="2"/>
                <w:szCs w:val="21"/>
                <w:lang w:val="en-US" w:eastAsia="zh-CN"/>
              </w:rPr>
              <w:t>纺纱生产</w:t>
            </w:r>
          </w:p>
        </w:tc>
        <w:tc>
          <w:tcPr>
            <w:tcW w:w="1552" w:type="dxa"/>
            <w:vAlign w:val="center"/>
          </w:tcPr>
          <w:p>
            <w:pPr>
              <w:pStyle w:val="26"/>
              <w:spacing w:line="240" w:lineRule="auto"/>
              <w:rPr>
                <w:szCs w:val="21"/>
                <w:lang w:val="en-US" w:eastAsia="zh-CN"/>
              </w:rPr>
            </w:pPr>
            <w:r>
              <w:rPr>
                <w:rFonts w:hint="eastAsia"/>
                <w:kern w:val="2"/>
                <w:szCs w:val="21"/>
                <w:lang w:val="en-US" w:eastAsia="zh-CN"/>
              </w:rPr>
              <w:t>废弃原料</w:t>
            </w:r>
          </w:p>
        </w:tc>
        <w:tc>
          <w:tcPr>
            <w:tcW w:w="1820" w:type="dxa"/>
            <w:vAlign w:val="center"/>
          </w:tcPr>
          <w:p>
            <w:pPr>
              <w:pStyle w:val="26"/>
              <w:rPr>
                <w:szCs w:val="21"/>
                <w:lang w:val="en-US" w:eastAsia="zh-CN"/>
              </w:rPr>
            </w:pPr>
            <w:r>
              <w:rPr>
                <w:rFonts w:hint="eastAsia"/>
                <w:kern w:val="2"/>
                <w:szCs w:val="21"/>
                <w:lang w:val="en-US" w:eastAsia="zh-CN"/>
              </w:rPr>
              <w:t>1.0</w:t>
            </w:r>
          </w:p>
        </w:tc>
        <w:tc>
          <w:tcPr>
            <w:tcW w:w="2515" w:type="dxa"/>
            <w:vAlign w:val="center"/>
          </w:tcPr>
          <w:p>
            <w:pPr>
              <w:pStyle w:val="26"/>
              <w:ind w:firstLine="0" w:firstLineChars="0"/>
              <w:rPr>
                <w:szCs w:val="21"/>
                <w:lang w:val="en-US" w:eastAsia="zh-CN"/>
              </w:rPr>
            </w:pPr>
            <w:r>
              <w:rPr>
                <w:rFonts w:hint="eastAsia"/>
                <w:kern w:val="2"/>
                <w:szCs w:val="21"/>
                <w:lang w:val="en-US" w:eastAsia="zh-CN"/>
              </w:rPr>
              <w:t>1.0</w:t>
            </w:r>
          </w:p>
        </w:tc>
        <w:tc>
          <w:tcPr>
            <w:tcW w:w="2328" w:type="dxa"/>
            <w:vAlign w:val="center"/>
          </w:tcPr>
          <w:p>
            <w:pPr>
              <w:pStyle w:val="26"/>
              <w:rPr>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Merge w:val="continue"/>
            <w:vAlign w:val="center"/>
          </w:tcPr>
          <w:p>
            <w:pPr>
              <w:pStyle w:val="26"/>
              <w:rPr>
                <w:szCs w:val="21"/>
                <w:lang w:val="en-US" w:eastAsia="zh-CN"/>
              </w:rPr>
            </w:pPr>
          </w:p>
        </w:tc>
        <w:tc>
          <w:tcPr>
            <w:tcW w:w="1552" w:type="dxa"/>
            <w:vAlign w:val="center"/>
          </w:tcPr>
          <w:p>
            <w:pPr>
              <w:pStyle w:val="26"/>
              <w:spacing w:line="240" w:lineRule="auto"/>
              <w:rPr>
                <w:szCs w:val="21"/>
                <w:lang w:val="en-US" w:eastAsia="zh-CN"/>
              </w:rPr>
            </w:pPr>
            <w:r>
              <w:rPr>
                <w:rFonts w:hint="eastAsia"/>
                <w:kern w:val="2"/>
                <w:szCs w:val="21"/>
                <w:lang w:val="en-US" w:eastAsia="zh-CN"/>
              </w:rPr>
              <w:t>杂质</w:t>
            </w:r>
          </w:p>
        </w:tc>
        <w:tc>
          <w:tcPr>
            <w:tcW w:w="1820" w:type="dxa"/>
            <w:vAlign w:val="center"/>
          </w:tcPr>
          <w:p>
            <w:pPr>
              <w:pStyle w:val="26"/>
              <w:rPr>
                <w:szCs w:val="21"/>
                <w:lang w:val="en-US" w:eastAsia="zh-CN"/>
              </w:rPr>
            </w:pPr>
            <w:r>
              <w:rPr>
                <w:rFonts w:hint="eastAsia"/>
                <w:kern w:val="2"/>
                <w:szCs w:val="21"/>
                <w:lang w:val="en-US" w:eastAsia="zh-CN"/>
              </w:rPr>
              <w:t>2.0</w:t>
            </w:r>
          </w:p>
        </w:tc>
        <w:tc>
          <w:tcPr>
            <w:tcW w:w="2515" w:type="dxa"/>
            <w:vAlign w:val="center"/>
          </w:tcPr>
          <w:p>
            <w:pPr>
              <w:pStyle w:val="26"/>
              <w:ind w:firstLine="0" w:firstLineChars="0"/>
              <w:rPr>
                <w:szCs w:val="21"/>
                <w:lang w:val="en-US" w:eastAsia="zh-CN"/>
              </w:rPr>
            </w:pPr>
            <w:r>
              <w:rPr>
                <w:rFonts w:hint="eastAsia"/>
                <w:kern w:val="2"/>
                <w:szCs w:val="21"/>
                <w:lang w:val="en-US" w:eastAsia="zh-CN"/>
              </w:rPr>
              <w:t>2.0</w:t>
            </w:r>
          </w:p>
        </w:tc>
        <w:tc>
          <w:tcPr>
            <w:tcW w:w="2328" w:type="dxa"/>
            <w:vAlign w:val="center"/>
          </w:tcPr>
          <w:p>
            <w:pPr>
              <w:pStyle w:val="26"/>
              <w:rPr>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Merge w:val="continue"/>
            <w:vAlign w:val="center"/>
          </w:tcPr>
          <w:p>
            <w:pPr>
              <w:pStyle w:val="26"/>
              <w:rPr>
                <w:szCs w:val="21"/>
                <w:lang w:val="en-US" w:eastAsia="zh-CN"/>
              </w:rPr>
            </w:pPr>
          </w:p>
        </w:tc>
        <w:tc>
          <w:tcPr>
            <w:tcW w:w="1552" w:type="dxa"/>
            <w:vAlign w:val="center"/>
          </w:tcPr>
          <w:p>
            <w:pPr>
              <w:pStyle w:val="26"/>
              <w:spacing w:line="240" w:lineRule="auto"/>
              <w:rPr>
                <w:szCs w:val="21"/>
                <w:lang w:val="en-US" w:eastAsia="zh-CN"/>
              </w:rPr>
            </w:pPr>
            <w:r>
              <w:rPr>
                <w:rFonts w:hint="eastAsia"/>
                <w:kern w:val="2"/>
                <w:szCs w:val="21"/>
                <w:lang w:val="en-US" w:eastAsia="zh-CN"/>
              </w:rPr>
              <w:t>普通包装材料</w:t>
            </w:r>
          </w:p>
        </w:tc>
        <w:tc>
          <w:tcPr>
            <w:tcW w:w="1820" w:type="dxa"/>
            <w:vAlign w:val="center"/>
          </w:tcPr>
          <w:p>
            <w:pPr>
              <w:pStyle w:val="26"/>
              <w:rPr>
                <w:szCs w:val="21"/>
                <w:lang w:val="en-US" w:eastAsia="zh-CN"/>
              </w:rPr>
            </w:pPr>
            <w:r>
              <w:rPr>
                <w:kern w:val="2"/>
                <w:szCs w:val="21"/>
                <w:lang w:val="en-US" w:eastAsia="zh-CN"/>
              </w:rPr>
              <w:t>1.0</w:t>
            </w:r>
          </w:p>
        </w:tc>
        <w:tc>
          <w:tcPr>
            <w:tcW w:w="2515" w:type="dxa"/>
            <w:vAlign w:val="center"/>
          </w:tcPr>
          <w:p>
            <w:pPr>
              <w:pStyle w:val="26"/>
              <w:rPr>
                <w:szCs w:val="21"/>
                <w:lang w:val="en-US" w:eastAsia="zh-CN"/>
              </w:rPr>
            </w:pPr>
            <w:r>
              <w:rPr>
                <w:kern w:val="2"/>
                <w:szCs w:val="21"/>
                <w:lang w:val="en-US" w:eastAsia="zh-CN"/>
              </w:rPr>
              <w:t>1.0</w:t>
            </w:r>
          </w:p>
        </w:tc>
        <w:tc>
          <w:tcPr>
            <w:tcW w:w="2328" w:type="dxa"/>
            <w:vAlign w:val="center"/>
          </w:tcPr>
          <w:p>
            <w:pPr>
              <w:pStyle w:val="26"/>
              <w:rPr>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Merge w:val="restart"/>
            <w:vAlign w:val="center"/>
          </w:tcPr>
          <w:p>
            <w:pPr>
              <w:pStyle w:val="26"/>
              <w:rPr>
                <w:szCs w:val="21"/>
                <w:lang w:val="en-US" w:eastAsia="zh-CN"/>
              </w:rPr>
            </w:pPr>
            <w:r>
              <w:rPr>
                <w:rFonts w:hint="eastAsia"/>
                <w:kern w:val="2"/>
                <w:szCs w:val="21"/>
                <w:lang w:val="en-US" w:eastAsia="zh-CN"/>
              </w:rPr>
              <w:t>织布车间</w:t>
            </w:r>
          </w:p>
        </w:tc>
        <w:tc>
          <w:tcPr>
            <w:tcW w:w="1552" w:type="dxa"/>
            <w:vAlign w:val="center"/>
          </w:tcPr>
          <w:p>
            <w:pPr>
              <w:pStyle w:val="26"/>
              <w:spacing w:line="240" w:lineRule="auto"/>
              <w:rPr>
                <w:szCs w:val="21"/>
                <w:lang w:val="en-US" w:eastAsia="zh-CN"/>
              </w:rPr>
            </w:pPr>
            <w:r>
              <w:rPr>
                <w:rFonts w:hint="eastAsia"/>
                <w:kern w:val="2"/>
                <w:szCs w:val="21"/>
                <w:lang w:val="en-US" w:eastAsia="zh-CN"/>
              </w:rPr>
              <w:t>废弃棉线</w:t>
            </w:r>
          </w:p>
        </w:tc>
        <w:tc>
          <w:tcPr>
            <w:tcW w:w="1820" w:type="dxa"/>
            <w:vAlign w:val="center"/>
          </w:tcPr>
          <w:p>
            <w:pPr>
              <w:pStyle w:val="26"/>
              <w:rPr>
                <w:szCs w:val="21"/>
                <w:lang w:val="en-US" w:eastAsia="zh-CN"/>
              </w:rPr>
            </w:pPr>
            <w:r>
              <w:rPr>
                <w:rFonts w:hint="eastAsia"/>
                <w:kern w:val="2"/>
                <w:szCs w:val="21"/>
                <w:lang w:val="en-US" w:eastAsia="zh-CN"/>
              </w:rPr>
              <w:t>16</w:t>
            </w:r>
          </w:p>
        </w:tc>
        <w:tc>
          <w:tcPr>
            <w:tcW w:w="2515" w:type="dxa"/>
            <w:vAlign w:val="center"/>
          </w:tcPr>
          <w:p>
            <w:pPr>
              <w:pStyle w:val="26"/>
              <w:rPr>
                <w:szCs w:val="21"/>
                <w:lang w:val="en-US" w:eastAsia="zh-CN"/>
              </w:rPr>
            </w:pPr>
            <w:r>
              <w:rPr>
                <w:rFonts w:hint="eastAsia"/>
                <w:szCs w:val="21"/>
                <w:lang w:val="en-US" w:eastAsia="zh-CN"/>
              </w:rPr>
              <w:t>0</w:t>
            </w:r>
          </w:p>
        </w:tc>
        <w:tc>
          <w:tcPr>
            <w:tcW w:w="2328" w:type="dxa"/>
            <w:vAlign w:val="center"/>
          </w:tcPr>
          <w:p>
            <w:pPr>
              <w:pStyle w:val="26"/>
              <w:rPr>
                <w:szCs w:val="21"/>
                <w:lang w:val="en-US" w:eastAsia="zh-CN"/>
              </w:rPr>
            </w:pPr>
            <w:r>
              <w:rPr>
                <w:rFonts w:hint="eastAsia"/>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Merge w:val="continue"/>
            <w:vAlign w:val="center"/>
          </w:tcPr>
          <w:p>
            <w:pPr>
              <w:pStyle w:val="26"/>
              <w:rPr>
                <w:szCs w:val="21"/>
                <w:lang w:val="en-US" w:eastAsia="zh-CN"/>
              </w:rPr>
            </w:pPr>
          </w:p>
        </w:tc>
        <w:tc>
          <w:tcPr>
            <w:tcW w:w="1552" w:type="dxa"/>
            <w:vAlign w:val="center"/>
          </w:tcPr>
          <w:p>
            <w:pPr>
              <w:pStyle w:val="26"/>
              <w:spacing w:line="240" w:lineRule="auto"/>
              <w:rPr>
                <w:szCs w:val="21"/>
                <w:lang w:val="en-US" w:eastAsia="zh-CN"/>
              </w:rPr>
            </w:pPr>
            <w:r>
              <w:rPr>
                <w:rFonts w:hint="eastAsia"/>
                <w:kern w:val="2"/>
                <w:szCs w:val="21"/>
                <w:lang w:val="en-US" w:eastAsia="zh-CN"/>
              </w:rPr>
              <w:t>粉尘</w:t>
            </w:r>
          </w:p>
        </w:tc>
        <w:tc>
          <w:tcPr>
            <w:tcW w:w="1820" w:type="dxa"/>
            <w:vAlign w:val="center"/>
          </w:tcPr>
          <w:p>
            <w:pPr>
              <w:pStyle w:val="26"/>
              <w:rPr>
                <w:szCs w:val="21"/>
                <w:lang w:val="en-US" w:eastAsia="zh-CN"/>
              </w:rPr>
            </w:pPr>
            <w:r>
              <w:rPr>
                <w:rFonts w:hint="eastAsia"/>
                <w:kern w:val="2"/>
                <w:szCs w:val="21"/>
                <w:lang w:val="en-US" w:eastAsia="zh-CN"/>
              </w:rPr>
              <w:t>2</w:t>
            </w:r>
          </w:p>
        </w:tc>
        <w:tc>
          <w:tcPr>
            <w:tcW w:w="2515" w:type="dxa"/>
            <w:vAlign w:val="center"/>
          </w:tcPr>
          <w:p>
            <w:pPr>
              <w:pStyle w:val="26"/>
              <w:rPr>
                <w:szCs w:val="21"/>
                <w:lang w:val="en-US" w:eastAsia="zh-CN"/>
              </w:rPr>
            </w:pPr>
            <w:r>
              <w:rPr>
                <w:rFonts w:hint="eastAsia"/>
                <w:szCs w:val="21"/>
                <w:lang w:val="en-US" w:eastAsia="zh-CN"/>
              </w:rPr>
              <w:t>0</w:t>
            </w:r>
          </w:p>
        </w:tc>
        <w:tc>
          <w:tcPr>
            <w:tcW w:w="2328" w:type="dxa"/>
            <w:vAlign w:val="center"/>
          </w:tcPr>
          <w:p>
            <w:pPr>
              <w:pStyle w:val="26"/>
              <w:rPr>
                <w:szCs w:val="21"/>
                <w:lang w:val="en-US" w:eastAsia="zh-CN"/>
              </w:rPr>
            </w:pPr>
            <w:r>
              <w:rPr>
                <w:rFonts w:hint="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Align w:val="center"/>
          </w:tcPr>
          <w:p>
            <w:pPr>
              <w:pStyle w:val="26"/>
              <w:rPr>
                <w:szCs w:val="21"/>
                <w:lang w:val="en-US" w:eastAsia="zh-CN"/>
              </w:rPr>
            </w:pPr>
            <w:r>
              <w:rPr>
                <w:rFonts w:hint="eastAsia"/>
                <w:kern w:val="2"/>
                <w:szCs w:val="21"/>
                <w:lang w:val="en-US" w:eastAsia="zh-CN"/>
              </w:rPr>
              <w:t>锅炉房</w:t>
            </w:r>
          </w:p>
        </w:tc>
        <w:tc>
          <w:tcPr>
            <w:tcW w:w="1552" w:type="dxa"/>
            <w:vAlign w:val="center"/>
          </w:tcPr>
          <w:p>
            <w:pPr>
              <w:pStyle w:val="26"/>
              <w:spacing w:line="240" w:lineRule="auto"/>
              <w:rPr>
                <w:szCs w:val="21"/>
                <w:lang w:val="en-US" w:eastAsia="zh-CN"/>
              </w:rPr>
            </w:pPr>
            <w:r>
              <w:rPr>
                <w:rFonts w:hint="eastAsia"/>
                <w:kern w:val="2"/>
                <w:szCs w:val="21"/>
                <w:lang w:val="en-US" w:eastAsia="zh-CN"/>
              </w:rPr>
              <w:t>煤渣</w:t>
            </w:r>
            <w:r>
              <w:rPr>
                <w:kern w:val="2"/>
                <w:szCs w:val="21"/>
                <w:lang w:val="en-US" w:eastAsia="zh-CN"/>
              </w:rPr>
              <w:t>/</w:t>
            </w:r>
            <w:r>
              <w:rPr>
                <w:rFonts w:hint="eastAsia"/>
                <w:kern w:val="2"/>
                <w:szCs w:val="21"/>
                <w:lang w:val="en-US" w:eastAsia="zh-CN"/>
              </w:rPr>
              <w:t>草木灰</w:t>
            </w:r>
          </w:p>
        </w:tc>
        <w:tc>
          <w:tcPr>
            <w:tcW w:w="1820" w:type="dxa"/>
            <w:vAlign w:val="center"/>
          </w:tcPr>
          <w:p>
            <w:pPr>
              <w:pStyle w:val="26"/>
              <w:rPr>
                <w:szCs w:val="21"/>
                <w:lang w:val="en-US" w:eastAsia="zh-CN"/>
              </w:rPr>
            </w:pPr>
            <w:r>
              <w:rPr>
                <w:kern w:val="2"/>
                <w:szCs w:val="21"/>
                <w:lang w:val="en-US" w:eastAsia="zh-CN"/>
              </w:rPr>
              <w:t>240</w:t>
            </w:r>
          </w:p>
        </w:tc>
        <w:tc>
          <w:tcPr>
            <w:tcW w:w="2515" w:type="dxa"/>
            <w:vAlign w:val="center"/>
          </w:tcPr>
          <w:p>
            <w:pPr>
              <w:pStyle w:val="26"/>
              <w:rPr>
                <w:szCs w:val="21"/>
                <w:lang w:val="en-US" w:eastAsia="zh-CN"/>
              </w:rPr>
            </w:pPr>
            <w:r>
              <w:rPr>
                <w:kern w:val="2"/>
                <w:szCs w:val="21"/>
                <w:lang w:val="en-US" w:eastAsia="zh-CN"/>
              </w:rPr>
              <w:t>66</w:t>
            </w:r>
          </w:p>
        </w:tc>
        <w:tc>
          <w:tcPr>
            <w:tcW w:w="2328" w:type="dxa"/>
            <w:vAlign w:val="center"/>
          </w:tcPr>
          <w:p>
            <w:pPr>
              <w:pStyle w:val="26"/>
              <w:rPr>
                <w:szCs w:val="21"/>
                <w:lang w:val="en-US" w:eastAsia="zh-CN"/>
              </w:rPr>
            </w:pPr>
            <w:r>
              <w:rPr>
                <w:kern w:val="2"/>
                <w:szCs w:val="21"/>
                <w:lang w:val="en-US" w:eastAsia="zh-CN"/>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Align w:val="center"/>
          </w:tcPr>
          <w:p>
            <w:pPr>
              <w:pStyle w:val="26"/>
              <w:rPr>
                <w:szCs w:val="21"/>
                <w:lang w:val="en-US" w:eastAsia="zh-CN"/>
              </w:rPr>
            </w:pPr>
            <w:r>
              <w:rPr>
                <w:rFonts w:hint="eastAsia"/>
                <w:kern w:val="2"/>
                <w:szCs w:val="21"/>
                <w:lang w:val="en-US" w:eastAsia="zh-CN"/>
              </w:rPr>
              <w:t>生活</w:t>
            </w:r>
          </w:p>
        </w:tc>
        <w:tc>
          <w:tcPr>
            <w:tcW w:w="1552" w:type="dxa"/>
            <w:vAlign w:val="center"/>
          </w:tcPr>
          <w:p>
            <w:pPr>
              <w:pStyle w:val="26"/>
              <w:spacing w:line="240" w:lineRule="auto"/>
              <w:rPr>
                <w:szCs w:val="21"/>
                <w:lang w:val="en-US" w:eastAsia="zh-CN"/>
              </w:rPr>
            </w:pPr>
            <w:r>
              <w:rPr>
                <w:rFonts w:hint="eastAsia"/>
                <w:kern w:val="2"/>
                <w:szCs w:val="21"/>
                <w:lang w:val="en-US" w:eastAsia="zh-CN"/>
              </w:rPr>
              <w:t>生活垃圾</w:t>
            </w:r>
            <w:r>
              <w:rPr>
                <w:kern w:val="2"/>
                <w:szCs w:val="21"/>
                <w:lang w:val="en-US" w:eastAsia="zh-CN"/>
              </w:rPr>
              <w:t>(t/a)</w:t>
            </w:r>
          </w:p>
        </w:tc>
        <w:tc>
          <w:tcPr>
            <w:tcW w:w="1820" w:type="dxa"/>
            <w:vAlign w:val="center"/>
          </w:tcPr>
          <w:p>
            <w:pPr>
              <w:pStyle w:val="26"/>
              <w:rPr>
                <w:szCs w:val="21"/>
                <w:lang w:val="en-US" w:eastAsia="zh-CN"/>
              </w:rPr>
            </w:pPr>
            <w:r>
              <w:rPr>
                <w:rFonts w:hint="eastAsia"/>
                <w:kern w:val="2"/>
                <w:szCs w:val="21"/>
                <w:lang w:val="en-US" w:eastAsia="zh-CN"/>
              </w:rPr>
              <w:t>1350</w:t>
            </w:r>
          </w:p>
        </w:tc>
        <w:tc>
          <w:tcPr>
            <w:tcW w:w="2515" w:type="dxa"/>
            <w:vAlign w:val="center"/>
          </w:tcPr>
          <w:p>
            <w:pPr>
              <w:pStyle w:val="26"/>
              <w:rPr>
                <w:szCs w:val="21"/>
                <w:lang w:val="en-US" w:eastAsia="zh-CN"/>
              </w:rPr>
            </w:pPr>
            <w:r>
              <w:rPr>
                <w:rFonts w:hint="eastAsia"/>
                <w:kern w:val="2"/>
                <w:szCs w:val="21"/>
                <w:lang w:val="en-US" w:eastAsia="zh-CN"/>
              </w:rPr>
              <w:t>630</w:t>
            </w:r>
          </w:p>
        </w:tc>
        <w:tc>
          <w:tcPr>
            <w:tcW w:w="2328" w:type="dxa"/>
            <w:vAlign w:val="center"/>
          </w:tcPr>
          <w:p>
            <w:pPr>
              <w:pStyle w:val="26"/>
              <w:rPr>
                <w:szCs w:val="21"/>
                <w:lang w:val="en-US" w:eastAsia="zh-CN"/>
              </w:rPr>
            </w:pPr>
            <w:r>
              <w:rPr>
                <w:rFonts w:hint="eastAsia"/>
                <w:kern w:val="2"/>
                <w:szCs w:val="21"/>
                <w:lang w:val="en-US" w:eastAsia="zh-C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2" w:type="dxa"/>
            <w:vAlign w:val="center"/>
          </w:tcPr>
          <w:p>
            <w:pPr>
              <w:pStyle w:val="26"/>
              <w:rPr>
                <w:szCs w:val="21"/>
                <w:lang w:val="en-US" w:eastAsia="zh-CN"/>
              </w:rPr>
            </w:pPr>
            <w:r>
              <w:rPr>
                <w:rFonts w:hint="eastAsia"/>
                <w:kern w:val="2"/>
                <w:szCs w:val="21"/>
                <w:lang w:val="en-US" w:eastAsia="zh-CN"/>
              </w:rPr>
              <w:t>污水处理</w:t>
            </w:r>
          </w:p>
        </w:tc>
        <w:tc>
          <w:tcPr>
            <w:tcW w:w="1552" w:type="dxa"/>
            <w:vAlign w:val="center"/>
          </w:tcPr>
          <w:p>
            <w:pPr>
              <w:pStyle w:val="26"/>
              <w:spacing w:line="240" w:lineRule="auto"/>
              <w:rPr>
                <w:szCs w:val="21"/>
                <w:lang w:val="en-US" w:eastAsia="zh-CN"/>
              </w:rPr>
            </w:pPr>
            <w:r>
              <w:rPr>
                <w:rFonts w:hint="eastAsia"/>
                <w:kern w:val="2"/>
                <w:szCs w:val="21"/>
                <w:lang w:val="en-US" w:eastAsia="zh-CN"/>
              </w:rPr>
              <w:t>污泥</w:t>
            </w:r>
            <w:r>
              <w:rPr>
                <w:kern w:val="2"/>
                <w:szCs w:val="21"/>
                <w:lang w:val="en-US" w:eastAsia="zh-CN"/>
              </w:rPr>
              <w:t>(t/a)</w:t>
            </w:r>
          </w:p>
        </w:tc>
        <w:tc>
          <w:tcPr>
            <w:tcW w:w="1820" w:type="dxa"/>
            <w:vAlign w:val="center"/>
          </w:tcPr>
          <w:p>
            <w:pPr>
              <w:pStyle w:val="26"/>
              <w:rPr>
                <w:szCs w:val="21"/>
                <w:lang w:val="en-US" w:eastAsia="zh-CN"/>
              </w:rPr>
            </w:pPr>
            <w:r>
              <w:rPr>
                <w:kern w:val="2"/>
                <w:szCs w:val="21"/>
                <w:lang w:val="en-US" w:eastAsia="zh-CN"/>
              </w:rPr>
              <w:t>550</w:t>
            </w:r>
          </w:p>
        </w:tc>
        <w:tc>
          <w:tcPr>
            <w:tcW w:w="2515" w:type="dxa"/>
            <w:vAlign w:val="center"/>
          </w:tcPr>
          <w:p>
            <w:pPr>
              <w:pStyle w:val="26"/>
              <w:rPr>
                <w:szCs w:val="21"/>
                <w:lang w:val="en-US" w:eastAsia="zh-CN"/>
              </w:rPr>
            </w:pPr>
            <w:r>
              <w:rPr>
                <w:kern w:val="2"/>
                <w:szCs w:val="21"/>
                <w:lang w:val="en-US" w:eastAsia="zh-CN"/>
              </w:rPr>
              <w:t>260</w:t>
            </w:r>
          </w:p>
        </w:tc>
        <w:tc>
          <w:tcPr>
            <w:tcW w:w="2328" w:type="dxa"/>
            <w:vAlign w:val="center"/>
          </w:tcPr>
          <w:p>
            <w:pPr>
              <w:pStyle w:val="26"/>
              <w:rPr>
                <w:szCs w:val="21"/>
                <w:lang w:val="en-US" w:eastAsia="zh-CN"/>
              </w:rPr>
            </w:pPr>
            <w:r>
              <w:rPr>
                <w:kern w:val="2"/>
                <w:szCs w:val="21"/>
                <w:lang w:val="en-US" w:eastAsia="zh-CN"/>
              </w:rPr>
              <w:t>-290</w:t>
            </w:r>
          </w:p>
        </w:tc>
      </w:tr>
    </w:tbl>
    <w:p>
      <w:pPr>
        <w:ind w:firstLine="480"/>
      </w:pPr>
    </w:p>
    <w:p>
      <w:pPr>
        <w:pStyle w:val="4"/>
      </w:pPr>
      <w:r>
        <w:rPr>
          <w:rFonts w:hint="eastAsia"/>
        </w:rPr>
        <w:t>噪声污染源</w:t>
      </w:r>
    </w:p>
    <w:p>
      <w:pPr>
        <w:ind w:firstLine="480"/>
      </w:pPr>
      <w:r>
        <w:rPr>
          <w:rFonts w:hint="eastAsia"/>
        </w:rPr>
        <w:t>本项目噪声主要来源于高温高压气流染色机、水洗机、定型机、脱水机等生产设备。其噪声源强详见表</w:t>
      </w:r>
      <w:r>
        <w:t>4.3-7</w:t>
      </w:r>
      <w:r>
        <w:rPr>
          <w:rFonts w:hint="eastAsia"/>
        </w:rPr>
        <w:t>。</w:t>
      </w:r>
    </w:p>
    <w:p>
      <w:pPr>
        <w:pStyle w:val="26"/>
        <w:rPr>
          <w:b/>
          <w:bCs/>
        </w:rPr>
      </w:pPr>
      <w:r>
        <w:rPr>
          <w:rFonts w:hint="eastAsia"/>
          <w:b/>
          <w:bCs/>
        </w:rPr>
        <w:t>表</w:t>
      </w:r>
      <w:r>
        <w:rPr>
          <w:b/>
          <w:bCs/>
        </w:rPr>
        <w:t xml:space="preserve">4.3-7  </w:t>
      </w:r>
      <w:r>
        <w:rPr>
          <w:rFonts w:hint="eastAsia"/>
          <w:b/>
          <w:bCs/>
        </w:rPr>
        <w:t>技改后噪声源强一览表</w:t>
      </w:r>
    </w:p>
    <w:tbl>
      <w:tblPr>
        <w:tblStyle w:val="23"/>
        <w:tblW w:w="98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2148"/>
        <w:gridCol w:w="1126"/>
        <w:gridCol w:w="1637"/>
        <w:gridCol w:w="1637"/>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6" w:type="dxa"/>
          </w:tcPr>
          <w:p>
            <w:pPr>
              <w:pStyle w:val="26"/>
              <w:rPr>
                <w:kern w:val="2"/>
                <w:szCs w:val="21"/>
                <w:lang w:val="en-US" w:eastAsia="zh-CN"/>
              </w:rPr>
            </w:pPr>
            <w:r>
              <w:rPr>
                <w:rFonts w:hint="eastAsia"/>
                <w:kern w:val="2"/>
                <w:szCs w:val="21"/>
                <w:lang w:val="en-US" w:eastAsia="zh-CN"/>
              </w:rPr>
              <w:t>设备名称</w:t>
            </w:r>
          </w:p>
        </w:tc>
        <w:tc>
          <w:tcPr>
            <w:tcW w:w="2148" w:type="dxa"/>
          </w:tcPr>
          <w:p>
            <w:pPr>
              <w:pStyle w:val="26"/>
              <w:rPr>
                <w:kern w:val="2"/>
                <w:szCs w:val="21"/>
                <w:lang w:val="en-US" w:eastAsia="zh-CN"/>
              </w:rPr>
            </w:pPr>
            <w:r>
              <w:rPr>
                <w:rFonts w:hint="eastAsia"/>
                <w:kern w:val="2"/>
                <w:szCs w:val="21"/>
                <w:lang w:val="en-US" w:eastAsia="zh-CN"/>
              </w:rPr>
              <w:t>高温高压气流染色机</w:t>
            </w:r>
          </w:p>
        </w:tc>
        <w:tc>
          <w:tcPr>
            <w:tcW w:w="1126" w:type="dxa"/>
          </w:tcPr>
          <w:p>
            <w:pPr>
              <w:pStyle w:val="26"/>
              <w:rPr>
                <w:kern w:val="2"/>
                <w:szCs w:val="21"/>
                <w:lang w:val="en-US" w:eastAsia="zh-CN"/>
              </w:rPr>
            </w:pPr>
            <w:r>
              <w:rPr>
                <w:rFonts w:hint="eastAsia"/>
                <w:kern w:val="2"/>
                <w:szCs w:val="21"/>
                <w:lang w:val="en-US" w:eastAsia="zh-CN"/>
              </w:rPr>
              <w:t>水洗机</w:t>
            </w:r>
          </w:p>
        </w:tc>
        <w:tc>
          <w:tcPr>
            <w:tcW w:w="1637" w:type="dxa"/>
          </w:tcPr>
          <w:p>
            <w:pPr>
              <w:pStyle w:val="26"/>
              <w:rPr>
                <w:kern w:val="2"/>
                <w:szCs w:val="21"/>
                <w:lang w:val="en-US" w:eastAsia="zh-CN"/>
              </w:rPr>
            </w:pPr>
            <w:r>
              <w:rPr>
                <w:rFonts w:hint="eastAsia"/>
                <w:kern w:val="2"/>
                <w:szCs w:val="21"/>
                <w:lang w:val="en-US" w:eastAsia="zh-CN"/>
              </w:rPr>
              <w:t>定型机</w:t>
            </w:r>
          </w:p>
        </w:tc>
        <w:tc>
          <w:tcPr>
            <w:tcW w:w="1637" w:type="dxa"/>
          </w:tcPr>
          <w:p>
            <w:pPr>
              <w:pStyle w:val="26"/>
              <w:rPr>
                <w:kern w:val="2"/>
                <w:szCs w:val="21"/>
                <w:lang w:val="en-US" w:eastAsia="zh-CN"/>
              </w:rPr>
            </w:pPr>
            <w:r>
              <w:rPr>
                <w:rFonts w:hint="eastAsia"/>
                <w:kern w:val="2"/>
                <w:szCs w:val="21"/>
                <w:lang w:val="en-US" w:eastAsia="zh-CN"/>
              </w:rPr>
              <w:t>脱水机</w:t>
            </w:r>
          </w:p>
        </w:tc>
        <w:tc>
          <w:tcPr>
            <w:tcW w:w="1627" w:type="dxa"/>
          </w:tcPr>
          <w:p>
            <w:pPr>
              <w:pStyle w:val="26"/>
              <w:rPr>
                <w:kern w:val="2"/>
                <w:szCs w:val="21"/>
                <w:lang w:val="en-US" w:eastAsia="zh-CN"/>
              </w:rPr>
            </w:pPr>
            <w:r>
              <w:rPr>
                <w:rFonts w:hint="eastAsia"/>
                <w:kern w:val="2"/>
                <w:szCs w:val="21"/>
                <w:lang w:val="en-US" w:eastAsia="zh-CN"/>
              </w:rPr>
              <w:t>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6" w:type="dxa"/>
          </w:tcPr>
          <w:p>
            <w:pPr>
              <w:pStyle w:val="26"/>
              <w:rPr>
                <w:kern w:val="2"/>
                <w:szCs w:val="21"/>
                <w:lang w:val="en-US" w:eastAsia="zh-CN"/>
              </w:rPr>
            </w:pPr>
            <w:r>
              <w:rPr>
                <w:rFonts w:hint="eastAsia"/>
                <w:kern w:val="2"/>
                <w:szCs w:val="21"/>
                <w:lang w:val="en-US" w:eastAsia="zh-CN"/>
              </w:rPr>
              <w:t>声级值（</w:t>
            </w:r>
            <w:r>
              <w:rPr>
                <w:kern w:val="2"/>
                <w:szCs w:val="21"/>
                <w:lang w:val="en-US" w:eastAsia="zh-CN"/>
              </w:rPr>
              <w:t>dB(A)</w:t>
            </w:r>
            <w:r>
              <w:rPr>
                <w:rFonts w:hint="eastAsia"/>
                <w:kern w:val="2"/>
                <w:szCs w:val="21"/>
                <w:lang w:val="en-US" w:eastAsia="zh-CN"/>
              </w:rPr>
              <w:t>）</w:t>
            </w:r>
          </w:p>
        </w:tc>
        <w:tc>
          <w:tcPr>
            <w:tcW w:w="2148" w:type="dxa"/>
          </w:tcPr>
          <w:p>
            <w:pPr>
              <w:pStyle w:val="26"/>
              <w:rPr>
                <w:kern w:val="2"/>
                <w:szCs w:val="21"/>
                <w:lang w:val="en-US" w:eastAsia="zh-CN"/>
              </w:rPr>
            </w:pPr>
            <w:r>
              <w:rPr>
                <w:kern w:val="2"/>
                <w:szCs w:val="21"/>
                <w:lang w:val="en-US" w:eastAsia="zh-CN"/>
              </w:rPr>
              <w:t>81</w:t>
            </w:r>
          </w:p>
        </w:tc>
        <w:tc>
          <w:tcPr>
            <w:tcW w:w="1126" w:type="dxa"/>
          </w:tcPr>
          <w:p>
            <w:pPr>
              <w:pStyle w:val="26"/>
              <w:rPr>
                <w:kern w:val="2"/>
                <w:szCs w:val="21"/>
                <w:lang w:val="en-US" w:eastAsia="zh-CN"/>
              </w:rPr>
            </w:pPr>
            <w:r>
              <w:rPr>
                <w:kern w:val="2"/>
                <w:szCs w:val="21"/>
                <w:lang w:val="en-US" w:eastAsia="zh-CN"/>
              </w:rPr>
              <w:t>79</w:t>
            </w:r>
          </w:p>
        </w:tc>
        <w:tc>
          <w:tcPr>
            <w:tcW w:w="1637" w:type="dxa"/>
          </w:tcPr>
          <w:p>
            <w:pPr>
              <w:pStyle w:val="26"/>
              <w:rPr>
                <w:kern w:val="2"/>
                <w:szCs w:val="21"/>
                <w:lang w:val="en-US" w:eastAsia="zh-CN"/>
              </w:rPr>
            </w:pPr>
            <w:r>
              <w:rPr>
                <w:kern w:val="2"/>
                <w:szCs w:val="21"/>
                <w:lang w:val="en-US" w:eastAsia="zh-CN"/>
              </w:rPr>
              <w:t>79</w:t>
            </w:r>
          </w:p>
        </w:tc>
        <w:tc>
          <w:tcPr>
            <w:tcW w:w="1637" w:type="dxa"/>
          </w:tcPr>
          <w:p>
            <w:pPr>
              <w:pStyle w:val="26"/>
              <w:rPr>
                <w:kern w:val="2"/>
                <w:szCs w:val="21"/>
                <w:lang w:val="en-US" w:eastAsia="zh-CN"/>
              </w:rPr>
            </w:pPr>
            <w:r>
              <w:rPr>
                <w:kern w:val="2"/>
                <w:szCs w:val="21"/>
                <w:lang w:val="en-US" w:eastAsia="zh-CN"/>
              </w:rPr>
              <w:t>85</w:t>
            </w:r>
          </w:p>
        </w:tc>
        <w:tc>
          <w:tcPr>
            <w:tcW w:w="1627" w:type="dxa"/>
          </w:tcPr>
          <w:p>
            <w:pPr>
              <w:pStyle w:val="26"/>
              <w:rPr>
                <w:kern w:val="2"/>
                <w:szCs w:val="21"/>
                <w:lang w:val="en-US" w:eastAsia="zh-CN"/>
              </w:rPr>
            </w:pPr>
            <w:r>
              <w:rPr>
                <w:kern w:val="2"/>
                <w:szCs w:val="21"/>
                <w:lang w:val="en-US" w:eastAsia="zh-CN"/>
              </w:rPr>
              <w:t>86</w:t>
            </w:r>
          </w:p>
        </w:tc>
      </w:tr>
    </w:tbl>
    <w:p>
      <w:pPr>
        <w:ind w:firstLine="480"/>
      </w:pPr>
    </w:p>
    <w:p>
      <w:pPr>
        <w:pStyle w:val="3"/>
      </w:pPr>
      <w:bookmarkStart w:id="27" w:name="_Toc16231"/>
      <w:r>
        <w:rPr>
          <w:rFonts w:hint="eastAsia"/>
        </w:rPr>
        <w:t>污染源强汇总</w:t>
      </w:r>
      <w:bookmarkEnd w:id="27"/>
    </w:p>
    <w:p>
      <w:pPr>
        <w:pStyle w:val="4"/>
      </w:pPr>
      <w:r>
        <w:rPr>
          <w:rFonts w:hint="eastAsia"/>
        </w:rPr>
        <w:t>技改后污染源强汇总</w:t>
      </w:r>
    </w:p>
    <w:p>
      <w:pPr>
        <w:ind w:firstLine="480"/>
        <w:rPr>
          <w:rFonts w:hint="eastAsia"/>
        </w:rPr>
      </w:pPr>
      <w:r>
        <w:rPr>
          <w:rFonts w:hint="eastAsia"/>
        </w:rPr>
        <w:t>本技改项目实施后，企业污染源强汇总见表</w:t>
      </w:r>
      <w:r>
        <w:t>4.4-1</w:t>
      </w:r>
      <w:r>
        <w:rPr>
          <w:rFonts w:hint="eastAsia"/>
        </w:rPr>
        <w:t>。</w:t>
      </w:r>
    </w:p>
    <w:p>
      <w:pPr>
        <w:ind w:firstLine="480"/>
        <w:rPr>
          <w:rFonts w:hint="eastAsia"/>
        </w:rPr>
      </w:pPr>
    </w:p>
    <w:p>
      <w:pPr>
        <w:pStyle w:val="26"/>
        <w:rPr>
          <w:b/>
          <w:bCs/>
        </w:rPr>
      </w:pPr>
      <w:r>
        <w:rPr>
          <w:rFonts w:hint="eastAsia"/>
          <w:b/>
          <w:bCs/>
        </w:rPr>
        <w:t>表</w:t>
      </w:r>
      <w:r>
        <w:rPr>
          <w:b/>
          <w:bCs/>
        </w:rPr>
        <w:t xml:space="preserve">4.4-1    </w:t>
      </w:r>
      <w:r>
        <w:rPr>
          <w:rFonts w:hint="eastAsia"/>
          <w:b/>
          <w:bCs/>
        </w:rPr>
        <w:t>技改后企业污染源强汇总表</w:t>
      </w:r>
    </w:p>
    <w:tbl>
      <w:tblPr>
        <w:tblStyle w:val="23"/>
        <w:tblW w:w="9449" w:type="dxa"/>
        <w:jc w:val="center"/>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4"/>
        <w:gridCol w:w="1741"/>
        <w:gridCol w:w="1423"/>
        <w:gridCol w:w="1875"/>
        <w:gridCol w:w="1593"/>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blHeader/>
          <w:jc w:val="center"/>
        </w:trPr>
        <w:tc>
          <w:tcPr>
            <w:tcW w:w="1124" w:type="dxa"/>
            <w:vMerge w:val="restart"/>
            <w:tcBorders>
              <w:tl2br w:val="single" w:color="auto" w:sz="4" w:space="0"/>
            </w:tcBorders>
            <w:vAlign w:val="center"/>
          </w:tcPr>
          <w:p>
            <w:pPr>
              <w:pStyle w:val="26"/>
              <w:spacing w:line="240" w:lineRule="auto"/>
              <w:jc w:val="right"/>
              <w:rPr>
                <w:kern w:val="2"/>
                <w:szCs w:val="21"/>
                <w:lang w:val="en-US" w:eastAsia="zh-CN"/>
              </w:rPr>
            </w:pPr>
            <w:r>
              <w:rPr>
                <w:rFonts w:hint="eastAsia"/>
                <w:kern w:val="2"/>
                <w:szCs w:val="21"/>
                <w:lang w:val="en-US" w:eastAsia="zh-CN"/>
              </w:rPr>
              <w:t>内容</w:t>
            </w:r>
          </w:p>
          <w:p>
            <w:pPr>
              <w:pStyle w:val="26"/>
              <w:spacing w:line="240" w:lineRule="auto"/>
              <w:jc w:val="left"/>
              <w:rPr>
                <w:kern w:val="2"/>
                <w:szCs w:val="21"/>
                <w:lang w:val="en-US" w:eastAsia="zh-CN"/>
              </w:rPr>
            </w:pPr>
            <w:r>
              <w:rPr>
                <w:rFonts w:hint="eastAsia"/>
                <w:kern w:val="2"/>
                <w:szCs w:val="21"/>
                <w:lang w:val="en-US" w:eastAsia="zh-CN"/>
              </w:rPr>
              <w:t>类型</w:t>
            </w:r>
          </w:p>
        </w:tc>
        <w:tc>
          <w:tcPr>
            <w:tcW w:w="1741" w:type="dxa"/>
            <w:vMerge w:val="restart"/>
            <w:vAlign w:val="center"/>
          </w:tcPr>
          <w:p>
            <w:pPr>
              <w:pStyle w:val="26"/>
              <w:rPr>
                <w:kern w:val="2"/>
                <w:szCs w:val="21"/>
                <w:lang w:val="en-US" w:eastAsia="zh-CN"/>
              </w:rPr>
            </w:pPr>
            <w:r>
              <w:rPr>
                <w:rFonts w:hint="eastAsia"/>
                <w:kern w:val="2"/>
                <w:szCs w:val="21"/>
                <w:lang w:val="en-US" w:eastAsia="zh-CN"/>
              </w:rPr>
              <w:t>排放源</w:t>
            </w:r>
          </w:p>
        </w:tc>
        <w:tc>
          <w:tcPr>
            <w:tcW w:w="3298" w:type="dxa"/>
            <w:gridSpan w:val="2"/>
            <w:vMerge w:val="restart"/>
            <w:vAlign w:val="center"/>
          </w:tcPr>
          <w:p>
            <w:pPr>
              <w:pStyle w:val="26"/>
              <w:rPr>
                <w:kern w:val="2"/>
                <w:szCs w:val="21"/>
                <w:lang w:val="en-US" w:eastAsia="zh-CN"/>
              </w:rPr>
            </w:pPr>
            <w:r>
              <w:rPr>
                <w:rFonts w:hint="eastAsia"/>
                <w:kern w:val="2"/>
                <w:szCs w:val="21"/>
                <w:lang w:val="en-US" w:eastAsia="zh-CN"/>
              </w:rPr>
              <w:t>污染物名称</w:t>
            </w:r>
          </w:p>
        </w:tc>
        <w:tc>
          <w:tcPr>
            <w:tcW w:w="1593" w:type="dxa"/>
            <w:vMerge w:val="restart"/>
            <w:vAlign w:val="center"/>
          </w:tcPr>
          <w:p>
            <w:pPr>
              <w:pStyle w:val="26"/>
              <w:rPr>
                <w:kern w:val="2"/>
                <w:szCs w:val="21"/>
                <w:lang w:val="en-US" w:eastAsia="zh-CN"/>
              </w:rPr>
            </w:pPr>
            <w:r>
              <w:rPr>
                <w:rFonts w:hint="eastAsia"/>
                <w:kern w:val="2"/>
                <w:szCs w:val="21"/>
                <w:lang w:val="en-US" w:eastAsia="zh-CN"/>
              </w:rPr>
              <w:t>产生量</w:t>
            </w:r>
          </w:p>
        </w:tc>
        <w:tc>
          <w:tcPr>
            <w:tcW w:w="1693" w:type="dxa"/>
            <w:vMerge w:val="restart"/>
            <w:vAlign w:val="center"/>
          </w:tcPr>
          <w:p>
            <w:pPr>
              <w:pStyle w:val="26"/>
              <w:rPr>
                <w:kern w:val="2"/>
                <w:szCs w:val="21"/>
                <w:lang w:val="en-US" w:eastAsia="zh-CN"/>
              </w:rPr>
            </w:pPr>
            <w:r>
              <w:rPr>
                <w:rFonts w:hint="eastAsia"/>
                <w:kern w:val="2"/>
                <w:szCs w:val="21"/>
                <w:lang w:val="en-US" w:eastAsia="zh-C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8" w:hRule="atLeast"/>
          <w:tblHeader/>
          <w:jc w:val="center"/>
        </w:trPr>
        <w:tc>
          <w:tcPr>
            <w:tcW w:w="1124" w:type="dxa"/>
            <w:vMerge w:val="continue"/>
            <w:tcBorders>
              <w:tl2br w:val="single" w:color="auto" w:sz="4" w:space="0"/>
            </w:tcBorders>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3298" w:type="dxa"/>
            <w:gridSpan w:val="2"/>
            <w:vMerge w:val="continue"/>
            <w:vAlign w:val="center"/>
          </w:tcPr>
          <w:p>
            <w:pPr>
              <w:pStyle w:val="26"/>
              <w:rPr>
                <w:kern w:val="2"/>
                <w:szCs w:val="21"/>
                <w:lang w:val="en-US" w:eastAsia="zh-CN"/>
              </w:rPr>
            </w:pPr>
          </w:p>
        </w:tc>
        <w:tc>
          <w:tcPr>
            <w:tcW w:w="1593" w:type="dxa"/>
            <w:vMerge w:val="continue"/>
            <w:vAlign w:val="center"/>
          </w:tcPr>
          <w:p>
            <w:pPr>
              <w:pStyle w:val="26"/>
              <w:rPr>
                <w:kern w:val="2"/>
                <w:szCs w:val="21"/>
                <w:lang w:val="en-US" w:eastAsia="zh-CN"/>
              </w:rPr>
            </w:pPr>
          </w:p>
        </w:tc>
        <w:tc>
          <w:tcPr>
            <w:tcW w:w="1693"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76" w:hRule="atLeast"/>
          <w:jc w:val="center"/>
        </w:trPr>
        <w:tc>
          <w:tcPr>
            <w:tcW w:w="1124" w:type="dxa"/>
            <w:vMerge w:val="restart"/>
            <w:vAlign w:val="center"/>
          </w:tcPr>
          <w:p>
            <w:pPr>
              <w:pStyle w:val="26"/>
              <w:rPr>
                <w:kern w:val="2"/>
                <w:szCs w:val="21"/>
                <w:lang w:val="en-US" w:eastAsia="zh-CN"/>
              </w:rPr>
            </w:pPr>
            <w:r>
              <w:rPr>
                <w:rFonts w:hint="eastAsia"/>
                <w:kern w:val="2"/>
                <w:szCs w:val="21"/>
                <w:lang w:val="en-US" w:eastAsia="zh-CN"/>
              </w:rPr>
              <w:t>大气</w:t>
            </w:r>
          </w:p>
          <w:p>
            <w:pPr>
              <w:pStyle w:val="26"/>
              <w:rPr>
                <w:kern w:val="2"/>
                <w:szCs w:val="21"/>
                <w:lang w:val="en-US" w:eastAsia="zh-CN"/>
              </w:rPr>
            </w:pPr>
            <w:r>
              <w:rPr>
                <w:rFonts w:hint="eastAsia"/>
                <w:kern w:val="2"/>
                <w:szCs w:val="21"/>
                <w:lang w:val="en-US" w:eastAsia="zh-CN"/>
              </w:rPr>
              <w:t>污染</w:t>
            </w:r>
          </w:p>
          <w:p>
            <w:pPr>
              <w:pStyle w:val="26"/>
              <w:rPr>
                <w:kern w:val="2"/>
                <w:szCs w:val="21"/>
                <w:lang w:val="en-US" w:eastAsia="zh-CN"/>
              </w:rPr>
            </w:pPr>
            <w:r>
              <w:rPr>
                <w:rFonts w:hint="eastAsia"/>
                <w:kern w:val="2"/>
                <w:szCs w:val="21"/>
                <w:lang w:val="en-US" w:eastAsia="zh-CN"/>
              </w:rPr>
              <w:t>物</w:t>
            </w:r>
          </w:p>
        </w:tc>
        <w:tc>
          <w:tcPr>
            <w:tcW w:w="1741" w:type="dxa"/>
            <w:vMerge w:val="restart"/>
            <w:vAlign w:val="center"/>
          </w:tcPr>
          <w:p>
            <w:pPr>
              <w:pStyle w:val="26"/>
              <w:rPr>
                <w:kern w:val="2"/>
                <w:szCs w:val="21"/>
                <w:lang w:val="en-US" w:eastAsia="zh-CN"/>
              </w:rPr>
            </w:pPr>
            <w:r>
              <w:rPr>
                <w:rFonts w:hint="eastAsia"/>
                <w:kern w:val="2"/>
                <w:szCs w:val="21"/>
                <w:lang w:val="en-US" w:eastAsia="zh-CN"/>
              </w:rPr>
              <w:t>锅炉废气</w:t>
            </w:r>
          </w:p>
        </w:tc>
        <w:tc>
          <w:tcPr>
            <w:tcW w:w="3298" w:type="dxa"/>
            <w:gridSpan w:val="2"/>
            <w:vAlign w:val="center"/>
          </w:tcPr>
          <w:p>
            <w:pPr>
              <w:pStyle w:val="26"/>
              <w:rPr>
                <w:kern w:val="2"/>
                <w:szCs w:val="21"/>
                <w:lang w:val="en-US" w:eastAsia="zh-CN"/>
              </w:rPr>
            </w:pPr>
            <w:r>
              <w:rPr>
                <w:kern w:val="2"/>
                <w:szCs w:val="21"/>
                <w:lang w:val="en-US" w:eastAsia="zh-CN"/>
              </w:rPr>
              <w:t>SO</w:t>
            </w:r>
            <w:r>
              <w:rPr>
                <w:kern w:val="2"/>
                <w:szCs w:val="21"/>
                <w:vertAlign w:val="subscript"/>
                <w:lang w:val="en-US" w:eastAsia="zh-CN"/>
              </w:rPr>
              <w:t>2</w:t>
            </w:r>
            <w:r>
              <w:rPr>
                <w:kern w:val="2"/>
                <w:szCs w:val="21"/>
                <w:lang w:val="en-US" w:eastAsia="zh-CN"/>
              </w:rPr>
              <w:t>(t/a)</w:t>
            </w:r>
          </w:p>
        </w:tc>
        <w:tc>
          <w:tcPr>
            <w:tcW w:w="1593" w:type="dxa"/>
            <w:vAlign w:val="center"/>
          </w:tcPr>
          <w:p>
            <w:pPr>
              <w:pStyle w:val="26"/>
              <w:rPr>
                <w:kern w:val="2"/>
                <w:szCs w:val="21"/>
                <w:lang w:val="en-US" w:eastAsia="zh-CN"/>
              </w:rPr>
            </w:pPr>
            <w:r>
              <w:rPr>
                <w:kern w:val="2"/>
                <w:szCs w:val="21"/>
                <w:lang w:val="en-US" w:eastAsia="zh-CN"/>
              </w:rPr>
              <w:t>2.992</w:t>
            </w:r>
          </w:p>
        </w:tc>
        <w:tc>
          <w:tcPr>
            <w:tcW w:w="1693" w:type="dxa"/>
            <w:vAlign w:val="center"/>
          </w:tcPr>
          <w:p>
            <w:pPr>
              <w:pStyle w:val="26"/>
              <w:rPr>
                <w:kern w:val="2"/>
                <w:szCs w:val="21"/>
                <w:lang w:val="en-US" w:eastAsia="zh-CN"/>
              </w:rPr>
            </w:pPr>
            <w:r>
              <w:rPr>
                <w:kern w:val="2"/>
                <w:szCs w:val="21"/>
                <w:lang w:val="en-US" w:eastAsia="zh-CN"/>
              </w:rPr>
              <w:t>2.992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3298" w:type="dxa"/>
            <w:gridSpan w:val="2"/>
            <w:vAlign w:val="center"/>
          </w:tcPr>
          <w:p>
            <w:pPr>
              <w:pStyle w:val="26"/>
              <w:rPr>
                <w:kern w:val="2"/>
                <w:szCs w:val="21"/>
                <w:lang w:val="en-US" w:eastAsia="zh-CN"/>
              </w:rPr>
            </w:pPr>
            <w:r>
              <w:rPr>
                <w:kern w:val="2"/>
                <w:szCs w:val="21"/>
                <w:lang w:val="en-US" w:eastAsia="zh-CN"/>
              </w:rPr>
              <w:t>NOx(t/a)</w:t>
            </w:r>
          </w:p>
        </w:tc>
        <w:tc>
          <w:tcPr>
            <w:tcW w:w="1593" w:type="dxa"/>
            <w:vAlign w:val="center"/>
          </w:tcPr>
          <w:p>
            <w:pPr>
              <w:pStyle w:val="26"/>
              <w:rPr>
                <w:kern w:val="2"/>
                <w:szCs w:val="21"/>
                <w:lang w:val="en-US" w:eastAsia="zh-CN"/>
              </w:rPr>
            </w:pPr>
            <w:r>
              <w:rPr>
                <w:kern w:val="2"/>
                <w:szCs w:val="21"/>
                <w:lang w:val="en-US" w:eastAsia="zh-CN"/>
              </w:rPr>
              <w:t>2.244</w:t>
            </w:r>
          </w:p>
        </w:tc>
        <w:tc>
          <w:tcPr>
            <w:tcW w:w="1693" w:type="dxa"/>
            <w:vAlign w:val="center"/>
          </w:tcPr>
          <w:p>
            <w:pPr>
              <w:pStyle w:val="26"/>
              <w:rPr>
                <w:kern w:val="2"/>
                <w:szCs w:val="21"/>
                <w:lang w:val="en-US" w:eastAsia="zh-CN"/>
              </w:rPr>
            </w:pPr>
            <w:r>
              <w:rPr>
                <w:kern w:val="2"/>
                <w:szCs w:val="21"/>
                <w:lang w:val="en-US" w:eastAsia="zh-CN"/>
              </w:rPr>
              <w:t>2.244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3298" w:type="dxa"/>
            <w:gridSpan w:val="2"/>
            <w:vAlign w:val="center"/>
          </w:tcPr>
          <w:p>
            <w:pPr>
              <w:pStyle w:val="26"/>
              <w:rPr>
                <w:kern w:val="2"/>
                <w:szCs w:val="21"/>
                <w:lang w:val="en-US" w:eastAsia="zh-CN"/>
              </w:rPr>
            </w:pPr>
            <w:r>
              <w:rPr>
                <w:rFonts w:hint="eastAsia"/>
                <w:kern w:val="2"/>
                <w:szCs w:val="21"/>
                <w:lang w:val="en-US" w:eastAsia="zh-CN"/>
              </w:rPr>
              <w:t>颗粒物</w:t>
            </w:r>
            <w:r>
              <w:rPr>
                <w:kern w:val="2"/>
                <w:szCs w:val="21"/>
                <w:lang w:val="en-US" w:eastAsia="zh-CN"/>
              </w:rPr>
              <w:t>(t/a)</w:t>
            </w:r>
          </w:p>
        </w:tc>
        <w:tc>
          <w:tcPr>
            <w:tcW w:w="1593" w:type="dxa"/>
            <w:vAlign w:val="center"/>
          </w:tcPr>
          <w:p>
            <w:pPr>
              <w:pStyle w:val="26"/>
              <w:rPr>
                <w:kern w:val="2"/>
                <w:szCs w:val="21"/>
                <w:lang w:val="en-US" w:eastAsia="zh-CN"/>
              </w:rPr>
            </w:pPr>
            <w:r>
              <w:rPr>
                <w:kern w:val="2"/>
                <w:szCs w:val="21"/>
                <w:lang w:val="en-US" w:eastAsia="zh-CN"/>
              </w:rPr>
              <w:t>1.1</w:t>
            </w:r>
          </w:p>
        </w:tc>
        <w:tc>
          <w:tcPr>
            <w:tcW w:w="1693" w:type="dxa"/>
            <w:vAlign w:val="center"/>
          </w:tcPr>
          <w:p>
            <w:pPr>
              <w:pStyle w:val="26"/>
              <w:rPr>
                <w:kern w:val="2"/>
                <w:szCs w:val="21"/>
                <w:lang w:val="en-US" w:eastAsia="zh-CN"/>
              </w:rPr>
            </w:pPr>
            <w:r>
              <w:rPr>
                <w:kern w:val="2"/>
                <w:szCs w:val="21"/>
                <w:lang w:val="en-US" w:eastAsia="zh-CN"/>
              </w:rPr>
              <w:t>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Align w:val="center"/>
          </w:tcPr>
          <w:p>
            <w:pPr>
              <w:pStyle w:val="26"/>
              <w:rPr>
                <w:kern w:val="2"/>
                <w:szCs w:val="21"/>
                <w:lang w:val="en-US" w:eastAsia="zh-CN"/>
              </w:rPr>
            </w:pPr>
            <w:r>
              <w:rPr>
                <w:rFonts w:hint="eastAsia"/>
                <w:kern w:val="2"/>
                <w:szCs w:val="21"/>
                <w:lang w:val="en-US" w:eastAsia="zh-CN"/>
              </w:rPr>
              <w:t>定型机</w:t>
            </w:r>
          </w:p>
        </w:tc>
        <w:tc>
          <w:tcPr>
            <w:tcW w:w="3298" w:type="dxa"/>
            <w:gridSpan w:val="2"/>
            <w:vAlign w:val="center"/>
          </w:tcPr>
          <w:p>
            <w:pPr>
              <w:pStyle w:val="26"/>
              <w:rPr>
                <w:kern w:val="2"/>
                <w:szCs w:val="21"/>
                <w:lang w:val="en-US" w:eastAsia="zh-CN"/>
              </w:rPr>
            </w:pPr>
            <w:r>
              <w:rPr>
                <w:kern w:val="2"/>
                <w:szCs w:val="21"/>
                <w:lang w:val="en-US" w:eastAsia="zh-CN"/>
              </w:rPr>
              <w:t>VOCs(t/a)</w:t>
            </w:r>
          </w:p>
        </w:tc>
        <w:tc>
          <w:tcPr>
            <w:tcW w:w="1593" w:type="dxa"/>
            <w:vAlign w:val="center"/>
          </w:tcPr>
          <w:p>
            <w:pPr>
              <w:pStyle w:val="26"/>
              <w:rPr>
                <w:kern w:val="2"/>
                <w:szCs w:val="21"/>
                <w:lang w:val="en-US" w:eastAsia="zh-CN"/>
              </w:rPr>
            </w:pPr>
            <w:r>
              <w:rPr>
                <w:kern w:val="2"/>
                <w:szCs w:val="21"/>
                <w:lang w:val="en-US" w:eastAsia="zh-CN"/>
              </w:rPr>
              <w:t>8.1</w:t>
            </w:r>
          </w:p>
        </w:tc>
        <w:tc>
          <w:tcPr>
            <w:tcW w:w="1693" w:type="dxa"/>
            <w:vAlign w:val="center"/>
          </w:tcPr>
          <w:p>
            <w:pPr>
              <w:pStyle w:val="26"/>
              <w:rPr>
                <w:kern w:val="2"/>
                <w:szCs w:val="21"/>
                <w:lang w:val="en-US" w:eastAsia="zh-CN"/>
              </w:rPr>
            </w:pPr>
            <w:r>
              <w:rPr>
                <w:kern w:val="2"/>
                <w:szCs w:val="21"/>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Align w:val="center"/>
          </w:tcPr>
          <w:p>
            <w:pPr>
              <w:pStyle w:val="26"/>
              <w:rPr>
                <w:kern w:val="2"/>
                <w:szCs w:val="21"/>
                <w:lang w:val="en-US" w:eastAsia="zh-CN"/>
              </w:rPr>
            </w:pPr>
            <w:r>
              <w:rPr>
                <w:rFonts w:hint="eastAsia"/>
                <w:kern w:val="2"/>
                <w:szCs w:val="21"/>
                <w:lang w:val="en-US" w:eastAsia="zh-CN"/>
              </w:rPr>
              <w:t>醋酸废气</w:t>
            </w:r>
          </w:p>
        </w:tc>
        <w:tc>
          <w:tcPr>
            <w:tcW w:w="3298" w:type="dxa"/>
            <w:gridSpan w:val="2"/>
            <w:vAlign w:val="center"/>
          </w:tcPr>
          <w:p>
            <w:pPr>
              <w:pStyle w:val="26"/>
              <w:rPr>
                <w:kern w:val="2"/>
                <w:szCs w:val="21"/>
                <w:lang w:val="en-US" w:eastAsia="zh-CN"/>
              </w:rPr>
            </w:pPr>
            <w:r>
              <w:rPr>
                <w:rFonts w:hint="eastAsia"/>
                <w:kern w:val="2"/>
                <w:szCs w:val="21"/>
                <w:lang w:val="en-US" w:eastAsia="zh-CN"/>
              </w:rPr>
              <w:t>醋酸</w:t>
            </w:r>
            <w:r>
              <w:rPr>
                <w:kern w:val="2"/>
                <w:szCs w:val="21"/>
                <w:lang w:val="en-US" w:eastAsia="zh-CN"/>
              </w:rPr>
              <w:t>(t/a)</w:t>
            </w:r>
          </w:p>
        </w:tc>
        <w:tc>
          <w:tcPr>
            <w:tcW w:w="1593" w:type="dxa"/>
            <w:vAlign w:val="center"/>
          </w:tcPr>
          <w:p>
            <w:pPr>
              <w:pStyle w:val="26"/>
              <w:rPr>
                <w:kern w:val="2"/>
                <w:szCs w:val="21"/>
                <w:lang w:val="en-US" w:eastAsia="zh-CN"/>
              </w:rPr>
            </w:pPr>
            <w:r>
              <w:rPr>
                <w:kern w:val="2"/>
                <w:szCs w:val="21"/>
                <w:lang w:val="en-US" w:eastAsia="zh-CN"/>
              </w:rPr>
              <w:t>0.035</w:t>
            </w:r>
          </w:p>
        </w:tc>
        <w:tc>
          <w:tcPr>
            <w:tcW w:w="1693" w:type="dxa"/>
            <w:vAlign w:val="center"/>
          </w:tcPr>
          <w:p>
            <w:pPr>
              <w:pStyle w:val="26"/>
              <w:rPr>
                <w:kern w:val="2"/>
                <w:szCs w:val="21"/>
                <w:lang w:val="en-US" w:eastAsia="zh-CN"/>
              </w:rPr>
            </w:pPr>
            <w:r>
              <w:rPr>
                <w:kern w:val="2"/>
                <w:szCs w:val="21"/>
                <w:lang w:val="en-US" w:eastAsia="zh-CN"/>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Align w:val="center"/>
          </w:tcPr>
          <w:p>
            <w:pPr>
              <w:pStyle w:val="26"/>
              <w:rPr>
                <w:kern w:val="2"/>
                <w:szCs w:val="21"/>
                <w:lang w:val="en-US" w:eastAsia="zh-CN"/>
              </w:rPr>
            </w:pPr>
            <w:r>
              <w:rPr>
                <w:rFonts w:hint="eastAsia"/>
                <w:kern w:val="2"/>
                <w:szCs w:val="21"/>
                <w:lang w:val="en-US" w:eastAsia="zh-CN"/>
              </w:rPr>
              <w:t>导热油系统</w:t>
            </w:r>
          </w:p>
        </w:tc>
        <w:tc>
          <w:tcPr>
            <w:tcW w:w="3298" w:type="dxa"/>
            <w:gridSpan w:val="2"/>
            <w:vAlign w:val="center"/>
          </w:tcPr>
          <w:p>
            <w:pPr>
              <w:pStyle w:val="26"/>
              <w:rPr>
                <w:kern w:val="2"/>
                <w:szCs w:val="21"/>
                <w:lang w:val="en-US" w:eastAsia="zh-CN"/>
              </w:rPr>
            </w:pPr>
            <w:r>
              <w:rPr>
                <w:rFonts w:hint="eastAsia"/>
                <w:kern w:val="2"/>
                <w:szCs w:val="21"/>
                <w:lang w:val="en-US" w:eastAsia="zh-CN"/>
              </w:rPr>
              <w:t>导热油废气</w:t>
            </w:r>
            <w:r>
              <w:rPr>
                <w:kern w:val="2"/>
                <w:szCs w:val="21"/>
                <w:lang w:val="en-US" w:eastAsia="zh-CN"/>
              </w:rPr>
              <w:t>(t/a)</w:t>
            </w:r>
          </w:p>
        </w:tc>
        <w:tc>
          <w:tcPr>
            <w:tcW w:w="1593" w:type="dxa"/>
            <w:vAlign w:val="center"/>
          </w:tcPr>
          <w:p>
            <w:pPr>
              <w:pStyle w:val="26"/>
              <w:rPr>
                <w:kern w:val="2"/>
                <w:szCs w:val="21"/>
                <w:lang w:val="en-US" w:eastAsia="zh-CN"/>
              </w:rPr>
            </w:pPr>
            <w:r>
              <w:rPr>
                <w:rFonts w:hint="eastAsia"/>
                <w:kern w:val="2"/>
                <w:szCs w:val="21"/>
                <w:lang w:val="en-US" w:eastAsia="zh-CN"/>
              </w:rPr>
              <w:t>少量</w:t>
            </w:r>
          </w:p>
        </w:tc>
        <w:tc>
          <w:tcPr>
            <w:tcW w:w="1693" w:type="dxa"/>
            <w:vAlign w:val="center"/>
          </w:tcPr>
          <w:p>
            <w:pPr>
              <w:pStyle w:val="26"/>
              <w:rPr>
                <w:kern w:val="2"/>
                <w:szCs w:val="21"/>
                <w:lang w:val="en-US" w:eastAsia="zh-CN"/>
              </w:rPr>
            </w:pPr>
            <w:r>
              <w:rPr>
                <w:rFonts w:hint="eastAsia"/>
                <w:kern w:val="2"/>
                <w:szCs w:val="21"/>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restart"/>
            <w:vAlign w:val="center"/>
          </w:tcPr>
          <w:p>
            <w:pPr>
              <w:pStyle w:val="26"/>
              <w:rPr>
                <w:kern w:val="2"/>
                <w:szCs w:val="21"/>
                <w:lang w:val="en-US" w:eastAsia="zh-CN"/>
              </w:rPr>
            </w:pPr>
            <w:r>
              <w:rPr>
                <w:rFonts w:hint="eastAsia"/>
                <w:kern w:val="2"/>
                <w:szCs w:val="21"/>
                <w:lang w:val="en-US" w:eastAsia="zh-CN"/>
              </w:rPr>
              <w:t>污水处理站</w:t>
            </w:r>
          </w:p>
        </w:tc>
        <w:tc>
          <w:tcPr>
            <w:tcW w:w="3298" w:type="dxa"/>
            <w:gridSpan w:val="2"/>
            <w:vAlign w:val="center"/>
          </w:tcPr>
          <w:p>
            <w:pPr>
              <w:pStyle w:val="26"/>
              <w:rPr>
                <w:kern w:val="2"/>
                <w:szCs w:val="21"/>
                <w:lang w:val="en-US" w:eastAsia="zh-CN"/>
              </w:rPr>
            </w:pPr>
            <w:r>
              <w:rPr>
                <w:kern w:val="2"/>
                <w:szCs w:val="21"/>
                <w:lang w:val="en-US" w:eastAsia="zh-CN"/>
              </w:rPr>
              <w:t>NH</w:t>
            </w:r>
            <w:r>
              <w:rPr>
                <w:kern w:val="2"/>
                <w:szCs w:val="21"/>
                <w:vertAlign w:val="subscript"/>
                <w:lang w:val="en-US" w:eastAsia="zh-CN"/>
              </w:rPr>
              <w:t>3</w:t>
            </w:r>
            <w:r>
              <w:rPr>
                <w:kern w:val="2"/>
                <w:szCs w:val="21"/>
                <w:lang w:val="en-US" w:eastAsia="zh-CN"/>
              </w:rPr>
              <w:t>(t/a)</w:t>
            </w:r>
          </w:p>
        </w:tc>
        <w:tc>
          <w:tcPr>
            <w:tcW w:w="1593" w:type="dxa"/>
            <w:vAlign w:val="center"/>
          </w:tcPr>
          <w:p>
            <w:pPr>
              <w:pStyle w:val="26"/>
              <w:rPr>
                <w:kern w:val="2"/>
                <w:szCs w:val="21"/>
                <w:lang w:val="en-US" w:eastAsia="zh-CN"/>
              </w:rPr>
            </w:pPr>
            <w:r>
              <w:rPr>
                <w:rFonts w:hint="eastAsia"/>
                <w:kern w:val="2"/>
                <w:szCs w:val="21"/>
                <w:lang w:val="en-US" w:eastAsia="zh-CN"/>
              </w:rPr>
              <w:t>少量</w:t>
            </w:r>
          </w:p>
        </w:tc>
        <w:tc>
          <w:tcPr>
            <w:tcW w:w="1693" w:type="dxa"/>
            <w:vAlign w:val="center"/>
          </w:tcPr>
          <w:p>
            <w:pPr>
              <w:pStyle w:val="26"/>
              <w:rPr>
                <w:kern w:val="2"/>
                <w:szCs w:val="21"/>
                <w:lang w:val="en-US" w:eastAsia="zh-CN"/>
              </w:rPr>
            </w:pPr>
            <w:r>
              <w:rPr>
                <w:rFonts w:hint="eastAsia"/>
                <w:kern w:val="2"/>
                <w:szCs w:val="21"/>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3298" w:type="dxa"/>
            <w:gridSpan w:val="2"/>
            <w:vAlign w:val="center"/>
          </w:tcPr>
          <w:p>
            <w:pPr>
              <w:pStyle w:val="26"/>
              <w:rPr>
                <w:kern w:val="2"/>
                <w:szCs w:val="21"/>
                <w:lang w:val="en-US" w:eastAsia="zh-CN"/>
              </w:rPr>
            </w:pPr>
            <w:r>
              <w:rPr>
                <w:kern w:val="2"/>
                <w:szCs w:val="21"/>
                <w:lang w:val="en-US" w:eastAsia="zh-CN"/>
              </w:rPr>
              <w:t>H2S(t/a)</w:t>
            </w:r>
          </w:p>
        </w:tc>
        <w:tc>
          <w:tcPr>
            <w:tcW w:w="1593" w:type="dxa"/>
            <w:vAlign w:val="center"/>
          </w:tcPr>
          <w:p>
            <w:pPr>
              <w:pStyle w:val="26"/>
              <w:rPr>
                <w:kern w:val="2"/>
                <w:szCs w:val="21"/>
                <w:lang w:val="en-US" w:eastAsia="zh-CN"/>
              </w:rPr>
            </w:pPr>
            <w:r>
              <w:rPr>
                <w:rFonts w:hint="eastAsia"/>
                <w:kern w:val="2"/>
                <w:szCs w:val="21"/>
                <w:lang w:val="en-US" w:eastAsia="zh-CN"/>
              </w:rPr>
              <w:t>少量</w:t>
            </w:r>
          </w:p>
        </w:tc>
        <w:tc>
          <w:tcPr>
            <w:tcW w:w="1693" w:type="dxa"/>
            <w:vAlign w:val="center"/>
          </w:tcPr>
          <w:p>
            <w:pPr>
              <w:pStyle w:val="26"/>
              <w:rPr>
                <w:kern w:val="2"/>
                <w:szCs w:val="21"/>
                <w:lang w:val="en-US" w:eastAsia="zh-CN"/>
              </w:rPr>
            </w:pPr>
            <w:r>
              <w:rPr>
                <w:rFonts w:hint="eastAsia"/>
                <w:kern w:val="2"/>
                <w:szCs w:val="21"/>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Align w:val="center"/>
          </w:tcPr>
          <w:p>
            <w:pPr>
              <w:pStyle w:val="26"/>
              <w:rPr>
                <w:kern w:val="2"/>
                <w:szCs w:val="21"/>
                <w:lang w:val="en-US" w:eastAsia="zh-CN"/>
              </w:rPr>
            </w:pPr>
            <w:r>
              <w:rPr>
                <w:rFonts w:hint="eastAsia"/>
                <w:kern w:val="2"/>
                <w:szCs w:val="21"/>
                <w:lang w:val="en-US" w:eastAsia="zh-CN"/>
              </w:rPr>
              <w:t>食堂</w:t>
            </w:r>
          </w:p>
        </w:tc>
        <w:tc>
          <w:tcPr>
            <w:tcW w:w="3298" w:type="dxa"/>
            <w:gridSpan w:val="2"/>
            <w:vAlign w:val="center"/>
          </w:tcPr>
          <w:p>
            <w:pPr>
              <w:pStyle w:val="26"/>
              <w:rPr>
                <w:kern w:val="2"/>
                <w:szCs w:val="21"/>
                <w:lang w:val="en-US" w:eastAsia="zh-CN"/>
              </w:rPr>
            </w:pPr>
            <w:r>
              <w:rPr>
                <w:rFonts w:hint="eastAsia"/>
                <w:kern w:val="2"/>
                <w:szCs w:val="21"/>
                <w:lang w:val="en-US" w:eastAsia="zh-CN"/>
              </w:rPr>
              <w:t>油烟废气</w:t>
            </w:r>
            <w:r>
              <w:rPr>
                <w:kern w:val="2"/>
                <w:szCs w:val="21"/>
                <w:lang w:val="en-US" w:eastAsia="zh-CN"/>
              </w:rPr>
              <w:t>(t/a)</w:t>
            </w:r>
          </w:p>
        </w:tc>
        <w:tc>
          <w:tcPr>
            <w:tcW w:w="1593" w:type="dxa"/>
            <w:vAlign w:val="center"/>
          </w:tcPr>
          <w:p>
            <w:pPr>
              <w:pStyle w:val="26"/>
              <w:rPr>
                <w:kern w:val="2"/>
                <w:szCs w:val="21"/>
                <w:lang w:val="en-US" w:eastAsia="zh-CN"/>
              </w:rPr>
            </w:pPr>
            <w:r>
              <w:rPr>
                <w:kern w:val="2"/>
                <w:szCs w:val="21"/>
                <w:lang w:val="en-US" w:eastAsia="zh-CN"/>
              </w:rPr>
              <w:t>0.63</w:t>
            </w:r>
          </w:p>
        </w:tc>
        <w:tc>
          <w:tcPr>
            <w:tcW w:w="1693" w:type="dxa"/>
            <w:vAlign w:val="center"/>
          </w:tcPr>
          <w:p>
            <w:pPr>
              <w:pStyle w:val="26"/>
              <w:rPr>
                <w:kern w:val="2"/>
                <w:szCs w:val="21"/>
                <w:lang w:val="en-US" w:eastAsia="zh-CN"/>
              </w:rPr>
            </w:pPr>
            <w:r>
              <w:rPr>
                <w:kern w:val="2"/>
                <w:szCs w:val="21"/>
                <w:lang w:val="en-US" w:eastAsia="zh-CN"/>
              </w:rPr>
              <w:t>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Align w:val="center"/>
          </w:tcPr>
          <w:p>
            <w:pPr>
              <w:pStyle w:val="26"/>
              <w:rPr>
                <w:kern w:val="2"/>
                <w:szCs w:val="21"/>
                <w:lang w:val="en-US" w:eastAsia="zh-CN"/>
              </w:rPr>
            </w:pPr>
            <w:r>
              <w:rPr>
                <w:rFonts w:hint="eastAsia"/>
                <w:kern w:val="2"/>
                <w:szCs w:val="21"/>
                <w:lang w:val="en-US" w:eastAsia="zh-CN"/>
              </w:rPr>
              <w:t>纺纱车间</w:t>
            </w:r>
          </w:p>
        </w:tc>
        <w:tc>
          <w:tcPr>
            <w:tcW w:w="3298" w:type="dxa"/>
            <w:gridSpan w:val="2"/>
            <w:vAlign w:val="center"/>
          </w:tcPr>
          <w:p>
            <w:pPr>
              <w:pStyle w:val="26"/>
              <w:rPr>
                <w:kern w:val="2"/>
                <w:szCs w:val="21"/>
                <w:lang w:val="en-US" w:eastAsia="zh-CN"/>
              </w:rPr>
            </w:pPr>
            <w:r>
              <w:rPr>
                <w:rFonts w:hint="eastAsia"/>
                <w:kern w:val="2"/>
                <w:szCs w:val="21"/>
                <w:lang w:val="en-US" w:eastAsia="zh-CN"/>
              </w:rPr>
              <w:t>粉尘</w:t>
            </w:r>
          </w:p>
        </w:tc>
        <w:tc>
          <w:tcPr>
            <w:tcW w:w="1593" w:type="dxa"/>
            <w:vAlign w:val="center"/>
          </w:tcPr>
          <w:p>
            <w:pPr>
              <w:pStyle w:val="26"/>
              <w:rPr>
                <w:kern w:val="2"/>
                <w:szCs w:val="21"/>
                <w:lang w:val="en-US" w:eastAsia="zh-CN"/>
              </w:rPr>
            </w:pPr>
            <w:r>
              <w:rPr>
                <w:rFonts w:hint="eastAsia"/>
                <w:kern w:val="2"/>
                <w:szCs w:val="21"/>
                <w:lang w:val="en-US" w:eastAsia="zh-CN"/>
              </w:rPr>
              <w:t>少量</w:t>
            </w:r>
          </w:p>
        </w:tc>
        <w:tc>
          <w:tcPr>
            <w:tcW w:w="1693" w:type="dxa"/>
            <w:vAlign w:val="center"/>
          </w:tcPr>
          <w:p>
            <w:pPr>
              <w:pStyle w:val="26"/>
              <w:rPr>
                <w:kern w:val="2"/>
                <w:szCs w:val="21"/>
                <w:lang w:val="en-US" w:eastAsia="zh-CN"/>
              </w:rPr>
            </w:pPr>
            <w:r>
              <w:rPr>
                <w:rFonts w:hint="eastAsia"/>
                <w:kern w:val="2"/>
                <w:szCs w:val="21"/>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5039" w:type="dxa"/>
            <w:gridSpan w:val="3"/>
            <w:vAlign w:val="center"/>
          </w:tcPr>
          <w:p>
            <w:pPr>
              <w:pStyle w:val="26"/>
              <w:rPr>
                <w:kern w:val="2"/>
                <w:szCs w:val="21"/>
                <w:lang w:val="en-US" w:eastAsia="zh-CN"/>
              </w:rPr>
            </w:pPr>
            <w:r>
              <w:rPr>
                <w:kern w:val="2"/>
                <w:szCs w:val="21"/>
                <w:lang w:val="en-US" w:eastAsia="zh-CN"/>
              </w:rPr>
              <w:t>VOCS(t/a)</w:t>
            </w:r>
          </w:p>
        </w:tc>
        <w:tc>
          <w:tcPr>
            <w:tcW w:w="1593" w:type="dxa"/>
            <w:vAlign w:val="center"/>
          </w:tcPr>
          <w:p>
            <w:pPr>
              <w:pStyle w:val="26"/>
              <w:rPr>
                <w:kern w:val="2"/>
                <w:szCs w:val="21"/>
                <w:lang w:val="en-US" w:eastAsia="zh-CN"/>
              </w:rPr>
            </w:pPr>
            <w:r>
              <w:rPr>
                <w:kern w:val="2"/>
                <w:szCs w:val="21"/>
                <w:lang w:val="en-US" w:eastAsia="zh-CN"/>
              </w:rPr>
              <w:t>8.</w:t>
            </w:r>
            <w:r>
              <w:rPr>
                <w:rFonts w:hint="eastAsia"/>
                <w:kern w:val="2"/>
                <w:szCs w:val="21"/>
                <w:lang w:val="en-US" w:eastAsia="zh-CN"/>
              </w:rPr>
              <w:t>135</w:t>
            </w:r>
          </w:p>
        </w:tc>
        <w:tc>
          <w:tcPr>
            <w:tcW w:w="1693" w:type="dxa"/>
            <w:vAlign w:val="center"/>
          </w:tcPr>
          <w:p>
            <w:pPr>
              <w:pStyle w:val="26"/>
              <w:rPr>
                <w:kern w:val="2"/>
                <w:szCs w:val="21"/>
                <w:lang w:val="en-US" w:eastAsia="zh-CN"/>
              </w:rPr>
            </w:pPr>
            <w:r>
              <w:rPr>
                <w:kern w:val="2"/>
                <w:szCs w:val="21"/>
                <w:lang w:val="en-US" w:eastAsia="zh-CN"/>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restart"/>
            <w:vAlign w:val="center"/>
          </w:tcPr>
          <w:p>
            <w:pPr>
              <w:pStyle w:val="26"/>
              <w:rPr>
                <w:kern w:val="2"/>
                <w:szCs w:val="21"/>
                <w:lang w:val="en-US" w:eastAsia="zh-CN"/>
              </w:rPr>
            </w:pPr>
            <w:r>
              <w:rPr>
                <w:rFonts w:hint="eastAsia"/>
                <w:kern w:val="2"/>
                <w:szCs w:val="21"/>
                <w:lang w:val="en-US" w:eastAsia="zh-CN"/>
              </w:rPr>
              <w:t>水污</w:t>
            </w:r>
          </w:p>
          <w:p>
            <w:pPr>
              <w:pStyle w:val="26"/>
              <w:rPr>
                <w:kern w:val="2"/>
                <w:szCs w:val="21"/>
                <w:lang w:val="en-US" w:eastAsia="zh-CN"/>
              </w:rPr>
            </w:pPr>
            <w:r>
              <w:rPr>
                <w:rFonts w:hint="eastAsia"/>
                <w:kern w:val="2"/>
                <w:szCs w:val="21"/>
                <w:lang w:val="en-US" w:eastAsia="zh-CN"/>
              </w:rPr>
              <w:t>染物</w:t>
            </w:r>
          </w:p>
        </w:tc>
        <w:tc>
          <w:tcPr>
            <w:tcW w:w="1741" w:type="dxa"/>
            <w:vMerge w:val="restart"/>
            <w:vAlign w:val="center"/>
          </w:tcPr>
          <w:p>
            <w:pPr>
              <w:pStyle w:val="26"/>
              <w:rPr>
                <w:kern w:val="2"/>
                <w:szCs w:val="21"/>
                <w:lang w:val="en-US" w:eastAsia="zh-CN"/>
              </w:rPr>
            </w:pPr>
            <w:r>
              <w:rPr>
                <w:rFonts w:hint="eastAsia"/>
                <w:kern w:val="2"/>
                <w:szCs w:val="21"/>
                <w:lang w:val="en-US" w:eastAsia="zh-CN"/>
              </w:rPr>
              <w:t>综合废水</w:t>
            </w:r>
          </w:p>
        </w:tc>
        <w:tc>
          <w:tcPr>
            <w:tcW w:w="1423" w:type="dxa"/>
            <w:vMerge w:val="restart"/>
            <w:vAlign w:val="center"/>
          </w:tcPr>
          <w:p>
            <w:pPr>
              <w:pStyle w:val="26"/>
              <w:rPr>
                <w:kern w:val="2"/>
                <w:szCs w:val="21"/>
                <w:lang w:val="en-US" w:eastAsia="zh-CN"/>
              </w:rPr>
            </w:pPr>
            <w:r>
              <w:rPr>
                <w:rFonts w:hint="eastAsia"/>
                <w:kern w:val="2"/>
                <w:szCs w:val="21"/>
                <w:lang w:val="en-US" w:eastAsia="zh-CN"/>
              </w:rPr>
              <w:t>水量</w:t>
            </w:r>
          </w:p>
        </w:tc>
        <w:tc>
          <w:tcPr>
            <w:tcW w:w="1875" w:type="dxa"/>
            <w:vAlign w:val="center"/>
          </w:tcPr>
          <w:p>
            <w:pPr>
              <w:pStyle w:val="26"/>
              <w:rPr>
                <w:kern w:val="2"/>
                <w:szCs w:val="21"/>
                <w:lang w:val="en-US" w:eastAsia="zh-CN"/>
              </w:rPr>
            </w:pPr>
            <w:r>
              <w:rPr>
                <w:kern w:val="2"/>
                <w:szCs w:val="21"/>
                <w:lang w:val="en-US" w:eastAsia="zh-CN"/>
              </w:rPr>
              <w:t>t/d</w:t>
            </w:r>
          </w:p>
        </w:tc>
        <w:tc>
          <w:tcPr>
            <w:tcW w:w="1593" w:type="dxa"/>
            <w:vAlign w:val="center"/>
          </w:tcPr>
          <w:p>
            <w:pPr>
              <w:pStyle w:val="26"/>
              <w:rPr>
                <w:kern w:val="2"/>
                <w:szCs w:val="21"/>
                <w:lang w:val="en-US" w:eastAsia="zh-CN"/>
              </w:rPr>
            </w:pPr>
            <w:r>
              <w:rPr>
                <w:rFonts w:hint="eastAsia"/>
                <w:kern w:val="2"/>
                <w:szCs w:val="21"/>
                <w:lang w:val="en-US" w:eastAsia="zh-CN"/>
              </w:rPr>
              <w:t>2075.4</w:t>
            </w:r>
          </w:p>
        </w:tc>
        <w:tc>
          <w:tcPr>
            <w:tcW w:w="1693" w:type="dxa"/>
            <w:vAlign w:val="center"/>
          </w:tcPr>
          <w:p>
            <w:pPr>
              <w:pStyle w:val="26"/>
              <w:rPr>
                <w:kern w:val="2"/>
                <w:szCs w:val="21"/>
                <w:lang w:val="en-US" w:eastAsia="zh-CN"/>
              </w:rPr>
            </w:pPr>
            <w:r>
              <w:rPr>
                <w:rFonts w:hint="eastAsia"/>
                <w:kern w:val="2"/>
                <w:szCs w:val="21"/>
                <w:lang w:val="en-US" w:eastAsia="zh-CN"/>
              </w:rPr>
              <w:t>659.8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1423" w:type="dxa"/>
            <w:vMerge w:val="continue"/>
            <w:vAlign w:val="center"/>
          </w:tcPr>
          <w:p>
            <w:pPr>
              <w:pStyle w:val="26"/>
              <w:rPr>
                <w:kern w:val="2"/>
                <w:szCs w:val="21"/>
                <w:lang w:val="en-US" w:eastAsia="zh-CN"/>
              </w:rPr>
            </w:pPr>
          </w:p>
        </w:tc>
        <w:tc>
          <w:tcPr>
            <w:tcW w:w="1875" w:type="dxa"/>
            <w:vAlign w:val="center"/>
          </w:tcPr>
          <w:p>
            <w:pPr>
              <w:pStyle w:val="26"/>
              <w:rPr>
                <w:kern w:val="2"/>
                <w:szCs w:val="21"/>
                <w:lang w:val="en-US" w:eastAsia="zh-CN"/>
              </w:rPr>
            </w:pPr>
            <w:r>
              <w:rPr>
                <w:rFonts w:hint="eastAsia"/>
                <w:kern w:val="2"/>
                <w:szCs w:val="21"/>
                <w:lang w:val="en-US" w:eastAsia="zh-CN"/>
              </w:rPr>
              <w:t>万</w:t>
            </w:r>
            <w:r>
              <w:rPr>
                <w:kern w:val="2"/>
                <w:szCs w:val="21"/>
                <w:lang w:val="en-US" w:eastAsia="zh-CN"/>
              </w:rPr>
              <w:t>t/a</w:t>
            </w:r>
          </w:p>
        </w:tc>
        <w:tc>
          <w:tcPr>
            <w:tcW w:w="1593" w:type="dxa"/>
            <w:vAlign w:val="center"/>
          </w:tcPr>
          <w:p>
            <w:pPr>
              <w:pStyle w:val="26"/>
              <w:rPr>
                <w:kern w:val="2"/>
                <w:szCs w:val="21"/>
                <w:lang w:val="en-US" w:eastAsia="zh-CN"/>
              </w:rPr>
            </w:pPr>
            <w:r>
              <w:rPr>
                <w:rFonts w:hint="eastAsia"/>
                <w:szCs w:val="21"/>
                <w:u w:val="none"/>
                <w:lang w:val="en-US" w:eastAsia="zh-CN"/>
              </w:rPr>
              <w:t>62.262</w:t>
            </w:r>
          </w:p>
        </w:tc>
        <w:tc>
          <w:tcPr>
            <w:tcW w:w="1693" w:type="dxa"/>
            <w:vAlign w:val="center"/>
          </w:tcPr>
          <w:p>
            <w:pPr>
              <w:pStyle w:val="26"/>
              <w:rPr>
                <w:kern w:val="2"/>
                <w:szCs w:val="21"/>
                <w:lang w:val="en-US" w:eastAsia="zh-CN"/>
              </w:rPr>
            </w:pPr>
            <w:r>
              <w:rPr>
                <w:rFonts w:hint="eastAsia"/>
                <w:kern w:val="2"/>
                <w:szCs w:val="21"/>
                <w:lang w:val="en-US" w:eastAsia="zh-CN"/>
              </w:rPr>
              <w:t>19.794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1423" w:type="dxa"/>
            <w:vMerge w:val="restart"/>
            <w:vAlign w:val="center"/>
          </w:tcPr>
          <w:p>
            <w:pPr>
              <w:pStyle w:val="26"/>
              <w:spacing w:line="240" w:lineRule="auto"/>
              <w:rPr>
                <w:kern w:val="2"/>
                <w:szCs w:val="21"/>
                <w:lang w:val="en-US" w:eastAsia="zh-CN"/>
              </w:rPr>
            </w:pPr>
            <w:r>
              <w:rPr>
                <w:rFonts w:hint="eastAsia"/>
                <w:kern w:val="2"/>
                <w:szCs w:val="21"/>
                <w:lang w:val="en-US" w:eastAsia="zh-CN"/>
              </w:rPr>
              <w:t>排入接纳管网</w:t>
            </w:r>
            <w:r>
              <w:rPr>
                <w:kern w:val="2"/>
                <w:szCs w:val="21"/>
                <w:lang w:val="en-US" w:eastAsia="zh-CN"/>
              </w:rPr>
              <w:t>CODcr</w:t>
            </w:r>
          </w:p>
        </w:tc>
        <w:tc>
          <w:tcPr>
            <w:tcW w:w="1875" w:type="dxa"/>
            <w:vAlign w:val="center"/>
          </w:tcPr>
          <w:p>
            <w:pPr>
              <w:pStyle w:val="26"/>
              <w:rPr>
                <w:kern w:val="2"/>
                <w:szCs w:val="21"/>
                <w:lang w:val="en-US" w:eastAsia="zh-CN"/>
              </w:rPr>
            </w:pPr>
            <w:r>
              <w:rPr>
                <w:kern w:val="2"/>
                <w:szCs w:val="21"/>
                <w:lang w:val="en-US" w:eastAsia="zh-CN"/>
              </w:rPr>
              <w:t>mg/L</w:t>
            </w:r>
          </w:p>
        </w:tc>
        <w:tc>
          <w:tcPr>
            <w:tcW w:w="1593" w:type="dxa"/>
            <w:vAlign w:val="center"/>
          </w:tcPr>
          <w:p>
            <w:pPr>
              <w:pStyle w:val="26"/>
              <w:rPr>
                <w:kern w:val="2"/>
                <w:szCs w:val="21"/>
                <w:lang w:val="en-US" w:eastAsia="zh-CN"/>
              </w:rPr>
            </w:pPr>
            <w:r>
              <w:rPr>
                <w:kern w:val="2"/>
                <w:szCs w:val="21"/>
                <w:lang w:val="en-US" w:eastAsia="zh-CN"/>
              </w:rPr>
              <w:t>1400</w:t>
            </w:r>
          </w:p>
        </w:tc>
        <w:tc>
          <w:tcPr>
            <w:tcW w:w="1693" w:type="dxa"/>
            <w:vAlign w:val="center"/>
          </w:tcPr>
          <w:p>
            <w:pPr>
              <w:pStyle w:val="26"/>
              <w:rPr>
                <w:kern w:val="2"/>
                <w:szCs w:val="21"/>
                <w:lang w:val="en-US" w:eastAsia="zh-CN"/>
              </w:rPr>
            </w:pPr>
            <w:r>
              <w:rPr>
                <w:kern w:val="2"/>
                <w:szCs w:val="21"/>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1423" w:type="dxa"/>
            <w:vMerge w:val="continue"/>
            <w:vAlign w:val="center"/>
          </w:tcPr>
          <w:p>
            <w:pPr>
              <w:pStyle w:val="26"/>
              <w:spacing w:line="240" w:lineRule="auto"/>
              <w:rPr>
                <w:kern w:val="2"/>
                <w:szCs w:val="21"/>
                <w:lang w:val="en-US" w:eastAsia="zh-CN"/>
              </w:rPr>
            </w:pPr>
          </w:p>
        </w:tc>
        <w:tc>
          <w:tcPr>
            <w:tcW w:w="1875" w:type="dxa"/>
            <w:vAlign w:val="center"/>
          </w:tcPr>
          <w:p>
            <w:pPr>
              <w:pStyle w:val="26"/>
              <w:rPr>
                <w:kern w:val="2"/>
                <w:szCs w:val="21"/>
                <w:lang w:val="en-US" w:eastAsia="zh-CN"/>
              </w:rPr>
            </w:pPr>
            <w:r>
              <w:rPr>
                <w:kern w:val="2"/>
                <w:szCs w:val="21"/>
                <w:lang w:val="en-US" w:eastAsia="zh-CN"/>
              </w:rPr>
              <w:t>t/a</w:t>
            </w:r>
          </w:p>
        </w:tc>
        <w:tc>
          <w:tcPr>
            <w:tcW w:w="1593" w:type="dxa"/>
            <w:vAlign w:val="center"/>
          </w:tcPr>
          <w:p>
            <w:pPr>
              <w:pStyle w:val="26"/>
              <w:rPr>
                <w:kern w:val="2"/>
                <w:szCs w:val="21"/>
                <w:lang w:val="en-US" w:eastAsia="zh-CN"/>
              </w:rPr>
            </w:pPr>
            <w:r>
              <w:rPr>
                <w:rFonts w:hint="eastAsia"/>
                <w:kern w:val="2"/>
                <w:szCs w:val="21"/>
                <w:lang w:val="en-US" w:eastAsia="zh-CN"/>
              </w:rPr>
              <w:t>834.059</w:t>
            </w:r>
          </w:p>
        </w:tc>
        <w:tc>
          <w:tcPr>
            <w:tcW w:w="1693" w:type="dxa"/>
            <w:vAlign w:val="center"/>
          </w:tcPr>
          <w:p>
            <w:pPr>
              <w:pStyle w:val="26"/>
              <w:rPr>
                <w:kern w:val="2"/>
                <w:szCs w:val="21"/>
                <w:lang w:val="en-US" w:eastAsia="zh-CN"/>
              </w:rPr>
            </w:pPr>
            <w:r>
              <w:rPr>
                <w:rFonts w:hint="eastAsia"/>
                <w:kern w:val="2"/>
                <w:szCs w:val="21"/>
                <w:lang w:val="en-US" w:eastAsia="zh-CN"/>
              </w:rPr>
              <w:t>37.609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1423" w:type="dxa"/>
            <w:vMerge w:val="restart"/>
            <w:vAlign w:val="center"/>
          </w:tcPr>
          <w:p>
            <w:pPr>
              <w:pStyle w:val="26"/>
              <w:spacing w:line="240" w:lineRule="auto"/>
              <w:rPr>
                <w:kern w:val="2"/>
                <w:szCs w:val="21"/>
                <w:lang w:val="en-US" w:eastAsia="zh-CN"/>
              </w:rPr>
            </w:pPr>
            <w:r>
              <w:rPr>
                <w:rFonts w:hint="eastAsia"/>
                <w:kern w:val="2"/>
                <w:szCs w:val="21"/>
                <w:lang w:val="en-US" w:eastAsia="zh-CN"/>
              </w:rPr>
              <w:t>排入接纳管网</w:t>
            </w:r>
            <w:r>
              <w:rPr>
                <w:kern w:val="2"/>
                <w:szCs w:val="21"/>
                <w:lang w:val="en-US" w:eastAsia="zh-CN"/>
              </w:rPr>
              <w:t>NH</w:t>
            </w:r>
            <w:r>
              <w:rPr>
                <w:kern w:val="2"/>
                <w:szCs w:val="21"/>
                <w:vertAlign w:val="subscript"/>
                <w:lang w:val="en-US" w:eastAsia="zh-CN"/>
              </w:rPr>
              <w:t>3</w:t>
            </w:r>
            <w:r>
              <w:rPr>
                <w:kern w:val="2"/>
                <w:szCs w:val="21"/>
                <w:lang w:val="en-US" w:eastAsia="zh-CN"/>
              </w:rPr>
              <w:t>-N</w:t>
            </w:r>
          </w:p>
        </w:tc>
        <w:tc>
          <w:tcPr>
            <w:tcW w:w="1875" w:type="dxa"/>
            <w:vAlign w:val="center"/>
          </w:tcPr>
          <w:p>
            <w:pPr>
              <w:pStyle w:val="26"/>
              <w:rPr>
                <w:kern w:val="2"/>
                <w:szCs w:val="21"/>
                <w:lang w:val="en-US" w:eastAsia="zh-CN"/>
              </w:rPr>
            </w:pPr>
            <w:r>
              <w:rPr>
                <w:kern w:val="2"/>
                <w:szCs w:val="21"/>
                <w:lang w:val="en-US" w:eastAsia="zh-CN"/>
              </w:rPr>
              <w:t>mg/L</w:t>
            </w:r>
          </w:p>
        </w:tc>
        <w:tc>
          <w:tcPr>
            <w:tcW w:w="1593" w:type="dxa"/>
            <w:vAlign w:val="center"/>
          </w:tcPr>
          <w:p>
            <w:pPr>
              <w:pStyle w:val="26"/>
              <w:rPr>
                <w:kern w:val="2"/>
                <w:szCs w:val="21"/>
                <w:lang w:val="en-US" w:eastAsia="zh-CN"/>
              </w:rPr>
            </w:pPr>
            <w:r>
              <w:rPr>
                <w:kern w:val="2"/>
                <w:szCs w:val="21"/>
                <w:lang w:val="en-US" w:eastAsia="zh-CN"/>
              </w:rPr>
              <w:t>18</w:t>
            </w:r>
          </w:p>
        </w:tc>
        <w:tc>
          <w:tcPr>
            <w:tcW w:w="1693" w:type="dxa"/>
            <w:vAlign w:val="center"/>
          </w:tcPr>
          <w:p>
            <w:pPr>
              <w:pStyle w:val="26"/>
              <w:rPr>
                <w:kern w:val="2"/>
                <w:szCs w:val="21"/>
                <w:lang w:val="en-US" w:eastAsia="zh-CN"/>
              </w:rPr>
            </w:pPr>
            <w:r>
              <w:rPr>
                <w:kern w:val="2"/>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1423" w:type="dxa"/>
            <w:vMerge w:val="continue"/>
            <w:vAlign w:val="center"/>
          </w:tcPr>
          <w:p>
            <w:pPr>
              <w:pStyle w:val="26"/>
              <w:spacing w:line="240" w:lineRule="auto"/>
              <w:rPr>
                <w:kern w:val="2"/>
                <w:szCs w:val="21"/>
                <w:lang w:val="en-US" w:eastAsia="zh-CN"/>
              </w:rPr>
            </w:pPr>
          </w:p>
        </w:tc>
        <w:tc>
          <w:tcPr>
            <w:tcW w:w="1875" w:type="dxa"/>
            <w:vAlign w:val="center"/>
          </w:tcPr>
          <w:p>
            <w:pPr>
              <w:pStyle w:val="26"/>
              <w:rPr>
                <w:kern w:val="2"/>
                <w:szCs w:val="21"/>
                <w:lang w:val="en-US" w:eastAsia="zh-CN"/>
              </w:rPr>
            </w:pPr>
            <w:r>
              <w:rPr>
                <w:kern w:val="2"/>
                <w:szCs w:val="21"/>
                <w:lang w:val="en-US" w:eastAsia="zh-CN"/>
              </w:rPr>
              <w:t>t/a</w:t>
            </w:r>
          </w:p>
        </w:tc>
        <w:tc>
          <w:tcPr>
            <w:tcW w:w="1593" w:type="dxa"/>
            <w:vAlign w:val="center"/>
          </w:tcPr>
          <w:p>
            <w:pPr>
              <w:pStyle w:val="26"/>
              <w:rPr>
                <w:kern w:val="2"/>
                <w:szCs w:val="21"/>
                <w:lang w:val="en-US" w:eastAsia="zh-CN"/>
              </w:rPr>
            </w:pPr>
            <w:r>
              <w:rPr>
                <w:rFonts w:hint="eastAsia"/>
                <w:kern w:val="2"/>
                <w:szCs w:val="21"/>
                <w:lang w:val="en-US" w:eastAsia="zh-CN"/>
              </w:rPr>
              <w:t>8.436</w:t>
            </w:r>
          </w:p>
        </w:tc>
        <w:tc>
          <w:tcPr>
            <w:tcW w:w="1693" w:type="dxa"/>
            <w:vAlign w:val="center"/>
          </w:tcPr>
          <w:p>
            <w:pPr>
              <w:pStyle w:val="26"/>
              <w:rPr>
                <w:kern w:val="2"/>
                <w:szCs w:val="21"/>
                <w:lang w:val="en-US" w:eastAsia="zh-CN"/>
              </w:rPr>
            </w:pPr>
            <w:r>
              <w:rPr>
                <w:rFonts w:hint="eastAsia"/>
                <w:kern w:val="2"/>
                <w:szCs w:val="21"/>
                <w:lang w:val="en-US" w:eastAsia="zh-CN"/>
              </w:rPr>
              <w:t>2.771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1423" w:type="dxa"/>
            <w:vMerge w:val="restart"/>
            <w:vAlign w:val="center"/>
          </w:tcPr>
          <w:p>
            <w:pPr>
              <w:pStyle w:val="26"/>
              <w:spacing w:line="240" w:lineRule="auto"/>
              <w:rPr>
                <w:kern w:val="2"/>
                <w:szCs w:val="21"/>
                <w:lang w:val="en-US" w:eastAsia="zh-CN"/>
              </w:rPr>
            </w:pPr>
            <w:r>
              <w:rPr>
                <w:rFonts w:hint="eastAsia"/>
                <w:kern w:val="2"/>
                <w:szCs w:val="21"/>
                <w:lang w:val="en-US" w:eastAsia="zh-CN"/>
              </w:rPr>
              <w:t>排入环境</w:t>
            </w:r>
            <w:r>
              <w:rPr>
                <w:kern w:val="2"/>
                <w:szCs w:val="21"/>
                <w:lang w:val="en-US" w:eastAsia="zh-CN"/>
              </w:rPr>
              <w:t>CODcr</w:t>
            </w:r>
          </w:p>
        </w:tc>
        <w:tc>
          <w:tcPr>
            <w:tcW w:w="1875" w:type="dxa"/>
            <w:vAlign w:val="center"/>
          </w:tcPr>
          <w:p>
            <w:pPr>
              <w:pStyle w:val="26"/>
              <w:rPr>
                <w:kern w:val="2"/>
                <w:szCs w:val="21"/>
                <w:lang w:val="en-US" w:eastAsia="zh-CN"/>
              </w:rPr>
            </w:pPr>
            <w:r>
              <w:rPr>
                <w:kern w:val="2"/>
                <w:szCs w:val="21"/>
                <w:lang w:val="en-US" w:eastAsia="zh-CN"/>
              </w:rPr>
              <w:t>mg/L</w:t>
            </w:r>
          </w:p>
        </w:tc>
        <w:tc>
          <w:tcPr>
            <w:tcW w:w="1593" w:type="dxa"/>
            <w:vAlign w:val="center"/>
          </w:tcPr>
          <w:p>
            <w:pPr>
              <w:pStyle w:val="26"/>
              <w:rPr>
                <w:kern w:val="2"/>
                <w:szCs w:val="21"/>
                <w:lang w:val="en-US" w:eastAsia="zh-CN"/>
              </w:rPr>
            </w:pPr>
            <w:r>
              <w:rPr>
                <w:kern w:val="2"/>
                <w:szCs w:val="21"/>
                <w:lang w:val="en-US" w:eastAsia="zh-CN"/>
              </w:rPr>
              <w:t>/</w:t>
            </w:r>
          </w:p>
        </w:tc>
        <w:tc>
          <w:tcPr>
            <w:tcW w:w="1693" w:type="dxa"/>
            <w:vAlign w:val="center"/>
          </w:tcPr>
          <w:p>
            <w:pPr>
              <w:pStyle w:val="26"/>
              <w:rPr>
                <w:kern w:val="2"/>
                <w:szCs w:val="21"/>
                <w:lang w:val="en-US" w:eastAsia="zh-CN"/>
              </w:rPr>
            </w:pPr>
            <w:r>
              <w:rPr>
                <w:kern w:val="2"/>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1423" w:type="dxa"/>
            <w:vMerge w:val="continue"/>
            <w:vAlign w:val="center"/>
          </w:tcPr>
          <w:p>
            <w:pPr>
              <w:pStyle w:val="26"/>
              <w:spacing w:line="240" w:lineRule="auto"/>
              <w:rPr>
                <w:kern w:val="2"/>
                <w:szCs w:val="21"/>
                <w:lang w:val="en-US" w:eastAsia="zh-CN"/>
              </w:rPr>
            </w:pPr>
          </w:p>
        </w:tc>
        <w:tc>
          <w:tcPr>
            <w:tcW w:w="1875" w:type="dxa"/>
            <w:vAlign w:val="center"/>
          </w:tcPr>
          <w:p>
            <w:pPr>
              <w:pStyle w:val="26"/>
              <w:rPr>
                <w:kern w:val="2"/>
                <w:szCs w:val="21"/>
                <w:lang w:val="en-US" w:eastAsia="zh-CN"/>
              </w:rPr>
            </w:pPr>
            <w:r>
              <w:rPr>
                <w:kern w:val="2"/>
                <w:szCs w:val="21"/>
                <w:lang w:val="en-US" w:eastAsia="zh-CN"/>
              </w:rPr>
              <w:t>t/a</w:t>
            </w:r>
          </w:p>
        </w:tc>
        <w:tc>
          <w:tcPr>
            <w:tcW w:w="1593" w:type="dxa"/>
            <w:vAlign w:val="center"/>
          </w:tcPr>
          <w:p>
            <w:pPr>
              <w:pStyle w:val="26"/>
              <w:rPr>
                <w:kern w:val="2"/>
                <w:szCs w:val="21"/>
                <w:lang w:val="en-US" w:eastAsia="zh-CN"/>
              </w:rPr>
            </w:pPr>
            <w:r>
              <w:rPr>
                <w:kern w:val="2"/>
                <w:szCs w:val="21"/>
                <w:lang w:val="en-US" w:eastAsia="zh-CN"/>
              </w:rPr>
              <w:t>/</w:t>
            </w:r>
          </w:p>
        </w:tc>
        <w:tc>
          <w:tcPr>
            <w:tcW w:w="1693" w:type="dxa"/>
            <w:vAlign w:val="center"/>
          </w:tcPr>
          <w:p>
            <w:pPr>
              <w:pStyle w:val="26"/>
              <w:rPr>
                <w:kern w:val="2"/>
                <w:szCs w:val="21"/>
                <w:lang w:val="en-US" w:eastAsia="zh-CN"/>
              </w:rPr>
            </w:pPr>
            <w:r>
              <w:rPr>
                <w:rFonts w:hint="eastAsia"/>
                <w:kern w:val="2"/>
                <w:szCs w:val="21"/>
                <w:lang w:val="en-US" w:eastAsia="zh-CN"/>
              </w:rPr>
              <w:t>9.897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1423" w:type="dxa"/>
            <w:vMerge w:val="restart"/>
            <w:vAlign w:val="center"/>
          </w:tcPr>
          <w:p>
            <w:pPr>
              <w:pStyle w:val="26"/>
              <w:spacing w:line="240" w:lineRule="auto"/>
              <w:rPr>
                <w:kern w:val="2"/>
                <w:szCs w:val="21"/>
                <w:lang w:val="en-US" w:eastAsia="zh-CN"/>
              </w:rPr>
            </w:pPr>
            <w:r>
              <w:rPr>
                <w:rFonts w:hint="eastAsia"/>
                <w:kern w:val="2"/>
                <w:szCs w:val="21"/>
                <w:lang w:val="en-US" w:eastAsia="zh-CN"/>
              </w:rPr>
              <w:t>排入环境</w:t>
            </w:r>
            <w:r>
              <w:rPr>
                <w:kern w:val="2"/>
                <w:szCs w:val="21"/>
                <w:lang w:val="en-US" w:eastAsia="zh-CN"/>
              </w:rPr>
              <w:t>NH</w:t>
            </w:r>
            <w:r>
              <w:rPr>
                <w:kern w:val="2"/>
                <w:szCs w:val="21"/>
                <w:vertAlign w:val="subscript"/>
                <w:lang w:val="en-US" w:eastAsia="zh-CN"/>
              </w:rPr>
              <w:t>3</w:t>
            </w:r>
            <w:r>
              <w:rPr>
                <w:kern w:val="2"/>
                <w:szCs w:val="21"/>
                <w:lang w:val="en-US" w:eastAsia="zh-CN"/>
              </w:rPr>
              <w:t>-N</w:t>
            </w:r>
          </w:p>
        </w:tc>
        <w:tc>
          <w:tcPr>
            <w:tcW w:w="1875" w:type="dxa"/>
            <w:vAlign w:val="center"/>
          </w:tcPr>
          <w:p>
            <w:pPr>
              <w:pStyle w:val="26"/>
              <w:rPr>
                <w:kern w:val="2"/>
                <w:szCs w:val="21"/>
                <w:lang w:val="en-US" w:eastAsia="zh-CN"/>
              </w:rPr>
            </w:pPr>
            <w:r>
              <w:rPr>
                <w:kern w:val="2"/>
                <w:szCs w:val="21"/>
                <w:lang w:val="en-US" w:eastAsia="zh-CN"/>
              </w:rPr>
              <w:t>mg/L</w:t>
            </w:r>
          </w:p>
        </w:tc>
        <w:tc>
          <w:tcPr>
            <w:tcW w:w="1593" w:type="dxa"/>
            <w:vAlign w:val="center"/>
          </w:tcPr>
          <w:p>
            <w:pPr>
              <w:pStyle w:val="26"/>
              <w:rPr>
                <w:kern w:val="2"/>
                <w:szCs w:val="21"/>
                <w:lang w:val="en-US" w:eastAsia="zh-CN"/>
              </w:rPr>
            </w:pPr>
            <w:r>
              <w:rPr>
                <w:kern w:val="2"/>
                <w:szCs w:val="21"/>
                <w:lang w:val="en-US" w:eastAsia="zh-CN"/>
              </w:rPr>
              <w:t>/</w:t>
            </w:r>
          </w:p>
        </w:tc>
        <w:tc>
          <w:tcPr>
            <w:tcW w:w="1693" w:type="dxa"/>
            <w:vAlign w:val="center"/>
          </w:tcPr>
          <w:p>
            <w:pPr>
              <w:pStyle w:val="26"/>
              <w:rPr>
                <w:kern w:val="2"/>
                <w:szCs w:val="21"/>
                <w:lang w:val="en-US" w:eastAsia="zh-CN"/>
              </w:rPr>
            </w:pPr>
            <w:r>
              <w:rPr>
                <w:kern w:val="2"/>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1423" w:type="dxa"/>
            <w:vMerge w:val="continue"/>
            <w:vAlign w:val="center"/>
          </w:tcPr>
          <w:p>
            <w:pPr>
              <w:pStyle w:val="26"/>
              <w:rPr>
                <w:kern w:val="2"/>
                <w:szCs w:val="21"/>
                <w:lang w:val="en-US" w:eastAsia="zh-CN"/>
              </w:rPr>
            </w:pPr>
          </w:p>
        </w:tc>
        <w:tc>
          <w:tcPr>
            <w:tcW w:w="1875" w:type="dxa"/>
            <w:vAlign w:val="center"/>
          </w:tcPr>
          <w:p>
            <w:pPr>
              <w:pStyle w:val="26"/>
              <w:rPr>
                <w:kern w:val="2"/>
                <w:szCs w:val="21"/>
                <w:lang w:val="en-US" w:eastAsia="zh-CN"/>
              </w:rPr>
            </w:pPr>
            <w:r>
              <w:rPr>
                <w:kern w:val="2"/>
                <w:szCs w:val="21"/>
                <w:lang w:val="en-US" w:eastAsia="zh-CN"/>
              </w:rPr>
              <w:t>t/a</w:t>
            </w:r>
          </w:p>
        </w:tc>
        <w:tc>
          <w:tcPr>
            <w:tcW w:w="1593" w:type="dxa"/>
            <w:vAlign w:val="center"/>
          </w:tcPr>
          <w:p>
            <w:pPr>
              <w:pStyle w:val="26"/>
              <w:rPr>
                <w:kern w:val="2"/>
                <w:szCs w:val="21"/>
                <w:lang w:val="en-US" w:eastAsia="zh-CN"/>
              </w:rPr>
            </w:pPr>
            <w:r>
              <w:rPr>
                <w:kern w:val="2"/>
                <w:szCs w:val="21"/>
                <w:lang w:val="en-US" w:eastAsia="zh-CN"/>
              </w:rPr>
              <w:t>/</w:t>
            </w:r>
          </w:p>
        </w:tc>
        <w:tc>
          <w:tcPr>
            <w:tcW w:w="1693" w:type="dxa"/>
            <w:vAlign w:val="center"/>
          </w:tcPr>
          <w:p>
            <w:pPr>
              <w:pStyle w:val="26"/>
              <w:rPr>
                <w:kern w:val="2"/>
                <w:szCs w:val="21"/>
                <w:lang w:val="en-US" w:eastAsia="zh-CN"/>
              </w:rPr>
            </w:pPr>
            <w:r>
              <w:rPr>
                <w:rFonts w:hint="eastAsia"/>
                <w:kern w:val="2"/>
                <w:szCs w:val="21"/>
                <w:lang w:val="en-US" w:eastAsia="zh-CN"/>
              </w:rPr>
              <w:t>1.5835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59" w:hRule="atLeast"/>
          <w:jc w:val="center"/>
        </w:trPr>
        <w:tc>
          <w:tcPr>
            <w:tcW w:w="1124" w:type="dxa"/>
            <w:vMerge w:val="restart"/>
            <w:vAlign w:val="center"/>
          </w:tcPr>
          <w:p>
            <w:pPr>
              <w:pStyle w:val="26"/>
              <w:rPr>
                <w:kern w:val="2"/>
                <w:szCs w:val="21"/>
                <w:lang w:val="en-US" w:eastAsia="zh-CN"/>
              </w:rPr>
            </w:pPr>
            <w:r>
              <w:rPr>
                <w:rFonts w:hint="eastAsia"/>
                <w:kern w:val="2"/>
                <w:szCs w:val="21"/>
                <w:lang w:val="en-US" w:eastAsia="zh-CN"/>
              </w:rPr>
              <w:t>固体</w:t>
            </w:r>
          </w:p>
          <w:p>
            <w:pPr>
              <w:pStyle w:val="26"/>
              <w:rPr>
                <w:kern w:val="2"/>
                <w:szCs w:val="21"/>
                <w:lang w:val="en-US" w:eastAsia="zh-CN"/>
              </w:rPr>
            </w:pPr>
            <w:r>
              <w:rPr>
                <w:rFonts w:hint="eastAsia"/>
                <w:kern w:val="2"/>
                <w:szCs w:val="21"/>
                <w:lang w:val="en-US" w:eastAsia="zh-CN"/>
              </w:rPr>
              <w:t>废弃物</w:t>
            </w:r>
          </w:p>
        </w:tc>
        <w:tc>
          <w:tcPr>
            <w:tcW w:w="1741" w:type="dxa"/>
            <w:vMerge w:val="restart"/>
            <w:vAlign w:val="center"/>
          </w:tcPr>
          <w:p>
            <w:pPr>
              <w:pStyle w:val="26"/>
              <w:rPr>
                <w:kern w:val="2"/>
                <w:szCs w:val="21"/>
                <w:lang w:val="en-US" w:eastAsia="zh-CN"/>
              </w:rPr>
            </w:pPr>
            <w:r>
              <w:rPr>
                <w:rFonts w:hint="eastAsia"/>
                <w:kern w:val="2"/>
                <w:szCs w:val="21"/>
                <w:lang w:val="en-US" w:eastAsia="zh-CN"/>
              </w:rPr>
              <w:t>印染生产及包装</w:t>
            </w:r>
          </w:p>
        </w:tc>
        <w:tc>
          <w:tcPr>
            <w:tcW w:w="3298" w:type="dxa"/>
            <w:gridSpan w:val="2"/>
            <w:vAlign w:val="center"/>
          </w:tcPr>
          <w:p>
            <w:pPr>
              <w:pStyle w:val="26"/>
              <w:ind w:firstLine="0" w:firstLineChars="0"/>
              <w:rPr>
                <w:kern w:val="2"/>
                <w:szCs w:val="21"/>
                <w:lang w:val="en-US" w:eastAsia="zh-CN"/>
              </w:rPr>
            </w:pPr>
            <w:r>
              <w:rPr>
                <w:rFonts w:hint="eastAsia"/>
                <w:kern w:val="2"/>
                <w:szCs w:val="21"/>
                <w:lang w:val="en-US" w:eastAsia="zh-CN"/>
              </w:rPr>
              <w:t>废矿物油</w:t>
            </w:r>
            <w:r>
              <w:rPr>
                <w:kern w:val="2"/>
                <w:szCs w:val="21"/>
                <w:lang w:val="en-US" w:eastAsia="zh-CN"/>
              </w:rPr>
              <w:t>(t/a)</w:t>
            </w:r>
          </w:p>
        </w:tc>
        <w:tc>
          <w:tcPr>
            <w:tcW w:w="1593" w:type="dxa"/>
            <w:vAlign w:val="center"/>
          </w:tcPr>
          <w:p>
            <w:pPr>
              <w:pStyle w:val="26"/>
              <w:ind w:firstLine="0" w:firstLineChars="0"/>
              <w:rPr>
                <w:kern w:val="2"/>
                <w:szCs w:val="21"/>
                <w:lang w:val="en-US" w:eastAsia="zh-CN"/>
              </w:rPr>
            </w:pPr>
            <w:r>
              <w:rPr>
                <w:kern w:val="2"/>
                <w:szCs w:val="21"/>
                <w:lang w:val="en-US" w:eastAsia="zh-CN"/>
              </w:rPr>
              <w:t>0.5</w:t>
            </w:r>
          </w:p>
        </w:tc>
        <w:tc>
          <w:tcPr>
            <w:tcW w:w="1693" w:type="dxa"/>
            <w:vAlign w:val="center"/>
          </w:tcPr>
          <w:p>
            <w:pPr>
              <w:pStyle w:val="26"/>
              <w:ind w:firstLine="0" w:firstLineChars="0"/>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61" w:hRule="atLeas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3298" w:type="dxa"/>
            <w:gridSpan w:val="2"/>
            <w:vAlign w:val="center"/>
          </w:tcPr>
          <w:p>
            <w:pPr>
              <w:pStyle w:val="26"/>
              <w:ind w:firstLine="0" w:firstLineChars="0"/>
              <w:rPr>
                <w:kern w:val="2"/>
                <w:szCs w:val="21"/>
                <w:lang w:val="en-US" w:eastAsia="zh-CN"/>
              </w:rPr>
            </w:pPr>
            <w:r>
              <w:rPr>
                <w:rFonts w:hint="eastAsia"/>
                <w:kern w:val="2"/>
                <w:szCs w:val="21"/>
                <w:lang w:val="en-US" w:eastAsia="zh-CN"/>
              </w:rPr>
              <w:t>普通废包装材料</w:t>
            </w:r>
            <w:r>
              <w:rPr>
                <w:kern w:val="2"/>
                <w:szCs w:val="21"/>
                <w:lang w:val="en-US" w:eastAsia="zh-CN"/>
              </w:rPr>
              <w:t>(t/a)</w:t>
            </w:r>
          </w:p>
        </w:tc>
        <w:tc>
          <w:tcPr>
            <w:tcW w:w="1593" w:type="dxa"/>
            <w:vAlign w:val="center"/>
          </w:tcPr>
          <w:p>
            <w:pPr>
              <w:pStyle w:val="26"/>
              <w:ind w:firstLine="0" w:firstLineChars="0"/>
              <w:rPr>
                <w:kern w:val="2"/>
                <w:szCs w:val="21"/>
                <w:lang w:val="en-US" w:eastAsia="zh-CN"/>
              </w:rPr>
            </w:pPr>
            <w:r>
              <w:rPr>
                <w:kern w:val="2"/>
                <w:szCs w:val="21"/>
                <w:lang w:val="en-US" w:eastAsia="zh-CN"/>
              </w:rPr>
              <w:t>4</w:t>
            </w:r>
          </w:p>
        </w:tc>
        <w:tc>
          <w:tcPr>
            <w:tcW w:w="1693" w:type="dxa"/>
            <w:vAlign w:val="center"/>
          </w:tcPr>
          <w:p>
            <w:pPr>
              <w:pStyle w:val="26"/>
              <w:ind w:firstLine="0" w:firstLineChars="0"/>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61" w:hRule="atLeas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3298" w:type="dxa"/>
            <w:gridSpan w:val="2"/>
            <w:vAlign w:val="center"/>
          </w:tcPr>
          <w:p>
            <w:pPr>
              <w:pStyle w:val="26"/>
              <w:ind w:firstLine="0" w:firstLineChars="0"/>
              <w:rPr>
                <w:kern w:val="2"/>
                <w:szCs w:val="21"/>
                <w:lang w:val="en-US" w:eastAsia="zh-CN"/>
              </w:rPr>
            </w:pPr>
            <w:r>
              <w:rPr>
                <w:rFonts w:hint="eastAsia"/>
                <w:kern w:val="2"/>
                <w:szCs w:val="21"/>
                <w:lang w:val="en-US" w:eastAsia="zh-CN"/>
              </w:rPr>
              <w:t>含危化品废包装材料</w:t>
            </w:r>
            <w:r>
              <w:rPr>
                <w:kern w:val="2"/>
                <w:szCs w:val="21"/>
                <w:lang w:val="en-US" w:eastAsia="zh-CN"/>
              </w:rPr>
              <w:t>(t/a)</w:t>
            </w:r>
          </w:p>
        </w:tc>
        <w:tc>
          <w:tcPr>
            <w:tcW w:w="1593" w:type="dxa"/>
            <w:vAlign w:val="center"/>
          </w:tcPr>
          <w:p>
            <w:pPr>
              <w:pStyle w:val="26"/>
              <w:ind w:firstLine="0" w:firstLineChars="0"/>
              <w:rPr>
                <w:kern w:val="2"/>
                <w:szCs w:val="21"/>
                <w:lang w:val="en-US" w:eastAsia="zh-CN"/>
              </w:rPr>
            </w:pPr>
            <w:r>
              <w:rPr>
                <w:kern w:val="2"/>
                <w:szCs w:val="21"/>
                <w:lang w:val="en-US" w:eastAsia="zh-CN"/>
              </w:rPr>
              <w:t>0.2</w:t>
            </w:r>
          </w:p>
        </w:tc>
        <w:tc>
          <w:tcPr>
            <w:tcW w:w="1693" w:type="dxa"/>
            <w:vAlign w:val="center"/>
          </w:tcPr>
          <w:p>
            <w:pPr>
              <w:pStyle w:val="26"/>
              <w:ind w:firstLine="0" w:firstLineChars="0"/>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restart"/>
            <w:vAlign w:val="center"/>
          </w:tcPr>
          <w:p>
            <w:pPr>
              <w:pStyle w:val="26"/>
              <w:rPr>
                <w:kern w:val="2"/>
                <w:szCs w:val="21"/>
                <w:lang w:val="en-US" w:eastAsia="zh-CN"/>
              </w:rPr>
            </w:pPr>
            <w:r>
              <w:rPr>
                <w:rFonts w:hint="eastAsia"/>
                <w:kern w:val="2"/>
                <w:szCs w:val="21"/>
                <w:lang w:val="en-US" w:eastAsia="zh-CN"/>
              </w:rPr>
              <w:t>纺纱生产</w:t>
            </w:r>
          </w:p>
        </w:tc>
        <w:tc>
          <w:tcPr>
            <w:tcW w:w="3298" w:type="dxa"/>
            <w:gridSpan w:val="2"/>
            <w:vAlign w:val="center"/>
          </w:tcPr>
          <w:p>
            <w:pPr>
              <w:pStyle w:val="26"/>
              <w:rPr>
                <w:kern w:val="2"/>
                <w:szCs w:val="21"/>
                <w:lang w:val="en-US" w:eastAsia="zh-CN"/>
              </w:rPr>
            </w:pPr>
            <w:r>
              <w:rPr>
                <w:rFonts w:hint="eastAsia"/>
                <w:kern w:val="2"/>
                <w:szCs w:val="21"/>
                <w:lang w:val="en-US" w:eastAsia="zh-CN"/>
              </w:rPr>
              <w:t>废弃原料</w:t>
            </w:r>
          </w:p>
        </w:tc>
        <w:tc>
          <w:tcPr>
            <w:tcW w:w="1593" w:type="dxa"/>
            <w:vAlign w:val="center"/>
          </w:tcPr>
          <w:p>
            <w:pPr>
              <w:pStyle w:val="26"/>
              <w:rPr>
                <w:kern w:val="2"/>
                <w:szCs w:val="21"/>
                <w:lang w:val="en-US" w:eastAsia="zh-CN"/>
              </w:rPr>
            </w:pPr>
            <w:r>
              <w:rPr>
                <w:rFonts w:hint="eastAsia"/>
                <w:kern w:val="2"/>
                <w:szCs w:val="21"/>
                <w:lang w:val="en-US" w:eastAsia="zh-CN"/>
              </w:rPr>
              <w:t>1.0</w:t>
            </w:r>
          </w:p>
        </w:tc>
        <w:tc>
          <w:tcPr>
            <w:tcW w:w="1693" w:type="dxa"/>
            <w:vAlign w:val="center"/>
          </w:tcPr>
          <w:p>
            <w:pPr>
              <w:pStyle w:val="26"/>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3298" w:type="dxa"/>
            <w:gridSpan w:val="2"/>
            <w:vAlign w:val="center"/>
          </w:tcPr>
          <w:p>
            <w:pPr>
              <w:pStyle w:val="26"/>
              <w:rPr>
                <w:kern w:val="2"/>
                <w:szCs w:val="21"/>
                <w:lang w:val="en-US" w:eastAsia="zh-CN"/>
              </w:rPr>
            </w:pPr>
            <w:r>
              <w:rPr>
                <w:rFonts w:hint="eastAsia"/>
                <w:kern w:val="2"/>
                <w:szCs w:val="21"/>
                <w:lang w:val="en-US" w:eastAsia="zh-CN"/>
              </w:rPr>
              <w:t>杂质</w:t>
            </w:r>
          </w:p>
        </w:tc>
        <w:tc>
          <w:tcPr>
            <w:tcW w:w="1593" w:type="dxa"/>
            <w:vAlign w:val="center"/>
          </w:tcPr>
          <w:p>
            <w:pPr>
              <w:pStyle w:val="26"/>
              <w:rPr>
                <w:kern w:val="2"/>
                <w:szCs w:val="21"/>
                <w:lang w:val="en-US" w:eastAsia="zh-CN"/>
              </w:rPr>
            </w:pPr>
            <w:r>
              <w:rPr>
                <w:rFonts w:hint="eastAsia"/>
                <w:kern w:val="2"/>
                <w:szCs w:val="21"/>
                <w:lang w:val="en-US" w:eastAsia="zh-CN"/>
              </w:rPr>
              <w:t>2.0</w:t>
            </w:r>
          </w:p>
        </w:tc>
        <w:tc>
          <w:tcPr>
            <w:tcW w:w="1693" w:type="dxa"/>
            <w:vAlign w:val="center"/>
          </w:tcPr>
          <w:p>
            <w:pPr>
              <w:pStyle w:val="26"/>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Merge w:val="continue"/>
            <w:vAlign w:val="center"/>
          </w:tcPr>
          <w:p>
            <w:pPr>
              <w:pStyle w:val="26"/>
              <w:rPr>
                <w:kern w:val="2"/>
                <w:szCs w:val="21"/>
                <w:lang w:val="en-US" w:eastAsia="zh-CN"/>
              </w:rPr>
            </w:pPr>
          </w:p>
        </w:tc>
        <w:tc>
          <w:tcPr>
            <w:tcW w:w="3298" w:type="dxa"/>
            <w:gridSpan w:val="2"/>
            <w:vAlign w:val="center"/>
          </w:tcPr>
          <w:p>
            <w:pPr>
              <w:pStyle w:val="26"/>
              <w:rPr>
                <w:kern w:val="2"/>
                <w:szCs w:val="21"/>
                <w:lang w:val="en-US" w:eastAsia="zh-CN"/>
              </w:rPr>
            </w:pPr>
            <w:r>
              <w:rPr>
                <w:rFonts w:hint="eastAsia"/>
                <w:kern w:val="2"/>
                <w:szCs w:val="21"/>
                <w:lang w:val="en-US" w:eastAsia="zh-CN"/>
              </w:rPr>
              <w:t>普通包装材料</w:t>
            </w:r>
          </w:p>
        </w:tc>
        <w:tc>
          <w:tcPr>
            <w:tcW w:w="1593" w:type="dxa"/>
            <w:vAlign w:val="center"/>
          </w:tcPr>
          <w:p>
            <w:pPr>
              <w:pStyle w:val="26"/>
              <w:rPr>
                <w:kern w:val="2"/>
                <w:szCs w:val="21"/>
                <w:lang w:val="en-US" w:eastAsia="zh-CN"/>
              </w:rPr>
            </w:pPr>
            <w:r>
              <w:rPr>
                <w:kern w:val="2"/>
                <w:szCs w:val="21"/>
                <w:lang w:val="en-US" w:eastAsia="zh-CN"/>
              </w:rPr>
              <w:t>1.0</w:t>
            </w:r>
          </w:p>
        </w:tc>
        <w:tc>
          <w:tcPr>
            <w:tcW w:w="1693" w:type="dxa"/>
            <w:vAlign w:val="center"/>
          </w:tcPr>
          <w:p>
            <w:pPr>
              <w:pStyle w:val="26"/>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Align w:val="center"/>
          </w:tcPr>
          <w:p>
            <w:pPr>
              <w:pStyle w:val="26"/>
              <w:rPr>
                <w:kern w:val="2"/>
                <w:szCs w:val="21"/>
                <w:lang w:val="en-US" w:eastAsia="zh-CN"/>
              </w:rPr>
            </w:pPr>
            <w:r>
              <w:rPr>
                <w:rFonts w:hint="eastAsia"/>
                <w:kern w:val="2"/>
                <w:szCs w:val="21"/>
                <w:lang w:val="en-US" w:eastAsia="zh-CN"/>
              </w:rPr>
              <w:t>锅炉房</w:t>
            </w:r>
          </w:p>
        </w:tc>
        <w:tc>
          <w:tcPr>
            <w:tcW w:w="3298" w:type="dxa"/>
            <w:gridSpan w:val="2"/>
            <w:vAlign w:val="center"/>
          </w:tcPr>
          <w:p>
            <w:pPr>
              <w:pStyle w:val="26"/>
              <w:rPr>
                <w:kern w:val="2"/>
                <w:szCs w:val="21"/>
                <w:lang w:val="en-US" w:eastAsia="zh-CN"/>
              </w:rPr>
            </w:pPr>
            <w:r>
              <w:rPr>
                <w:rFonts w:hint="eastAsia"/>
                <w:kern w:val="2"/>
                <w:szCs w:val="21"/>
                <w:lang w:val="en-US" w:eastAsia="zh-CN"/>
              </w:rPr>
              <w:t>草木灰</w:t>
            </w:r>
          </w:p>
        </w:tc>
        <w:tc>
          <w:tcPr>
            <w:tcW w:w="1593" w:type="dxa"/>
            <w:vAlign w:val="center"/>
          </w:tcPr>
          <w:p>
            <w:pPr>
              <w:pStyle w:val="26"/>
              <w:rPr>
                <w:kern w:val="2"/>
                <w:szCs w:val="21"/>
                <w:lang w:val="en-US" w:eastAsia="zh-CN"/>
              </w:rPr>
            </w:pPr>
            <w:r>
              <w:rPr>
                <w:kern w:val="2"/>
                <w:szCs w:val="21"/>
                <w:lang w:val="en-US" w:eastAsia="zh-CN"/>
              </w:rPr>
              <w:t>66</w:t>
            </w:r>
          </w:p>
        </w:tc>
        <w:tc>
          <w:tcPr>
            <w:tcW w:w="1693" w:type="dxa"/>
            <w:vAlign w:val="center"/>
          </w:tcPr>
          <w:p>
            <w:pPr>
              <w:pStyle w:val="26"/>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Align w:val="center"/>
          </w:tcPr>
          <w:p>
            <w:pPr>
              <w:pStyle w:val="26"/>
              <w:rPr>
                <w:kern w:val="2"/>
                <w:szCs w:val="21"/>
                <w:lang w:val="en-US" w:eastAsia="zh-CN"/>
              </w:rPr>
            </w:pPr>
            <w:r>
              <w:rPr>
                <w:rFonts w:hint="eastAsia"/>
                <w:kern w:val="2"/>
                <w:szCs w:val="21"/>
                <w:lang w:val="en-US" w:eastAsia="zh-CN"/>
              </w:rPr>
              <w:t>生活</w:t>
            </w:r>
          </w:p>
        </w:tc>
        <w:tc>
          <w:tcPr>
            <w:tcW w:w="3298" w:type="dxa"/>
            <w:gridSpan w:val="2"/>
            <w:vAlign w:val="center"/>
          </w:tcPr>
          <w:p>
            <w:pPr>
              <w:pStyle w:val="26"/>
              <w:rPr>
                <w:kern w:val="2"/>
                <w:szCs w:val="21"/>
                <w:lang w:val="en-US" w:eastAsia="zh-CN"/>
              </w:rPr>
            </w:pPr>
            <w:r>
              <w:rPr>
                <w:rFonts w:hint="eastAsia"/>
                <w:kern w:val="2"/>
                <w:szCs w:val="21"/>
                <w:lang w:val="en-US" w:eastAsia="zh-CN"/>
              </w:rPr>
              <w:t>生活垃圾</w:t>
            </w:r>
            <w:r>
              <w:rPr>
                <w:kern w:val="2"/>
                <w:szCs w:val="21"/>
                <w:lang w:val="en-US" w:eastAsia="zh-CN"/>
              </w:rPr>
              <w:t>(t/a)</w:t>
            </w:r>
          </w:p>
        </w:tc>
        <w:tc>
          <w:tcPr>
            <w:tcW w:w="1593" w:type="dxa"/>
            <w:vAlign w:val="center"/>
          </w:tcPr>
          <w:p>
            <w:pPr>
              <w:pStyle w:val="26"/>
              <w:rPr>
                <w:kern w:val="2"/>
                <w:szCs w:val="21"/>
                <w:lang w:val="en-US" w:eastAsia="zh-CN"/>
              </w:rPr>
            </w:pPr>
            <w:r>
              <w:rPr>
                <w:rFonts w:hint="eastAsia"/>
                <w:kern w:val="2"/>
                <w:szCs w:val="21"/>
                <w:lang w:val="en-US" w:eastAsia="zh-CN"/>
              </w:rPr>
              <w:t>630</w:t>
            </w:r>
          </w:p>
        </w:tc>
        <w:tc>
          <w:tcPr>
            <w:tcW w:w="1693" w:type="dxa"/>
            <w:vAlign w:val="center"/>
          </w:tcPr>
          <w:p>
            <w:pPr>
              <w:pStyle w:val="26"/>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1124" w:type="dxa"/>
            <w:vMerge w:val="continue"/>
            <w:vAlign w:val="center"/>
          </w:tcPr>
          <w:p>
            <w:pPr>
              <w:pStyle w:val="26"/>
              <w:rPr>
                <w:kern w:val="2"/>
                <w:szCs w:val="21"/>
                <w:lang w:val="en-US" w:eastAsia="zh-CN"/>
              </w:rPr>
            </w:pPr>
          </w:p>
        </w:tc>
        <w:tc>
          <w:tcPr>
            <w:tcW w:w="1741" w:type="dxa"/>
            <w:vAlign w:val="center"/>
          </w:tcPr>
          <w:p>
            <w:pPr>
              <w:pStyle w:val="26"/>
              <w:rPr>
                <w:kern w:val="2"/>
                <w:szCs w:val="21"/>
                <w:lang w:val="en-US" w:eastAsia="zh-CN"/>
              </w:rPr>
            </w:pPr>
            <w:r>
              <w:rPr>
                <w:rFonts w:hint="eastAsia"/>
                <w:kern w:val="2"/>
                <w:szCs w:val="21"/>
                <w:lang w:val="en-US" w:eastAsia="zh-CN"/>
              </w:rPr>
              <w:t>污水处理</w:t>
            </w:r>
          </w:p>
        </w:tc>
        <w:tc>
          <w:tcPr>
            <w:tcW w:w="3298" w:type="dxa"/>
            <w:gridSpan w:val="2"/>
            <w:vAlign w:val="center"/>
          </w:tcPr>
          <w:p>
            <w:pPr>
              <w:pStyle w:val="26"/>
              <w:rPr>
                <w:kern w:val="2"/>
                <w:szCs w:val="21"/>
                <w:lang w:val="en-US" w:eastAsia="zh-CN"/>
              </w:rPr>
            </w:pPr>
            <w:r>
              <w:rPr>
                <w:rFonts w:hint="eastAsia"/>
                <w:kern w:val="2"/>
                <w:szCs w:val="21"/>
                <w:lang w:val="en-US" w:eastAsia="zh-CN"/>
              </w:rPr>
              <w:t>污泥</w:t>
            </w:r>
            <w:r>
              <w:rPr>
                <w:kern w:val="2"/>
                <w:szCs w:val="21"/>
                <w:lang w:val="en-US" w:eastAsia="zh-CN"/>
              </w:rPr>
              <w:t>(t/a)</w:t>
            </w:r>
          </w:p>
        </w:tc>
        <w:tc>
          <w:tcPr>
            <w:tcW w:w="1593" w:type="dxa"/>
            <w:vAlign w:val="center"/>
          </w:tcPr>
          <w:p>
            <w:pPr>
              <w:pStyle w:val="26"/>
              <w:rPr>
                <w:kern w:val="2"/>
                <w:szCs w:val="21"/>
                <w:lang w:val="en-US" w:eastAsia="zh-CN"/>
              </w:rPr>
            </w:pPr>
            <w:r>
              <w:rPr>
                <w:kern w:val="2"/>
                <w:szCs w:val="21"/>
                <w:lang w:val="en-US" w:eastAsia="zh-CN"/>
              </w:rPr>
              <w:t>260</w:t>
            </w:r>
          </w:p>
        </w:tc>
        <w:tc>
          <w:tcPr>
            <w:tcW w:w="1693" w:type="dxa"/>
            <w:vAlign w:val="center"/>
          </w:tcPr>
          <w:p>
            <w:pPr>
              <w:pStyle w:val="26"/>
              <w:rPr>
                <w:kern w:val="2"/>
                <w:szCs w:val="21"/>
                <w:lang w:val="en-US" w:eastAsia="zh-CN"/>
              </w:rPr>
            </w:pPr>
            <w:r>
              <w:rPr>
                <w:kern w:val="2"/>
                <w:szCs w:val="21"/>
                <w:lang w:val="en-US" w:eastAsia="zh-CN"/>
              </w:rPr>
              <w:t>0</w:t>
            </w:r>
          </w:p>
        </w:tc>
      </w:tr>
    </w:tbl>
    <w:p>
      <w:pPr>
        <w:rPr>
          <w:rFonts w:hint="eastAsia" w:eastAsia="宋体"/>
          <w:sz w:val="21"/>
          <w:szCs w:val="21"/>
          <w:lang w:eastAsia="zh-CN"/>
        </w:rPr>
      </w:pPr>
      <w:r>
        <w:rPr>
          <w:rFonts w:hint="eastAsia"/>
          <w:sz w:val="21"/>
          <w:szCs w:val="21"/>
          <w:lang w:eastAsia="zh-CN"/>
        </w:rPr>
        <w:t>注：</w:t>
      </w:r>
      <w:r>
        <w:rPr>
          <w:rFonts w:hint="eastAsia"/>
          <w:sz w:val="21"/>
          <w:szCs w:val="21"/>
          <w:lang w:val="en-US" w:eastAsia="zh-CN"/>
        </w:rPr>
        <w:t>VOCs包含定型废气和醋酸废气。</w:t>
      </w:r>
    </w:p>
    <w:p>
      <w:pPr>
        <w:pStyle w:val="4"/>
      </w:pPr>
      <w:r>
        <w:rPr>
          <w:rFonts w:hint="eastAsia"/>
        </w:rPr>
        <w:t>技改前后“三本帐”分析</w:t>
      </w:r>
    </w:p>
    <w:p>
      <w:pPr>
        <w:ind w:firstLine="480"/>
      </w:pPr>
      <w:r>
        <w:rPr>
          <w:rFonts w:hint="eastAsia"/>
        </w:rPr>
        <w:t>本项目技改实施后，全厂技改前后企业污染物排放对比表</w:t>
      </w:r>
      <w:r>
        <w:t>4.4-2</w:t>
      </w:r>
      <w:r>
        <w:rPr>
          <w:rFonts w:hint="eastAsia"/>
        </w:rPr>
        <w:t>。</w:t>
      </w:r>
    </w:p>
    <w:p>
      <w:pPr>
        <w:pStyle w:val="26"/>
        <w:rPr>
          <w:b/>
          <w:bCs/>
        </w:rPr>
      </w:pPr>
      <w:r>
        <w:rPr>
          <w:rFonts w:hint="eastAsia"/>
          <w:b/>
          <w:bCs/>
        </w:rPr>
        <w:t>表</w:t>
      </w:r>
      <w:r>
        <w:rPr>
          <w:b/>
          <w:bCs/>
        </w:rPr>
        <w:t xml:space="preserve">4.4-2    </w:t>
      </w:r>
      <w:r>
        <w:rPr>
          <w:rFonts w:hint="eastAsia"/>
          <w:b/>
          <w:bCs/>
        </w:rPr>
        <w:t>全厂技改前后企业污染源强汇总表</w:t>
      </w:r>
    </w:p>
    <w:tbl>
      <w:tblPr>
        <w:tblStyle w:val="23"/>
        <w:tblW w:w="9612" w:type="dxa"/>
        <w:jc w:val="center"/>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1"/>
        <w:gridCol w:w="1504"/>
        <w:gridCol w:w="1229"/>
        <w:gridCol w:w="1619"/>
        <w:gridCol w:w="1376"/>
        <w:gridCol w:w="1462"/>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26" w:hRule="atLeast"/>
          <w:tblHeader/>
          <w:jc w:val="center"/>
        </w:trPr>
        <w:tc>
          <w:tcPr>
            <w:tcW w:w="971" w:type="dxa"/>
            <w:tcBorders>
              <w:tl2br w:val="single" w:color="auto" w:sz="4" w:space="0"/>
            </w:tcBorders>
            <w:vAlign w:val="center"/>
          </w:tcPr>
          <w:p>
            <w:pPr>
              <w:pStyle w:val="26"/>
              <w:spacing w:line="240" w:lineRule="auto"/>
              <w:jc w:val="right"/>
              <w:rPr>
                <w:kern w:val="2"/>
                <w:szCs w:val="21"/>
                <w:lang w:val="en-US" w:eastAsia="zh-CN"/>
              </w:rPr>
            </w:pPr>
            <w:r>
              <w:rPr>
                <w:rFonts w:hint="eastAsia"/>
                <w:kern w:val="2"/>
                <w:szCs w:val="21"/>
                <w:lang w:val="en-US" w:eastAsia="zh-CN"/>
              </w:rPr>
              <w:t>内容</w:t>
            </w:r>
          </w:p>
          <w:p>
            <w:pPr>
              <w:pStyle w:val="26"/>
              <w:spacing w:line="240" w:lineRule="auto"/>
              <w:jc w:val="left"/>
              <w:rPr>
                <w:kern w:val="2"/>
                <w:szCs w:val="21"/>
                <w:lang w:val="en-US" w:eastAsia="zh-CN"/>
              </w:rPr>
            </w:pPr>
            <w:r>
              <w:rPr>
                <w:rFonts w:hint="eastAsia"/>
                <w:kern w:val="2"/>
                <w:szCs w:val="21"/>
                <w:lang w:val="en-US" w:eastAsia="zh-CN"/>
              </w:rPr>
              <w:t>类型</w:t>
            </w:r>
          </w:p>
        </w:tc>
        <w:tc>
          <w:tcPr>
            <w:tcW w:w="1504" w:type="dxa"/>
            <w:vAlign w:val="center"/>
          </w:tcPr>
          <w:p>
            <w:pPr>
              <w:pStyle w:val="26"/>
              <w:rPr>
                <w:kern w:val="2"/>
                <w:szCs w:val="21"/>
                <w:lang w:val="en-US" w:eastAsia="zh-CN"/>
              </w:rPr>
            </w:pPr>
            <w:r>
              <w:rPr>
                <w:rFonts w:hint="eastAsia"/>
                <w:kern w:val="2"/>
                <w:szCs w:val="21"/>
                <w:lang w:val="en-US" w:eastAsia="zh-CN"/>
              </w:rPr>
              <w:t>排放源</w:t>
            </w:r>
          </w:p>
        </w:tc>
        <w:tc>
          <w:tcPr>
            <w:tcW w:w="2848" w:type="dxa"/>
            <w:gridSpan w:val="2"/>
            <w:vAlign w:val="center"/>
          </w:tcPr>
          <w:p>
            <w:pPr>
              <w:pStyle w:val="26"/>
              <w:rPr>
                <w:kern w:val="2"/>
                <w:szCs w:val="21"/>
                <w:lang w:val="en-US" w:eastAsia="zh-CN"/>
              </w:rPr>
            </w:pPr>
            <w:r>
              <w:rPr>
                <w:rFonts w:hint="eastAsia"/>
                <w:kern w:val="2"/>
                <w:szCs w:val="21"/>
                <w:lang w:val="en-US" w:eastAsia="zh-CN"/>
              </w:rPr>
              <w:t>污染物名称</w:t>
            </w:r>
          </w:p>
        </w:tc>
        <w:tc>
          <w:tcPr>
            <w:tcW w:w="1376" w:type="dxa"/>
            <w:vAlign w:val="center"/>
          </w:tcPr>
          <w:p>
            <w:pPr>
              <w:pStyle w:val="26"/>
              <w:rPr>
                <w:kern w:val="2"/>
                <w:szCs w:val="21"/>
                <w:lang w:val="en-US" w:eastAsia="zh-CN"/>
              </w:rPr>
            </w:pPr>
            <w:r>
              <w:rPr>
                <w:rFonts w:hint="eastAsia"/>
                <w:kern w:val="2"/>
                <w:szCs w:val="21"/>
                <w:lang w:val="en-US" w:eastAsia="zh-CN"/>
              </w:rPr>
              <w:t>技改前排放量</w:t>
            </w:r>
          </w:p>
        </w:tc>
        <w:tc>
          <w:tcPr>
            <w:tcW w:w="1462" w:type="dxa"/>
            <w:vAlign w:val="center"/>
          </w:tcPr>
          <w:p>
            <w:pPr>
              <w:pStyle w:val="26"/>
              <w:rPr>
                <w:kern w:val="2"/>
                <w:szCs w:val="21"/>
                <w:lang w:val="en-US" w:eastAsia="zh-CN"/>
              </w:rPr>
            </w:pPr>
            <w:r>
              <w:rPr>
                <w:rFonts w:hint="eastAsia"/>
                <w:kern w:val="2"/>
                <w:szCs w:val="21"/>
                <w:lang w:val="en-US" w:eastAsia="zh-CN"/>
              </w:rPr>
              <w:t>技改后排放量</w:t>
            </w:r>
          </w:p>
        </w:tc>
        <w:tc>
          <w:tcPr>
            <w:tcW w:w="1451" w:type="dxa"/>
            <w:vAlign w:val="center"/>
          </w:tcPr>
          <w:p>
            <w:pPr>
              <w:pStyle w:val="26"/>
              <w:spacing w:line="240" w:lineRule="auto"/>
              <w:rPr>
                <w:kern w:val="2"/>
                <w:szCs w:val="21"/>
                <w:lang w:val="en-US" w:eastAsia="zh-CN"/>
              </w:rPr>
            </w:pPr>
            <w:r>
              <w:rPr>
                <w:rFonts w:hint="eastAsia"/>
                <w:kern w:val="2"/>
                <w:szCs w:val="21"/>
                <w:lang w:val="en-US" w:eastAsia="zh-CN"/>
              </w:rPr>
              <w:t>技改前后增减量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76" w:hRule="atLeast"/>
          <w:jc w:val="center"/>
        </w:trPr>
        <w:tc>
          <w:tcPr>
            <w:tcW w:w="971" w:type="dxa"/>
            <w:vMerge w:val="restart"/>
            <w:vAlign w:val="center"/>
          </w:tcPr>
          <w:p>
            <w:pPr>
              <w:pStyle w:val="26"/>
              <w:rPr>
                <w:kern w:val="2"/>
                <w:szCs w:val="21"/>
                <w:lang w:val="en-US" w:eastAsia="zh-CN"/>
              </w:rPr>
            </w:pPr>
            <w:r>
              <w:rPr>
                <w:rFonts w:hint="eastAsia"/>
                <w:kern w:val="2"/>
                <w:szCs w:val="21"/>
                <w:lang w:val="en-US" w:eastAsia="zh-CN"/>
              </w:rPr>
              <w:t>大气</w:t>
            </w:r>
          </w:p>
          <w:p>
            <w:pPr>
              <w:pStyle w:val="26"/>
              <w:rPr>
                <w:kern w:val="2"/>
                <w:szCs w:val="21"/>
                <w:lang w:val="en-US" w:eastAsia="zh-CN"/>
              </w:rPr>
            </w:pPr>
            <w:r>
              <w:rPr>
                <w:rFonts w:hint="eastAsia"/>
                <w:kern w:val="2"/>
                <w:szCs w:val="21"/>
                <w:lang w:val="en-US" w:eastAsia="zh-CN"/>
              </w:rPr>
              <w:t>污染</w:t>
            </w:r>
          </w:p>
          <w:p>
            <w:pPr>
              <w:pStyle w:val="26"/>
              <w:rPr>
                <w:kern w:val="2"/>
                <w:szCs w:val="21"/>
                <w:lang w:val="en-US" w:eastAsia="zh-CN"/>
              </w:rPr>
            </w:pPr>
            <w:r>
              <w:rPr>
                <w:rFonts w:hint="eastAsia"/>
                <w:kern w:val="2"/>
                <w:szCs w:val="21"/>
                <w:lang w:val="en-US" w:eastAsia="zh-CN"/>
              </w:rPr>
              <w:t>物</w:t>
            </w:r>
          </w:p>
        </w:tc>
        <w:tc>
          <w:tcPr>
            <w:tcW w:w="1504" w:type="dxa"/>
            <w:vMerge w:val="restart"/>
            <w:vAlign w:val="center"/>
          </w:tcPr>
          <w:p>
            <w:pPr>
              <w:pStyle w:val="26"/>
              <w:rPr>
                <w:kern w:val="2"/>
                <w:szCs w:val="21"/>
                <w:lang w:val="en-US" w:eastAsia="zh-CN"/>
              </w:rPr>
            </w:pPr>
            <w:r>
              <w:rPr>
                <w:rFonts w:hint="eastAsia"/>
                <w:kern w:val="2"/>
                <w:szCs w:val="21"/>
                <w:lang w:val="en-US" w:eastAsia="zh-CN"/>
              </w:rPr>
              <w:t>锅炉废气</w:t>
            </w:r>
          </w:p>
        </w:tc>
        <w:tc>
          <w:tcPr>
            <w:tcW w:w="2848" w:type="dxa"/>
            <w:gridSpan w:val="2"/>
            <w:vAlign w:val="center"/>
          </w:tcPr>
          <w:p>
            <w:pPr>
              <w:pStyle w:val="26"/>
              <w:rPr>
                <w:kern w:val="2"/>
                <w:szCs w:val="21"/>
                <w:lang w:val="en-US" w:eastAsia="zh-CN"/>
              </w:rPr>
            </w:pPr>
            <w:r>
              <w:rPr>
                <w:kern w:val="2"/>
                <w:szCs w:val="21"/>
                <w:lang w:val="en-US" w:eastAsia="zh-CN"/>
              </w:rPr>
              <w:t>SO</w:t>
            </w:r>
            <w:r>
              <w:rPr>
                <w:kern w:val="2"/>
                <w:szCs w:val="21"/>
                <w:vertAlign w:val="subscript"/>
                <w:lang w:val="en-US" w:eastAsia="zh-CN"/>
              </w:rPr>
              <w:t>2</w:t>
            </w:r>
            <w:r>
              <w:rPr>
                <w:kern w:val="2"/>
                <w:szCs w:val="21"/>
                <w:lang w:val="en-US" w:eastAsia="zh-CN"/>
              </w:rPr>
              <w:t>(t/a)</w:t>
            </w:r>
          </w:p>
        </w:tc>
        <w:tc>
          <w:tcPr>
            <w:tcW w:w="1376" w:type="dxa"/>
            <w:vAlign w:val="center"/>
          </w:tcPr>
          <w:p>
            <w:pPr>
              <w:pStyle w:val="26"/>
              <w:rPr>
                <w:kern w:val="2"/>
                <w:szCs w:val="21"/>
                <w:lang w:val="en-US" w:eastAsia="zh-CN"/>
              </w:rPr>
            </w:pPr>
            <w:r>
              <w:rPr>
                <w:kern w:val="2"/>
                <w:szCs w:val="21"/>
                <w:lang w:val="en-US" w:eastAsia="zh-CN"/>
              </w:rPr>
              <w:t>9.075</w:t>
            </w:r>
          </w:p>
        </w:tc>
        <w:tc>
          <w:tcPr>
            <w:tcW w:w="1462" w:type="dxa"/>
            <w:vAlign w:val="center"/>
          </w:tcPr>
          <w:p>
            <w:pPr>
              <w:pStyle w:val="26"/>
              <w:rPr>
                <w:kern w:val="2"/>
                <w:szCs w:val="21"/>
                <w:lang w:val="en-US" w:eastAsia="zh-CN"/>
              </w:rPr>
            </w:pPr>
            <w:r>
              <w:rPr>
                <w:kern w:val="2"/>
                <w:szCs w:val="21"/>
                <w:lang w:val="en-US" w:eastAsia="zh-CN"/>
              </w:rPr>
              <w:t>2.992</w:t>
            </w:r>
          </w:p>
        </w:tc>
        <w:tc>
          <w:tcPr>
            <w:tcW w:w="1451" w:type="dxa"/>
            <w:vAlign w:val="center"/>
          </w:tcPr>
          <w:p>
            <w:pPr>
              <w:pStyle w:val="26"/>
              <w:rPr>
                <w:kern w:val="2"/>
                <w:szCs w:val="21"/>
                <w:lang w:val="en-US" w:eastAsia="zh-CN"/>
              </w:rPr>
            </w:pPr>
            <w:r>
              <w:rPr>
                <w:kern w:val="2"/>
                <w:szCs w:val="21"/>
                <w:lang w:val="en-US" w:eastAsia="zh-CN"/>
              </w:rPr>
              <w:t>-6.083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2848" w:type="dxa"/>
            <w:gridSpan w:val="2"/>
            <w:vAlign w:val="center"/>
          </w:tcPr>
          <w:p>
            <w:pPr>
              <w:pStyle w:val="26"/>
              <w:rPr>
                <w:kern w:val="2"/>
                <w:szCs w:val="21"/>
                <w:lang w:val="en-US" w:eastAsia="zh-CN"/>
              </w:rPr>
            </w:pPr>
            <w:r>
              <w:rPr>
                <w:kern w:val="2"/>
                <w:szCs w:val="21"/>
                <w:lang w:val="en-US" w:eastAsia="zh-CN"/>
              </w:rPr>
              <w:t>NOx(t/a)</w:t>
            </w:r>
          </w:p>
        </w:tc>
        <w:tc>
          <w:tcPr>
            <w:tcW w:w="1376" w:type="dxa"/>
            <w:vAlign w:val="center"/>
          </w:tcPr>
          <w:p>
            <w:pPr>
              <w:pStyle w:val="26"/>
              <w:rPr>
                <w:kern w:val="2"/>
                <w:szCs w:val="21"/>
                <w:lang w:val="en-US" w:eastAsia="zh-CN"/>
              </w:rPr>
            </w:pPr>
            <w:r>
              <w:rPr>
                <w:kern w:val="2"/>
                <w:szCs w:val="21"/>
                <w:lang w:val="en-US" w:eastAsia="zh-CN"/>
              </w:rPr>
              <w:t>10.270</w:t>
            </w:r>
          </w:p>
        </w:tc>
        <w:tc>
          <w:tcPr>
            <w:tcW w:w="1462" w:type="dxa"/>
            <w:vAlign w:val="center"/>
          </w:tcPr>
          <w:p>
            <w:pPr>
              <w:pStyle w:val="26"/>
              <w:rPr>
                <w:kern w:val="2"/>
                <w:szCs w:val="21"/>
                <w:lang w:val="en-US" w:eastAsia="zh-CN"/>
              </w:rPr>
            </w:pPr>
            <w:r>
              <w:rPr>
                <w:kern w:val="2"/>
                <w:szCs w:val="21"/>
                <w:lang w:val="en-US" w:eastAsia="zh-CN"/>
              </w:rPr>
              <w:t>2.244</w:t>
            </w:r>
          </w:p>
        </w:tc>
        <w:tc>
          <w:tcPr>
            <w:tcW w:w="1451" w:type="dxa"/>
            <w:vAlign w:val="center"/>
          </w:tcPr>
          <w:p>
            <w:pPr>
              <w:pStyle w:val="26"/>
              <w:rPr>
                <w:kern w:val="2"/>
                <w:szCs w:val="21"/>
                <w:lang w:val="en-US" w:eastAsia="zh-CN"/>
              </w:rPr>
            </w:pPr>
            <w:r>
              <w:rPr>
                <w:kern w:val="2"/>
                <w:szCs w:val="21"/>
                <w:lang w:val="en-US" w:eastAsia="zh-CN"/>
              </w:rPr>
              <w:t>-8.026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2848" w:type="dxa"/>
            <w:gridSpan w:val="2"/>
            <w:vAlign w:val="center"/>
          </w:tcPr>
          <w:p>
            <w:pPr>
              <w:pStyle w:val="26"/>
              <w:rPr>
                <w:kern w:val="2"/>
                <w:szCs w:val="21"/>
                <w:lang w:val="en-US" w:eastAsia="zh-CN"/>
              </w:rPr>
            </w:pPr>
            <w:r>
              <w:rPr>
                <w:rFonts w:hint="eastAsia"/>
                <w:kern w:val="2"/>
                <w:szCs w:val="21"/>
                <w:lang w:val="en-US" w:eastAsia="zh-CN"/>
              </w:rPr>
              <w:t>颗粒物</w:t>
            </w:r>
            <w:r>
              <w:rPr>
                <w:kern w:val="2"/>
                <w:szCs w:val="21"/>
                <w:lang w:val="en-US" w:eastAsia="zh-CN"/>
              </w:rPr>
              <w:t>(t/a)</w:t>
            </w:r>
          </w:p>
        </w:tc>
        <w:tc>
          <w:tcPr>
            <w:tcW w:w="1376" w:type="dxa"/>
            <w:vAlign w:val="center"/>
          </w:tcPr>
          <w:p>
            <w:pPr>
              <w:pStyle w:val="26"/>
              <w:rPr>
                <w:kern w:val="2"/>
                <w:szCs w:val="21"/>
                <w:lang w:val="en-US" w:eastAsia="zh-CN"/>
              </w:rPr>
            </w:pPr>
            <w:r>
              <w:rPr>
                <w:kern w:val="2"/>
                <w:szCs w:val="21"/>
                <w:lang w:val="en-US" w:eastAsia="zh-CN"/>
              </w:rPr>
              <w:t>9.014</w:t>
            </w:r>
          </w:p>
        </w:tc>
        <w:tc>
          <w:tcPr>
            <w:tcW w:w="1462" w:type="dxa"/>
            <w:vAlign w:val="center"/>
          </w:tcPr>
          <w:p>
            <w:pPr>
              <w:pStyle w:val="26"/>
              <w:rPr>
                <w:kern w:val="2"/>
                <w:szCs w:val="21"/>
                <w:lang w:val="en-US" w:eastAsia="zh-CN"/>
              </w:rPr>
            </w:pPr>
            <w:r>
              <w:rPr>
                <w:kern w:val="2"/>
                <w:szCs w:val="21"/>
                <w:lang w:val="en-US" w:eastAsia="zh-CN"/>
              </w:rPr>
              <w:t>0.143</w:t>
            </w:r>
          </w:p>
        </w:tc>
        <w:tc>
          <w:tcPr>
            <w:tcW w:w="1451" w:type="dxa"/>
            <w:vAlign w:val="center"/>
          </w:tcPr>
          <w:p>
            <w:pPr>
              <w:pStyle w:val="26"/>
              <w:rPr>
                <w:kern w:val="2"/>
                <w:szCs w:val="21"/>
                <w:lang w:val="en-US" w:eastAsia="zh-CN"/>
              </w:rPr>
            </w:pPr>
            <w:r>
              <w:rPr>
                <w:kern w:val="2"/>
                <w:szCs w:val="21"/>
                <w:lang w:val="en-US" w:eastAsia="zh-CN"/>
              </w:rPr>
              <w:t>-8.871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Align w:val="center"/>
          </w:tcPr>
          <w:p>
            <w:pPr>
              <w:pStyle w:val="26"/>
              <w:rPr>
                <w:kern w:val="2"/>
                <w:szCs w:val="21"/>
                <w:lang w:val="en-US" w:eastAsia="zh-CN"/>
              </w:rPr>
            </w:pPr>
            <w:r>
              <w:rPr>
                <w:rFonts w:hint="eastAsia"/>
                <w:kern w:val="2"/>
                <w:szCs w:val="21"/>
                <w:lang w:val="en-US" w:eastAsia="zh-CN"/>
              </w:rPr>
              <w:t>定型机</w:t>
            </w:r>
          </w:p>
        </w:tc>
        <w:tc>
          <w:tcPr>
            <w:tcW w:w="2848" w:type="dxa"/>
            <w:gridSpan w:val="2"/>
            <w:vAlign w:val="center"/>
          </w:tcPr>
          <w:p>
            <w:pPr>
              <w:pStyle w:val="26"/>
              <w:rPr>
                <w:kern w:val="2"/>
                <w:szCs w:val="21"/>
                <w:lang w:val="en-US" w:eastAsia="zh-CN"/>
              </w:rPr>
            </w:pPr>
            <w:r>
              <w:rPr>
                <w:kern w:val="2"/>
                <w:szCs w:val="21"/>
                <w:lang w:val="en-US" w:eastAsia="zh-CN"/>
              </w:rPr>
              <w:t>VOCs(t/a)</w:t>
            </w:r>
          </w:p>
        </w:tc>
        <w:tc>
          <w:tcPr>
            <w:tcW w:w="1376" w:type="dxa"/>
            <w:vAlign w:val="center"/>
          </w:tcPr>
          <w:p>
            <w:pPr>
              <w:pStyle w:val="26"/>
              <w:rPr>
                <w:kern w:val="2"/>
                <w:szCs w:val="21"/>
                <w:lang w:val="en-US" w:eastAsia="zh-CN"/>
              </w:rPr>
            </w:pPr>
            <w:r>
              <w:rPr>
                <w:kern w:val="2"/>
                <w:szCs w:val="21"/>
                <w:lang w:val="en-US" w:eastAsia="zh-CN"/>
              </w:rPr>
              <w:t>8.1</w:t>
            </w:r>
          </w:p>
        </w:tc>
        <w:tc>
          <w:tcPr>
            <w:tcW w:w="1462" w:type="dxa"/>
            <w:vAlign w:val="center"/>
          </w:tcPr>
          <w:p>
            <w:pPr>
              <w:pStyle w:val="26"/>
              <w:rPr>
                <w:kern w:val="2"/>
                <w:szCs w:val="21"/>
                <w:lang w:val="en-US" w:eastAsia="zh-CN"/>
              </w:rPr>
            </w:pPr>
            <w:r>
              <w:rPr>
                <w:kern w:val="2"/>
                <w:szCs w:val="21"/>
                <w:lang w:val="en-US" w:eastAsia="zh-CN"/>
              </w:rPr>
              <w:t>1.62</w:t>
            </w:r>
          </w:p>
        </w:tc>
        <w:tc>
          <w:tcPr>
            <w:tcW w:w="1451" w:type="dxa"/>
            <w:vAlign w:val="center"/>
          </w:tcPr>
          <w:p>
            <w:pPr>
              <w:pStyle w:val="26"/>
              <w:rPr>
                <w:kern w:val="2"/>
                <w:szCs w:val="21"/>
                <w:lang w:val="en-US" w:eastAsia="zh-CN"/>
              </w:rPr>
            </w:pPr>
            <w:r>
              <w:rPr>
                <w:kern w:val="2"/>
                <w:szCs w:val="21"/>
                <w:lang w:val="en-US" w:eastAsia="zh-CN"/>
              </w:rPr>
              <w:t>-6.48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Align w:val="center"/>
          </w:tcPr>
          <w:p>
            <w:pPr>
              <w:pStyle w:val="26"/>
              <w:rPr>
                <w:kern w:val="2"/>
                <w:szCs w:val="21"/>
                <w:lang w:val="en-US" w:eastAsia="zh-CN"/>
              </w:rPr>
            </w:pPr>
            <w:r>
              <w:rPr>
                <w:rFonts w:hint="eastAsia"/>
                <w:kern w:val="2"/>
                <w:szCs w:val="21"/>
                <w:lang w:val="en-US" w:eastAsia="zh-CN"/>
              </w:rPr>
              <w:t>醋酸废气</w:t>
            </w:r>
          </w:p>
        </w:tc>
        <w:tc>
          <w:tcPr>
            <w:tcW w:w="2848" w:type="dxa"/>
            <w:gridSpan w:val="2"/>
            <w:vAlign w:val="center"/>
          </w:tcPr>
          <w:p>
            <w:pPr>
              <w:pStyle w:val="26"/>
              <w:rPr>
                <w:kern w:val="2"/>
                <w:szCs w:val="21"/>
                <w:lang w:val="en-US" w:eastAsia="zh-CN"/>
              </w:rPr>
            </w:pPr>
            <w:r>
              <w:rPr>
                <w:rFonts w:hint="eastAsia"/>
                <w:kern w:val="2"/>
                <w:szCs w:val="21"/>
                <w:lang w:val="en-US" w:eastAsia="zh-CN"/>
              </w:rPr>
              <w:t>醋酸</w:t>
            </w:r>
            <w:r>
              <w:rPr>
                <w:kern w:val="2"/>
                <w:szCs w:val="21"/>
                <w:lang w:val="en-US" w:eastAsia="zh-CN"/>
              </w:rPr>
              <w:t>(t/a)</w:t>
            </w:r>
          </w:p>
        </w:tc>
        <w:tc>
          <w:tcPr>
            <w:tcW w:w="1376" w:type="dxa"/>
            <w:vAlign w:val="center"/>
          </w:tcPr>
          <w:p>
            <w:pPr>
              <w:pStyle w:val="26"/>
              <w:rPr>
                <w:kern w:val="2"/>
                <w:szCs w:val="21"/>
                <w:lang w:val="en-US" w:eastAsia="zh-CN"/>
              </w:rPr>
            </w:pPr>
            <w:r>
              <w:rPr>
                <w:kern w:val="2"/>
                <w:szCs w:val="21"/>
                <w:lang w:val="en-US" w:eastAsia="zh-CN"/>
              </w:rPr>
              <w:t>0</w:t>
            </w:r>
          </w:p>
        </w:tc>
        <w:tc>
          <w:tcPr>
            <w:tcW w:w="1462" w:type="dxa"/>
            <w:vAlign w:val="center"/>
          </w:tcPr>
          <w:p>
            <w:pPr>
              <w:pStyle w:val="26"/>
              <w:rPr>
                <w:kern w:val="2"/>
                <w:szCs w:val="21"/>
                <w:lang w:val="en-US" w:eastAsia="zh-CN"/>
              </w:rPr>
            </w:pPr>
            <w:r>
              <w:rPr>
                <w:kern w:val="2"/>
                <w:szCs w:val="21"/>
                <w:lang w:val="en-US" w:eastAsia="zh-CN"/>
              </w:rPr>
              <w:t>0.035</w:t>
            </w:r>
          </w:p>
        </w:tc>
        <w:tc>
          <w:tcPr>
            <w:tcW w:w="1451" w:type="dxa"/>
            <w:vAlign w:val="center"/>
          </w:tcPr>
          <w:p>
            <w:pPr>
              <w:pStyle w:val="26"/>
              <w:rPr>
                <w:kern w:val="2"/>
                <w:szCs w:val="21"/>
                <w:lang w:val="en-US" w:eastAsia="zh-CN"/>
              </w:rPr>
            </w:pPr>
            <w:r>
              <w:rPr>
                <w:kern w:val="2"/>
                <w:szCs w:val="21"/>
                <w:lang w:val="en-US" w:eastAsia="zh-CN"/>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Align w:val="center"/>
          </w:tcPr>
          <w:p>
            <w:pPr>
              <w:pStyle w:val="26"/>
              <w:rPr>
                <w:kern w:val="2"/>
                <w:szCs w:val="21"/>
                <w:lang w:val="en-US" w:eastAsia="zh-CN"/>
              </w:rPr>
            </w:pPr>
            <w:r>
              <w:rPr>
                <w:rFonts w:hint="eastAsia"/>
                <w:kern w:val="2"/>
                <w:szCs w:val="21"/>
                <w:lang w:val="en-US" w:eastAsia="zh-CN"/>
              </w:rPr>
              <w:t>导热油系统</w:t>
            </w:r>
          </w:p>
        </w:tc>
        <w:tc>
          <w:tcPr>
            <w:tcW w:w="2848" w:type="dxa"/>
            <w:gridSpan w:val="2"/>
            <w:vAlign w:val="center"/>
          </w:tcPr>
          <w:p>
            <w:pPr>
              <w:pStyle w:val="26"/>
              <w:rPr>
                <w:kern w:val="2"/>
                <w:szCs w:val="21"/>
                <w:lang w:val="en-US" w:eastAsia="zh-CN"/>
              </w:rPr>
            </w:pPr>
            <w:r>
              <w:rPr>
                <w:rFonts w:hint="eastAsia"/>
                <w:kern w:val="2"/>
                <w:szCs w:val="21"/>
                <w:lang w:val="en-US" w:eastAsia="zh-CN"/>
              </w:rPr>
              <w:t>导热油废气</w:t>
            </w:r>
            <w:r>
              <w:rPr>
                <w:kern w:val="2"/>
                <w:szCs w:val="21"/>
                <w:lang w:val="en-US" w:eastAsia="zh-CN"/>
              </w:rPr>
              <w:t>(t/a)</w:t>
            </w:r>
          </w:p>
        </w:tc>
        <w:tc>
          <w:tcPr>
            <w:tcW w:w="1376" w:type="dxa"/>
            <w:vAlign w:val="center"/>
          </w:tcPr>
          <w:p>
            <w:pPr>
              <w:pStyle w:val="26"/>
              <w:rPr>
                <w:kern w:val="2"/>
                <w:szCs w:val="21"/>
                <w:lang w:val="en-US" w:eastAsia="zh-CN"/>
              </w:rPr>
            </w:pPr>
            <w:r>
              <w:rPr>
                <w:rFonts w:hint="eastAsia"/>
                <w:kern w:val="2"/>
                <w:szCs w:val="21"/>
                <w:lang w:val="en-US" w:eastAsia="zh-CN"/>
              </w:rPr>
              <w:t>少量</w:t>
            </w:r>
          </w:p>
        </w:tc>
        <w:tc>
          <w:tcPr>
            <w:tcW w:w="1462" w:type="dxa"/>
            <w:vAlign w:val="center"/>
          </w:tcPr>
          <w:p>
            <w:pPr>
              <w:pStyle w:val="26"/>
              <w:rPr>
                <w:kern w:val="2"/>
                <w:szCs w:val="21"/>
                <w:lang w:val="en-US" w:eastAsia="zh-CN"/>
              </w:rPr>
            </w:pPr>
            <w:r>
              <w:rPr>
                <w:rFonts w:hint="eastAsia"/>
                <w:kern w:val="2"/>
                <w:szCs w:val="21"/>
                <w:lang w:val="en-US" w:eastAsia="zh-CN"/>
              </w:rPr>
              <w:t>少量</w:t>
            </w:r>
          </w:p>
        </w:tc>
        <w:tc>
          <w:tcPr>
            <w:tcW w:w="1451"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Merge w:val="restart"/>
            <w:vAlign w:val="center"/>
          </w:tcPr>
          <w:p>
            <w:pPr>
              <w:pStyle w:val="26"/>
              <w:rPr>
                <w:kern w:val="2"/>
                <w:szCs w:val="21"/>
                <w:lang w:val="en-US" w:eastAsia="zh-CN"/>
              </w:rPr>
            </w:pPr>
            <w:r>
              <w:rPr>
                <w:rFonts w:hint="eastAsia"/>
                <w:kern w:val="2"/>
                <w:szCs w:val="21"/>
                <w:lang w:val="en-US" w:eastAsia="zh-CN"/>
              </w:rPr>
              <w:t>污水处理站</w:t>
            </w:r>
          </w:p>
        </w:tc>
        <w:tc>
          <w:tcPr>
            <w:tcW w:w="2848" w:type="dxa"/>
            <w:gridSpan w:val="2"/>
            <w:vAlign w:val="center"/>
          </w:tcPr>
          <w:p>
            <w:pPr>
              <w:pStyle w:val="26"/>
              <w:rPr>
                <w:kern w:val="2"/>
                <w:szCs w:val="21"/>
                <w:lang w:val="en-US" w:eastAsia="zh-CN"/>
              </w:rPr>
            </w:pPr>
            <w:r>
              <w:rPr>
                <w:kern w:val="2"/>
                <w:szCs w:val="21"/>
                <w:lang w:val="en-US" w:eastAsia="zh-CN"/>
              </w:rPr>
              <w:t>NH</w:t>
            </w:r>
            <w:r>
              <w:rPr>
                <w:kern w:val="2"/>
                <w:szCs w:val="21"/>
                <w:vertAlign w:val="subscript"/>
                <w:lang w:val="en-US" w:eastAsia="zh-CN"/>
              </w:rPr>
              <w:t>3</w:t>
            </w:r>
            <w:r>
              <w:rPr>
                <w:kern w:val="2"/>
                <w:szCs w:val="21"/>
                <w:lang w:val="en-US" w:eastAsia="zh-CN"/>
              </w:rPr>
              <w:t>(t/a)</w:t>
            </w:r>
          </w:p>
        </w:tc>
        <w:tc>
          <w:tcPr>
            <w:tcW w:w="1376" w:type="dxa"/>
            <w:vAlign w:val="center"/>
          </w:tcPr>
          <w:p>
            <w:pPr>
              <w:pStyle w:val="26"/>
              <w:rPr>
                <w:kern w:val="2"/>
                <w:szCs w:val="21"/>
                <w:lang w:val="en-US" w:eastAsia="zh-CN"/>
              </w:rPr>
            </w:pPr>
            <w:r>
              <w:rPr>
                <w:rFonts w:hint="eastAsia"/>
                <w:kern w:val="2"/>
                <w:szCs w:val="21"/>
                <w:lang w:val="en-US" w:eastAsia="zh-CN"/>
              </w:rPr>
              <w:t>少量</w:t>
            </w:r>
          </w:p>
        </w:tc>
        <w:tc>
          <w:tcPr>
            <w:tcW w:w="1462" w:type="dxa"/>
            <w:vAlign w:val="center"/>
          </w:tcPr>
          <w:p>
            <w:pPr>
              <w:pStyle w:val="26"/>
              <w:rPr>
                <w:kern w:val="2"/>
                <w:szCs w:val="21"/>
                <w:lang w:val="en-US" w:eastAsia="zh-CN"/>
              </w:rPr>
            </w:pPr>
            <w:r>
              <w:rPr>
                <w:rFonts w:hint="eastAsia"/>
                <w:kern w:val="2"/>
                <w:szCs w:val="21"/>
                <w:lang w:val="en-US" w:eastAsia="zh-CN"/>
              </w:rPr>
              <w:t>少量</w:t>
            </w:r>
          </w:p>
        </w:tc>
        <w:tc>
          <w:tcPr>
            <w:tcW w:w="1451"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2848" w:type="dxa"/>
            <w:gridSpan w:val="2"/>
            <w:vAlign w:val="center"/>
          </w:tcPr>
          <w:p>
            <w:pPr>
              <w:pStyle w:val="26"/>
              <w:rPr>
                <w:kern w:val="2"/>
                <w:szCs w:val="21"/>
                <w:lang w:val="en-US" w:eastAsia="zh-CN"/>
              </w:rPr>
            </w:pPr>
            <w:r>
              <w:rPr>
                <w:kern w:val="2"/>
                <w:szCs w:val="21"/>
                <w:lang w:val="en-US" w:eastAsia="zh-CN"/>
              </w:rPr>
              <w:t>H</w:t>
            </w:r>
            <w:r>
              <w:rPr>
                <w:kern w:val="2"/>
                <w:szCs w:val="21"/>
                <w:vertAlign w:val="subscript"/>
                <w:lang w:val="en-US" w:eastAsia="zh-CN"/>
              </w:rPr>
              <w:t>2</w:t>
            </w:r>
            <w:r>
              <w:rPr>
                <w:kern w:val="2"/>
                <w:szCs w:val="21"/>
                <w:lang w:val="en-US" w:eastAsia="zh-CN"/>
              </w:rPr>
              <w:t>S(t/a)</w:t>
            </w:r>
          </w:p>
        </w:tc>
        <w:tc>
          <w:tcPr>
            <w:tcW w:w="1376" w:type="dxa"/>
            <w:vAlign w:val="center"/>
          </w:tcPr>
          <w:p>
            <w:pPr>
              <w:pStyle w:val="26"/>
              <w:rPr>
                <w:kern w:val="2"/>
                <w:szCs w:val="21"/>
                <w:lang w:val="en-US" w:eastAsia="zh-CN"/>
              </w:rPr>
            </w:pPr>
            <w:r>
              <w:rPr>
                <w:rFonts w:hint="eastAsia"/>
                <w:kern w:val="2"/>
                <w:szCs w:val="21"/>
                <w:lang w:val="en-US" w:eastAsia="zh-CN"/>
              </w:rPr>
              <w:t>少量</w:t>
            </w:r>
          </w:p>
        </w:tc>
        <w:tc>
          <w:tcPr>
            <w:tcW w:w="1462" w:type="dxa"/>
            <w:vAlign w:val="center"/>
          </w:tcPr>
          <w:p>
            <w:pPr>
              <w:pStyle w:val="26"/>
              <w:rPr>
                <w:kern w:val="2"/>
                <w:szCs w:val="21"/>
                <w:lang w:val="en-US" w:eastAsia="zh-CN"/>
              </w:rPr>
            </w:pPr>
            <w:r>
              <w:rPr>
                <w:rFonts w:hint="eastAsia"/>
                <w:kern w:val="2"/>
                <w:szCs w:val="21"/>
                <w:lang w:val="en-US" w:eastAsia="zh-CN"/>
              </w:rPr>
              <w:t>少量</w:t>
            </w:r>
          </w:p>
        </w:tc>
        <w:tc>
          <w:tcPr>
            <w:tcW w:w="1451"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Align w:val="center"/>
          </w:tcPr>
          <w:p>
            <w:pPr>
              <w:pStyle w:val="26"/>
              <w:rPr>
                <w:kern w:val="2"/>
                <w:szCs w:val="21"/>
                <w:lang w:val="en-US" w:eastAsia="zh-CN"/>
              </w:rPr>
            </w:pPr>
            <w:r>
              <w:rPr>
                <w:rFonts w:hint="eastAsia"/>
                <w:kern w:val="2"/>
                <w:szCs w:val="21"/>
                <w:lang w:val="en-US" w:eastAsia="zh-CN"/>
              </w:rPr>
              <w:t>纺纱车间</w:t>
            </w:r>
          </w:p>
        </w:tc>
        <w:tc>
          <w:tcPr>
            <w:tcW w:w="2848" w:type="dxa"/>
            <w:gridSpan w:val="2"/>
            <w:vAlign w:val="center"/>
          </w:tcPr>
          <w:p>
            <w:pPr>
              <w:pStyle w:val="26"/>
              <w:rPr>
                <w:kern w:val="2"/>
                <w:szCs w:val="21"/>
                <w:lang w:val="en-US" w:eastAsia="zh-CN"/>
              </w:rPr>
            </w:pPr>
            <w:r>
              <w:rPr>
                <w:rFonts w:hint="eastAsia"/>
                <w:kern w:val="2"/>
                <w:szCs w:val="21"/>
                <w:lang w:val="en-US" w:eastAsia="zh-CN"/>
              </w:rPr>
              <w:t>粉尘</w:t>
            </w:r>
          </w:p>
        </w:tc>
        <w:tc>
          <w:tcPr>
            <w:tcW w:w="1376" w:type="dxa"/>
            <w:vAlign w:val="center"/>
          </w:tcPr>
          <w:p>
            <w:pPr>
              <w:pStyle w:val="26"/>
              <w:rPr>
                <w:kern w:val="2"/>
                <w:szCs w:val="21"/>
                <w:lang w:val="en-US" w:eastAsia="zh-CN"/>
              </w:rPr>
            </w:pPr>
            <w:r>
              <w:rPr>
                <w:rFonts w:hint="eastAsia"/>
                <w:kern w:val="2"/>
                <w:szCs w:val="21"/>
                <w:lang w:val="en-US" w:eastAsia="zh-CN"/>
              </w:rPr>
              <w:t>少量</w:t>
            </w:r>
          </w:p>
        </w:tc>
        <w:tc>
          <w:tcPr>
            <w:tcW w:w="1462" w:type="dxa"/>
            <w:vAlign w:val="center"/>
          </w:tcPr>
          <w:p>
            <w:pPr>
              <w:pStyle w:val="26"/>
              <w:rPr>
                <w:kern w:val="2"/>
                <w:szCs w:val="21"/>
                <w:lang w:val="en-US" w:eastAsia="zh-CN"/>
              </w:rPr>
            </w:pPr>
            <w:r>
              <w:rPr>
                <w:rFonts w:hint="eastAsia"/>
                <w:kern w:val="2"/>
                <w:szCs w:val="21"/>
                <w:lang w:val="en-US" w:eastAsia="zh-CN"/>
              </w:rPr>
              <w:t>少量</w:t>
            </w:r>
          </w:p>
        </w:tc>
        <w:tc>
          <w:tcPr>
            <w:tcW w:w="1451" w:type="dxa"/>
            <w:vAlign w:val="center"/>
          </w:tcPr>
          <w:p>
            <w:pPr>
              <w:pStyle w:val="26"/>
              <w:rPr>
                <w:kern w:val="2"/>
                <w:szCs w:val="21"/>
                <w:lang w:val="en-US" w:eastAsia="zh-CN"/>
              </w:rPr>
            </w:pPr>
            <w:r>
              <w:rPr>
                <w:rFonts w:hint="eastAsia"/>
                <w:kern w:val="2"/>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Align w:val="center"/>
          </w:tcPr>
          <w:p>
            <w:pPr>
              <w:pStyle w:val="26"/>
              <w:rPr>
                <w:kern w:val="2"/>
                <w:szCs w:val="21"/>
                <w:lang w:val="en-US" w:eastAsia="zh-CN"/>
              </w:rPr>
            </w:pPr>
            <w:r>
              <w:rPr>
                <w:rFonts w:hint="eastAsia"/>
                <w:kern w:val="2"/>
                <w:szCs w:val="21"/>
                <w:lang w:val="en-US" w:eastAsia="zh-CN"/>
              </w:rPr>
              <w:t>纺织车间</w:t>
            </w:r>
          </w:p>
        </w:tc>
        <w:tc>
          <w:tcPr>
            <w:tcW w:w="2848" w:type="dxa"/>
            <w:gridSpan w:val="2"/>
            <w:vAlign w:val="center"/>
          </w:tcPr>
          <w:p>
            <w:pPr>
              <w:pStyle w:val="26"/>
              <w:rPr>
                <w:kern w:val="2"/>
                <w:szCs w:val="21"/>
                <w:lang w:val="en-US" w:eastAsia="zh-CN"/>
              </w:rPr>
            </w:pPr>
            <w:r>
              <w:rPr>
                <w:rFonts w:hint="eastAsia"/>
                <w:kern w:val="2"/>
                <w:szCs w:val="21"/>
                <w:lang w:val="en-US" w:eastAsia="zh-CN"/>
              </w:rPr>
              <w:t>粉尘</w:t>
            </w:r>
          </w:p>
        </w:tc>
        <w:tc>
          <w:tcPr>
            <w:tcW w:w="1376" w:type="dxa"/>
            <w:vAlign w:val="center"/>
          </w:tcPr>
          <w:p>
            <w:pPr>
              <w:pStyle w:val="26"/>
              <w:rPr>
                <w:kern w:val="2"/>
                <w:szCs w:val="21"/>
                <w:lang w:val="en-US" w:eastAsia="zh-CN"/>
              </w:rPr>
            </w:pPr>
            <w:r>
              <w:rPr>
                <w:rFonts w:hint="eastAsia"/>
                <w:kern w:val="2"/>
                <w:szCs w:val="21"/>
                <w:lang w:val="en-US" w:eastAsia="zh-CN"/>
              </w:rPr>
              <w:t>少量</w:t>
            </w:r>
          </w:p>
        </w:tc>
        <w:tc>
          <w:tcPr>
            <w:tcW w:w="1462" w:type="dxa"/>
            <w:vAlign w:val="center"/>
          </w:tcPr>
          <w:p>
            <w:pPr>
              <w:pStyle w:val="26"/>
              <w:rPr>
                <w:kern w:val="2"/>
                <w:szCs w:val="21"/>
                <w:lang w:val="en-US" w:eastAsia="zh-CN"/>
              </w:rPr>
            </w:pPr>
            <w:r>
              <w:rPr>
                <w:rFonts w:hint="eastAsia"/>
                <w:kern w:val="2"/>
                <w:szCs w:val="21"/>
                <w:lang w:val="en-US" w:eastAsia="zh-CN"/>
              </w:rPr>
              <w:t>0</w:t>
            </w:r>
          </w:p>
        </w:tc>
        <w:tc>
          <w:tcPr>
            <w:tcW w:w="1451" w:type="dxa"/>
            <w:vAlign w:val="center"/>
          </w:tcPr>
          <w:p>
            <w:pPr>
              <w:pStyle w:val="26"/>
              <w:rPr>
                <w:kern w:val="2"/>
                <w:szCs w:val="21"/>
                <w:lang w:val="en-US" w:eastAsia="zh-CN"/>
              </w:rPr>
            </w:pP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Align w:val="center"/>
          </w:tcPr>
          <w:p>
            <w:pPr>
              <w:pStyle w:val="26"/>
              <w:rPr>
                <w:kern w:val="2"/>
                <w:szCs w:val="21"/>
                <w:lang w:val="en-US" w:eastAsia="zh-CN"/>
              </w:rPr>
            </w:pPr>
            <w:r>
              <w:rPr>
                <w:rFonts w:hint="eastAsia"/>
                <w:kern w:val="2"/>
                <w:szCs w:val="21"/>
                <w:lang w:val="en-US" w:eastAsia="zh-CN"/>
              </w:rPr>
              <w:t>食堂</w:t>
            </w:r>
          </w:p>
        </w:tc>
        <w:tc>
          <w:tcPr>
            <w:tcW w:w="2848" w:type="dxa"/>
            <w:gridSpan w:val="2"/>
            <w:vAlign w:val="center"/>
          </w:tcPr>
          <w:p>
            <w:pPr>
              <w:pStyle w:val="26"/>
              <w:rPr>
                <w:kern w:val="2"/>
                <w:szCs w:val="21"/>
                <w:lang w:val="en-US" w:eastAsia="zh-CN"/>
              </w:rPr>
            </w:pPr>
            <w:r>
              <w:rPr>
                <w:rFonts w:hint="eastAsia"/>
                <w:kern w:val="2"/>
                <w:szCs w:val="21"/>
                <w:lang w:val="en-US" w:eastAsia="zh-CN"/>
              </w:rPr>
              <w:t>油烟废气</w:t>
            </w:r>
            <w:r>
              <w:rPr>
                <w:kern w:val="2"/>
                <w:szCs w:val="21"/>
                <w:lang w:val="en-US" w:eastAsia="zh-CN"/>
              </w:rPr>
              <w:t>(t/a)</w:t>
            </w:r>
          </w:p>
        </w:tc>
        <w:tc>
          <w:tcPr>
            <w:tcW w:w="1376" w:type="dxa"/>
            <w:vAlign w:val="center"/>
          </w:tcPr>
          <w:p>
            <w:pPr>
              <w:pStyle w:val="26"/>
              <w:rPr>
                <w:kern w:val="2"/>
                <w:szCs w:val="21"/>
                <w:lang w:val="en-US" w:eastAsia="zh-CN"/>
              </w:rPr>
            </w:pPr>
            <w:r>
              <w:rPr>
                <w:rFonts w:hint="eastAsia"/>
                <w:kern w:val="2"/>
                <w:szCs w:val="21"/>
                <w:lang w:val="en-US" w:eastAsia="zh-CN"/>
              </w:rPr>
              <w:t>1.05</w:t>
            </w:r>
          </w:p>
        </w:tc>
        <w:tc>
          <w:tcPr>
            <w:tcW w:w="1462" w:type="dxa"/>
            <w:vAlign w:val="center"/>
          </w:tcPr>
          <w:p>
            <w:pPr>
              <w:pStyle w:val="26"/>
              <w:rPr>
                <w:kern w:val="2"/>
                <w:szCs w:val="21"/>
                <w:lang w:val="en-US" w:eastAsia="zh-CN"/>
              </w:rPr>
            </w:pPr>
            <w:r>
              <w:rPr>
                <w:kern w:val="2"/>
                <w:szCs w:val="21"/>
                <w:lang w:val="en-US" w:eastAsia="zh-CN"/>
              </w:rPr>
              <w:t>0.</w:t>
            </w:r>
            <w:r>
              <w:rPr>
                <w:rFonts w:hint="eastAsia"/>
                <w:kern w:val="2"/>
                <w:szCs w:val="21"/>
                <w:lang w:val="en-US" w:eastAsia="zh-CN"/>
              </w:rPr>
              <w:t>1</w:t>
            </w:r>
            <w:r>
              <w:rPr>
                <w:kern w:val="2"/>
                <w:szCs w:val="21"/>
                <w:lang w:val="en-US" w:eastAsia="zh-CN"/>
              </w:rPr>
              <w:t>26</w:t>
            </w:r>
          </w:p>
        </w:tc>
        <w:tc>
          <w:tcPr>
            <w:tcW w:w="1451" w:type="dxa"/>
            <w:vAlign w:val="center"/>
          </w:tcPr>
          <w:p>
            <w:pPr>
              <w:pStyle w:val="26"/>
              <w:rPr>
                <w:kern w:val="2"/>
                <w:szCs w:val="21"/>
                <w:lang w:val="en-US" w:eastAsia="zh-CN"/>
              </w:rPr>
            </w:pPr>
            <w:r>
              <w:rPr>
                <w:kern w:val="2"/>
                <w:szCs w:val="21"/>
                <w:lang w:val="en-US" w:eastAsia="zh-CN"/>
              </w:rPr>
              <w:t>-0.</w:t>
            </w:r>
            <w:r>
              <w:rPr>
                <w:rFonts w:hint="eastAsia"/>
                <w:kern w:val="2"/>
                <w:szCs w:val="21"/>
                <w:lang w:val="en-US" w:eastAsia="zh-CN"/>
              </w:rPr>
              <w:t>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4352" w:type="dxa"/>
            <w:gridSpan w:val="3"/>
            <w:vAlign w:val="center"/>
          </w:tcPr>
          <w:p>
            <w:pPr>
              <w:pStyle w:val="26"/>
              <w:rPr>
                <w:kern w:val="2"/>
                <w:szCs w:val="21"/>
                <w:lang w:val="en-US" w:eastAsia="zh-CN"/>
              </w:rPr>
            </w:pPr>
            <w:r>
              <w:rPr>
                <w:kern w:val="2"/>
                <w:szCs w:val="21"/>
                <w:lang w:val="en-US" w:eastAsia="zh-CN"/>
              </w:rPr>
              <w:t>VOCS(t/a)</w:t>
            </w:r>
          </w:p>
        </w:tc>
        <w:tc>
          <w:tcPr>
            <w:tcW w:w="1376" w:type="dxa"/>
            <w:vAlign w:val="center"/>
          </w:tcPr>
          <w:p>
            <w:pPr>
              <w:pStyle w:val="26"/>
              <w:rPr>
                <w:kern w:val="2"/>
                <w:szCs w:val="21"/>
                <w:lang w:val="en-US" w:eastAsia="zh-CN"/>
              </w:rPr>
            </w:pPr>
            <w:r>
              <w:rPr>
                <w:kern w:val="2"/>
                <w:szCs w:val="21"/>
                <w:lang w:val="en-US" w:eastAsia="zh-CN"/>
              </w:rPr>
              <w:t>8.</w:t>
            </w:r>
            <w:r>
              <w:rPr>
                <w:rFonts w:hint="eastAsia"/>
                <w:kern w:val="2"/>
                <w:szCs w:val="21"/>
                <w:lang w:val="en-US" w:eastAsia="zh-CN"/>
              </w:rPr>
              <w:t>1</w:t>
            </w:r>
          </w:p>
        </w:tc>
        <w:tc>
          <w:tcPr>
            <w:tcW w:w="1462" w:type="dxa"/>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655</w:t>
            </w:r>
          </w:p>
        </w:tc>
        <w:tc>
          <w:tcPr>
            <w:tcW w:w="1451" w:type="dxa"/>
            <w:vAlign w:val="center"/>
          </w:tcPr>
          <w:p>
            <w:pPr>
              <w:pStyle w:val="26"/>
              <w:rPr>
                <w:kern w:val="2"/>
                <w:szCs w:val="21"/>
                <w:lang w:val="en-US" w:eastAsia="zh-CN"/>
              </w:rPr>
            </w:pPr>
            <w:r>
              <w:rPr>
                <w:kern w:val="2"/>
                <w:szCs w:val="21"/>
                <w:lang w:val="en-US" w:eastAsia="zh-CN"/>
              </w:rPr>
              <w:t>-</w:t>
            </w:r>
            <w:r>
              <w:rPr>
                <w:rFonts w:hint="eastAsia"/>
                <w:kern w:val="2"/>
                <w:szCs w:val="21"/>
                <w:lang w:val="en-US" w:eastAsia="zh-CN"/>
              </w:rPr>
              <w:t>6.445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restart"/>
            <w:vAlign w:val="center"/>
          </w:tcPr>
          <w:p>
            <w:pPr>
              <w:pStyle w:val="26"/>
              <w:rPr>
                <w:kern w:val="2"/>
                <w:szCs w:val="21"/>
                <w:lang w:val="en-US" w:eastAsia="zh-CN"/>
              </w:rPr>
            </w:pPr>
            <w:r>
              <w:rPr>
                <w:rFonts w:hint="eastAsia"/>
                <w:kern w:val="2"/>
                <w:szCs w:val="21"/>
                <w:lang w:val="en-US" w:eastAsia="zh-CN"/>
              </w:rPr>
              <w:t>水污</w:t>
            </w:r>
          </w:p>
          <w:p>
            <w:pPr>
              <w:pStyle w:val="26"/>
              <w:rPr>
                <w:kern w:val="2"/>
                <w:szCs w:val="21"/>
                <w:lang w:val="en-US" w:eastAsia="zh-CN"/>
              </w:rPr>
            </w:pPr>
            <w:r>
              <w:rPr>
                <w:rFonts w:hint="eastAsia"/>
                <w:kern w:val="2"/>
                <w:szCs w:val="21"/>
                <w:lang w:val="en-US" w:eastAsia="zh-CN"/>
              </w:rPr>
              <w:t>染物</w:t>
            </w:r>
          </w:p>
        </w:tc>
        <w:tc>
          <w:tcPr>
            <w:tcW w:w="1504" w:type="dxa"/>
            <w:vMerge w:val="restart"/>
            <w:vAlign w:val="center"/>
          </w:tcPr>
          <w:p>
            <w:pPr>
              <w:pStyle w:val="26"/>
              <w:rPr>
                <w:kern w:val="2"/>
                <w:szCs w:val="21"/>
                <w:lang w:val="en-US" w:eastAsia="zh-CN"/>
              </w:rPr>
            </w:pPr>
            <w:r>
              <w:rPr>
                <w:rFonts w:hint="eastAsia"/>
                <w:kern w:val="2"/>
                <w:szCs w:val="21"/>
                <w:lang w:val="en-US" w:eastAsia="zh-CN"/>
              </w:rPr>
              <w:t>综合废水</w:t>
            </w:r>
          </w:p>
        </w:tc>
        <w:tc>
          <w:tcPr>
            <w:tcW w:w="1229" w:type="dxa"/>
            <w:vMerge w:val="restart"/>
            <w:vAlign w:val="center"/>
          </w:tcPr>
          <w:p>
            <w:pPr>
              <w:pStyle w:val="26"/>
              <w:rPr>
                <w:kern w:val="2"/>
                <w:szCs w:val="21"/>
                <w:lang w:val="en-US" w:eastAsia="zh-CN"/>
              </w:rPr>
            </w:pPr>
            <w:r>
              <w:rPr>
                <w:rFonts w:hint="eastAsia"/>
                <w:kern w:val="2"/>
                <w:szCs w:val="21"/>
                <w:lang w:val="en-US" w:eastAsia="zh-CN"/>
              </w:rPr>
              <w:t>水量</w:t>
            </w:r>
          </w:p>
        </w:tc>
        <w:tc>
          <w:tcPr>
            <w:tcW w:w="1619" w:type="dxa"/>
            <w:vAlign w:val="center"/>
          </w:tcPr>
          <w:p>
            <w:pPr>
              <w:pStyle w:val="26"/>
              <w:rPr>
                <w:kern w:val="2"/>
                <w:szCs w:val="21"/>
                <w:lang w:val="en-US" w:eastAsia="zh-CN"/>
              </w:rPr>
            </w:pPr>
            <w:r>
              <w:rPr>
                <w:kern w:val="2"/>
                <w:szCs w:val="21"/>
                <w:lang w:val="en-US" w:eastAsia="zh-CN"/>
              </w:rPr>
              <w:t>t/d</w:t>
            </w:r>
          </w:p>
        </w:tc>
        <w:tc>
          <w:tcPr>
            <w:tcW w:w="1376" w:type="dxa"/>
            <w:vAlign w:val="center"/>
          </w:tcPr>
          <w:p>
            <w:pPr>
              <w:pStyle w:val="26"/>
              <w:rPr>
                <w:kern w:val="2"/>
                <w:szCs w:val="21"/>
                <w:lang w:val="en-US" w:eastAsia="zh-CN"/>
              </w:rPr>
            </w:pPr>
            <w:r>
              <w:rPr>
                <w:rFonts w:hint="eastAsia"/>
                <w:kern w:val="2"/>
                <w:szCs w:val="21"/>
                <w:lang w:val="en-US" w:eastAsia="zh-CN"/>
              </w:rPr>
              <w:t>1065.9</w:t>
            </w:r>
          </w:p>
        </w:tc>
        <w:tc>
          <w:tcPr>
            <w:tcW w:w="1462" w:type="dxa"/>
            <w:vAlign w:val="center"/>
          </w:tcPr>
          <w:p>
            <w:pPr>
              <w:pStyle w:val="26"/>
              <w:ind w:firstLine="0" w:firstLineChars="0"/>
              <w:rPr>
                <w:kern w:val="2"/>
                <w:szCs w:val="21"/>
                <w:lang w:val="en-US" w:eastAsia="zh-CN"/>
              </w:rPr>
            </w:pPr>
            <w:r>
              <w:rPr>
                <w:rFonts w:hint="eastAsia"/>
                <w:kern w:val="2"/>
                <w:szCs w:val="21"/>
                <w:lang w:val="en-US" w:eastAsia="zh-CN"/>
              </w:rPr>
              <w:t>659.8</w:t>
            </w:r>
          </w:p>
        </w:tc>
        <w:tc>
          <w:tcPr>
            <w:tcW w:w="1451" w:type="dxa"/>
            <w:vAlign w:val="center"/>
          </w:tcPr>
          <w:p>
            <w:pPr>
              <w:pStyle w:val="26"/>
              <w:rPr>
                <w:kern w:val="2"/>
                <w:szCs w:val="21"/>
                <w:lang w:val="en-US" w:eastAsia="zh-CN"/>
              </w:rPr>
            </w:pPr>
            <w:r>
              <w:rPr>
                <w:kern w:val="2"/>
                <w:szCs w:val="21"/>
                <w:lang w:val="en-US" w:eastAsia="zh-CN"/>
              </w:rPr>
              <w:t>-</w:t>
            </w:r>
            <w:r>
              <w:rPr>
                <w:rFonts w:hint="eastAsia"/>
                <w:kern w:val="2"/>
                <w:szCs w:val="21"/>
                <w:lang w:val="en-US" w:eastAsia="zh-CN"/>
              </w:rPr>
              <w:t>406.1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1229" w:type="dxa"/>
            <w:vMerge w:val="continue"/>
            <w:vAlign w:val="center"/>
          </w:tcPr>
          <w:p>
            <w:pPr>
              <w:pStyle w:val="26"/>
              <w:rPr>
                <w:kern w:val="2"/>
                <w:szCs w:val="21"/>
                <w:lang w:val="en-US" w:eastAsia="zh-CN"/>
              </w:rPr>
            </w:pPr>
          </w:p>
        </w:tc>
        <w:tc>
          <w:tcPr>
            <w:tcW w:w="1619" w:type="dxa"/>
            <w:vAlign w:val="center"/>
          </w:tcPr>
          <w:p>
            <w:pPr>
              <w:pStyle w:val="26"/>
              <w:rPr>
                <w:kern w:val="2"/>
                <w:szCs w:val="21"/>
                <w:lang w:val="en-US" w:eastAsia="zh-CN"/>
              </w:rPr>
            </w:pPr>
            <w:r>
              <w:rPr>
                <w:rFonts w:hint="eastAsia"/>
                <w:kern w:val="2"/>
                <w:szCs w:val="21"/>
                <w:lang w:val="en-US" w:eastAsia="zh-CN"/>
              </w:rPr>
              <w:t>万</w:t>
            </w:r>
            <w:r>
              <w:rPr>
                <w:kern w:val="2"/>
                <w:szCs w:val="21"/>
                <w:lang w:val="en-US" w:eastAsia="zh-CN"/>
              </w:rPr>
              <w:t>t/a</w:t>
            </w:r>
          </w:p>
        </w:tc>
        <w:tc>
          <w:tcPr>
            <w:tcW w:w="1376" w:type="dxa"/>
            <w:vAlign w:val="center"/>
          </w:tcPr>
          <w:p>
            <w:pPr>
              <w:pStyle w:val="26"/>
              <w:rPr>
                <w:kern w:val="2"/>
                <w:szCs w:val="21"/>
                <w:lang w:val="en-US" w:eastAsia="zh-CN"/>
              </w:rPr>
            </w:pPr>
            <w:r>
              <w:rPr>
                <w:rFonts w:hint="eastAsia"/>
                <w:kern w:val="2"/>
                <w:szCs w:val="21"/>
                <w:lang w:val="en-US" w:eastAsia="zh-CN"/>
              </w:rPr>
              <w:t>31.977</w:t>
            </w:r>
          </w:p>
        </w:tc>
        <w:tc>
          <w:tcPr>
            <w:tcW w:w="1462" w:type="dxa"/>
            <w:vAlign w:val="center"/>
          </w:tcPr>
          <w:p>
            <w:pPr>
              <w:pStyle w:val="26"/>
              <w:ind w:firstLine="0" w:firstLineChars="0"/>
              <w:rPr>
                <w:kern w:val="2"/>
                <w:szCs w:val="21"/>
                <w:lang w:val="en-US" w:eastAsia="zh-CN"/>
              </w:rPr>
            </w:pPr>
            <w:r>
              <w:rPr>
                <w:rFonts w:hint="eastAsia"/>
                <w:kern w:val="2"/>
                <w:szCs w:val="21"/>
                <w:lang w:val="en-US" w:eastAsia="zh-CN"/>
              </w:rPr>
              <w:t>19.794</w:t>
            </w:r>
          </w:p>
        </w:tc>
        <w:tc>
          <w:tcPr>
            <w:tcW w:w="1451" w:type="dxa"/>
            <w:vAlign w:val="center"/>
          </w:tcPr>
          <w:p>
            <w:pPr>
              <w:pStyle w:val="26"/>
              <w:rPr>
                <w:kern w:val="2"/>
                <w:szCs w:val="21"/>
                <w:lang w:val="en-US" w:eastAsia="zh-CN"/>
              </w:rPr>
            </w:pPr>
            <w:r>
              <w:rPr>
                <w:kern w:val="2"/>
                <w:szCs w:val="21"/>
                <w:lang w:val="en-US" w:eastAsia="zh-CN"/>
              </w:rPr>
              <w:t>-</w:t>
            </w:r>
            <w:r>
              <w:rPr>
                <w:rFonts w:hint="eastAsia"/>
                <w:kern w:val="2"/>
                <w:szCs w:val="21"/>
                <w:lang w:val="en-US" w:eastAsia="zh-CN"/>
              </w:rPr>
              <w:t>12.183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1229" w:type="dxa"/>
            <w:vMerge w:val="restart"/>
            <w:vAlign w:val="center"/>
          </w:tcPr>
          <w:p>
            <w:pPr>
              <w:pStyle w:val="26"/>
              <w:spacing w:line="240" w:lineRule="auto"/>
              <w:rPr>
                <w:kern w:val="2"/>
                <w:szCs w:val="21"/>
                <w:lang w:val="en-US" w:eastAsia="zh-CN"/>
              </w:rPr>
            </w:pPr>
            <w:r>
              <w:rPr>
                <w:rFonts w:hint="eastAsia"/>
                <w:kern w:val="2"/>
                <w:szCs w:val="21"/>
                <w:lang w:val="en-US" w:eastAsia="zh-CN"/>
              </w:rPr>
              <w:t>排入接纳管网</w:t>
            </w:r>
            <w:r>
              <w:rPr>
                <w:kern w:val="2"/>
                <w:szCs w:val="21"/>
                <w:lang w:val="en-US" w:eastAsia="zh-CN"/>
              </w:rPr>
              <w:t>CODcr</w:t>
            </w:r>
          </w:p>
        </w:tc>
        <w:tc>
          <w:tcPr>
            <w:tcW w:w="1619" w:type="dxa"/>
            <w:vAlign w:val="center"/>
          </w:tcPr>
          <w:p>
            <w:pPr>
              <w:pStyle w:val="26"/>
              <w:rPr>
                <w:kern w:val="2"/>
                <w:szCs w:val="21"/>
                <w:lang w:val="en-US" w:eastAsia="zh-CN"/>
              </w:rPr>
            </w:pPr>
            <w:r>
              <w:rPr>
                <w:kern w:val="2"/>
                <w:szCs w:val="21"/>
                <w:lang w:val="en-US" w:eastAsia="zh-CN"/>
              </w:rPr>
              <w:t>mg/L</w:t>
            </w:r>
          </w:p>
        </w:tc>
        <w:tc>
          <w:tcPr>
            <w:tcW w:w="1376" w:type="dxa"/>
            <w:vAlign w:val="center"/>
          </w:tcPr>
          <w:p>
            <w:pPr>
              <w:pStyle w:val="26"/>
              <w:ind w:firstLine="0" w:firstLineChars="0"/>
              <w:rPr>
                <w:kern w:val="2"/>
                <w:szCs w:val="21"/>
                <w:lang w:val="en-US" w:eastAsia="zh-CN"/>
              </w:rPr>
            </w:pPr>
            <w:r>
              <w:rPr>
                <w:rFonts w:hint="eastAsia"/>
                <w:kern w:val="2"/>
                <w:szCs w:val="21"/>
                <w:lang w:val="en-US" w:eastAsia="zh-CN"/>
              </w:rPr>
              <w:t>181</w:t>
            </w:r>
          </w:p>
        </w:tc>
        <w:tc>
          <w:tcPr>
            <w:tcW w:w="1462" w:type="dxa"/>
            <w:vAlign w:val="center"/>
          </w:tcPr>
          <w:p>
            <w:pPr>
              <w:pStyle w:val="26"/>
              <w:ind w:firstLine="0" w:firstLineChars="0"/>
              <w:rPr>
                <w:kern w:val="2"/>
                <w:szCs w:val="21"/>
                <w:lang w:val="en-US" w:eastAsia="zh-CN"/>
              </w:rPr>
            </w:pPr>
            <w:r>
              <w:rPr>
                <w:kern w:val="2"/>
                <w:szCs w:val="21"/>
                <w:lang w:val="en-US" w:eastAsia="zh-CN"/>
              </w:rPr>
              <w:t>190</w:t>
            </w:r>
          </w:p>
        </w:tc>
        <w:tc>
          <w:tcPr>
            <w:tcW w:w="1451"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1229" w:type="dxa"/>
            <w:vMerge w:val="continue"/>
            <w:vAlign w:val="center"/>
          </w:tcPr>
          <w:p>
            <w:pPr>
              <w:pStyle w:val="26"/>
              <w:spacing w:line="240" w:lineRule="auto"/>
              <w:rPr>
                <w:kern w:val="2"/>
                <w:szCs w:val="21"/>
                <w:lang w:val="en-US" w:eastAsia="zh-CN"/>
              </w:rPr>
            </w:pPr>
          </w:p>
        </w:tc>
        <w:tc>
          <w:tcPr>
            <w:tcW w:w="1619" w:type="dxa"/>
            <w:vAlign w:val="center"/>
          </w:tcPr>
          <w:p>
            <w:pPr>
              <w:pStyle w:val="26"/>
              <w:rPr>
                <w:kern w:val="2"/>
                <w:szCs w:val="21"/>
                <w:lang w:val="en-US" w:eastAsia="zh-CN"/>
              </w:rPr>
            </w:pPr>
            <w:r>
              <w:rPr>
                <w:kern w:val="2"/>
                <w:szCs w:val="21"/>
                <w:lang w:val="en-US" w:eastAsia="zh-CN"/>
              </w:rPr>
              <w:t>t/a</w:t>
            </w:r>
          </w:p>
        </w:tc>
        <w:tc>
          <w:tcPr>
            <w:tcW w:w="1376" w:type="dxa"/>
            <w:vAlign w:val="center"/>
          </w:tcPr>
          <w:p>
            <w:pPr>
              <w:pStyle w:val="26"/>
              <w:ind w:firstLine="0" w:firstLineChars="0"/>
              <w:rPr>
                <w:kern w:val="2"/>
                <w:szCs w:val="21"/>
                <w:lang w:val="en-US" w:eastAsia="zh-CN"/>
              </w:rPr>
            </w:pPr>
            <w:r>
              <w:rPr>
                <w:rFonts w:hint="eastAsia"/>
                <w:kern w:val="2"/>
                <w:szCs w:val="21"/>
                <w:lang w:val="en-US" w:eastAsia="zh-CN"/>
              </w:rPr>
              <w:t>57.878</w:t>
            </w:r>
          </w:p>
        </w:tc>
        <w:tc>
          <w:tcPr>
            <w:tcW w:w="1462" w:type="dxa"/>
            <w:vAlign w:val="center"/>
          </w:tcPr>
          <w:p>
            <w:pPr>
              <w:pStyle w:val="26"/>
              <w:ind w:firstLine="0" w:firstLineChars="0"/>
              <w:rPr>
                <w:kern w:val="2"/>
                <w:szCs w:val="21"/>
                <w:lang w:val="en-US" w:eastAsia="zh-CN"/>
              </w:rPr>
            </w:pPr>
            <w:r>
              <w:rPr>
                <w:rFonts w:hint="eastAsia"/>
                <w:kern w:val="2"/>
                <w:szCs w:val="21"/>
                <w:lang w:val="en-US" w:eastAsia="zh-CN"/>
              </w:rPr>
              <w:t>37.609</w:t>
            </w:r>
          </w:p>
        </w:tc>
        <w:tc>
          <w:tcPr>
            <w:tcW w:w="1451" w:type="dxa"/>
            <w:vAlign w:val="center"/>
          </w:tcPr>
          <w:p>
            <w:pPr>
              <w:pStyle w:val="26"/>
              <w:rPr>
                <w:kern w:val="2"/>
                <w:szCs w:val="21"/>
                <w:lang w:val="en-US" w:eastAsia="zh-CN"/>
              </w:rPr>
            </w:pPr>
            <w:r>
              <w:rPr>
                <w:kern w:val="2"/>
                <w:szCs w:val="21"/>
                <w:lang w:val="en-US" w:eastAsia="zh-CN"/>
              </w:rPr>
              <w:t>-</w:t>
            </w:r>
            <w:r>
              <w:rPr>
                <w:rFonts w:hint="eastAsia"/>
                <w:kern w:val="2"/>
                <w:szCs w:val="21"/>
                <w:lang w:val="en-US" w:eastAsia="zh-CN"/>
              </w:rPr>
              <w:t>20.269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1229" w:type="dxa"/>
            <w:vMerge w:val="restart"/>
            <w:vAlign w:val="center"/>
          </w:tcPr>
          <w:p>
            <w:pPr>
              <w:pStyle w:val="26"/>
              <w:spacing w:line="240" w:lineRule="auto"/>
              <w:rPr>
                <w:kern w:val="2"/>
                <w:szCs w:val="21"/>
                <w:lang w:val="en-US" w:eastAsia="zh-CN"/>
              </w:rPr>
            </w:pPr>
            <w:r>
              <w:rPr>
                <w:rFonts w:hint="eastAsia"/>
                <w:kern w:val="2"/>
                <w:szCs w:val="21"/>
                <w:lang w:val="en-US" w:eastAsia="zh-CN"/>
              </w:rPr>
              <w:t>排入接纳管网</w:t>
            </w:r>
            <w:r>
              <w:rPr>
                <w:kern w:val="2"/>
                <w:szCs w:val="21"/>
                <w:lang w:val="en-US" w:eastAsia="zh-CN"/>
              </w:rPr>
              <w:t>NH</w:t>
            </w:r>
            <w:r>
              <w:rPr>
                <w:kern w:val="2"/>
                <w:szCs w:val="21"/>
                <w:vertAlign w:val="subscript"/>
                <w:lang w:val="en-US" w:eastAsia="zh-CN"/>
              </w:rPr>
              <w:t>3</w:t>
            </w:r>
            <w:r>
              <w:rPr>
                <w:kern w:val="2"/>
                <w:szCs w:val="21"/>
                <w:lang w:val="en-US" w:eastAsia="zh-CN"/>
              </w:rPr>
              <w:t>-N</w:t>
            </w:r>
          </w:p>
        </w:tc>
        <w:tc>
          <w:tcPr>
            <w:tcW w:w="1619" w:type="dxa"/>
            <w:vAlign w:val="center"/>
          </w:tcPr>
          <w:p>
            <w:pPr>
              <w:pStyle w:val="26"/>
              <w:rPr>
                <w:kern w:val="2"/>
                <w:szCs w:val="21"/>
                <w:lang w:val="en-US" w:eastAsia="zh-CN"/>
              </w:rPr>
            </w:pPr>
            <w:r>
              <w:rPr>
                <w:kern w:val="2"/>
                <w:szCs w:val="21"/>
                <w:lang w:val="en-US" w:eastAsia="zh-CN"/>
              </w:rPr>
              <w:t>mg/L</w:t>
            </w:r>
          </w:p>
        </w:tc>
        <w:tc>
          <w:tcPr>
            <w:tcW w:w="1376" w:type="dxa"/>
            <w:vAlign w:val="center"/>
          </w:tcPr>
          <w:p>
            <w:pPr>
              <w:pStyle w:val="26"/>
              <w:ind w:firstLine="0" w:firstLineChars="0"/>
              <w:rPr>
                <w:kern w:val="2"/>
                <w:szCs w:val="21"/>
                <w:lang w:val="en-US" w:eastAsia="zh-CN"/>
              </w:rPr>
            </w:pPr>
            <w:r>
              <w:rPr>
                <w:rFonts w:hint="eastAsia"/>
                <w:kern w:val="2"/>
                <w:szCs w:val="21"/>
                <w:lang w:val="en-US" w:eastAsia="zh-CN"/>
              </w:rPr>
              <w:t>13.43</w:t>
            </w:r>
          </w:p>
        </w:tc>
        <w:tc>
          <w:tcPr>
            <w:tcW w:w="1462" w:type="dxa"/>
            <w:vAlign w:val="center"/>
          </w:tcPr>
          <w:p>
            <w:pPr>
              <w:pStyle w:val="26"/>
              <w:ind w:firstLine="0" w:firstLineChars="0"/>
              <w:rPr>
                <w:kern w:val="2"/>
                <w:szCs w:val="21"/>
                <w:lang w:val="en-US" w:eastAsia="zh-CN"/>
              </w:rPr>
            </w:pPr>
            <w:r>
              <w:rPr>
                <w:kern w:val="2"/>
                <w:szCs w:val="21"/>
                <w:lang w:val="en-US" w:eastAsia="zh-CN"/>
              </w:rPr>
              <w:t>14</w:t>
            </w:r>
          </w:p>
        </w:tc>
        <w:tc>
          <w:tcPr>
            <w:tcW w:w="1451"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1229" w:type="dxa"/>
            <w:vMerge w:val="continue"/>
            <w:vAlign w:val="center"/>
          </w:tcPr>
          <w:p>
            <w:pPr>
              <w:pStyle w:val="26"/>
              <w:spacing w:line="240" w:lineRule="auto"/>
              <w:rPr>
                <w:kern w:val="2"/>
                <w:szCs w:val="21"/>
                <w:lang w:val="en-US" w:eastAsia="zh-CN"/>
              </w:rPr>
            </w:pPr>
          </w:p>
        </w:tc>
        <w:tc>
          <w:tcPr>
            <w:tcW w:w="1619" w:type="dxa"/>
            <w:vAlign w:val="center"/>
          </w:tcPr>
          <w:p>
            <w:pPr>
              <w:pStyle w:val="26"/>
              <w:rPr>
                <w:kern w:val="2"/>
                <w:szCs w:val="21"/>
                <w:lang w:val="en-US" w:eastAsia="zh-CN"/>
              </w:rPr>
            </w:pPr>
            <w:r>
              <w:rPr>
                <w:kern w:val="2"/>
                <w:szCs w:val="21"/>
                <w:lang w:val="en-US" w:eastAsia="zh-CN"/>
              </w:rPr>
              <w:t>t/a</w:t>
            </w:r>
          </w:p>
        </w:tc>
        <w:tc>
          <w:tcPr>
            <w:tcW w:w="1376" w:type="dxa"/>
            <w:vAlign w:val="center"/>
          </w:tcPr>
          <w:p>
            <w:pPr>
              <w:pStyle w:val="26"/>
              <w:ind w:firstLine="0" w:firstLineChars="0"/>
              <w:rPr>
                <w:kern w:val="2"/>
                <w:szCs w:val="21"/>
                <w:lang w:val="en-US" w:eastAsia="zh-CN"/>
              </w:rPr>
            </w:pPr>
            <w:r>
              <w:rPr>
                <w:rFonts w:hint="eastAsia"/>
                <w:kern w:val="2"/>
                <w:szCs w:val="21"/>
                <w:lang w:val="en-US" w:eastAsia="zh-CN"/>
              </w:rPr>
              <w:t>4.295</w:t>
            </w:r>
          </w:p>
        </w:tc>
        <w:tc>
          <w:tcPr>
            <w:tcW w:w="1462" w:type="dxa"/>
            <w:vAlign w:val="center"/>
          </w:tcPr>
          <w:p>
            <w:pPr>
              <w:pStyle w:val="26"/>
              <w:ind w:firstLine="0" w:firstLineChars="0"/>
              <w:rPr>
                <w:kern w:val="2"/>
                <w:szCs w:val="21"/>
                <w:lang w:val="en-US" w:eastAsia="zh-CN"/>
              </w:rPr>
            </w:pPr>
            <w:r>
              <w:rPr>
                <w:rFonts w:hint="eastAsia"/>
                <w:kern w:val="2"/>
                <w:szCs w:val="21"/>
                <w:lang w:val="en-US" w:eastAsia="zh-CN"/>
              </w:rPr>
              <w:t>2.771</w:t>
            </w:r>
          </w:p>
        </w:tc>
        <w:tc>
          <w:tcPr>
            <w:tcW w:w="1451" w:type="dxa"/>
            <w:vAlign w:val="center"/>
          </w:tcPr>
          <w:p>
            <w:pPr>
              <w:pStyle w:val="26"/>
              <w:rPr>
                <w:kern w:val="2"/>
                <w:szCs w:val="21"/>
                <w:lang w:val="en-US" w:eastAsia="zh-CN"/>
              </w:rPr>
            </w:pPr>
            <w:r>
              <w:rPr>
                <w:kern w:val="2"/>
                <w:szCs w:val="21"/>
                <w:lang w:val="en-US" w:eastAsia="zh-CN"/>
              </w:rPr>
              <w:t>-</w:t>
            </w:r>
            <w:r>
              <w:rPr>
                <w:rFonts w:hint="eastAsia"/>
                <w:kern w:val="2"/>
                <w:szCs w:val="21"/>
                <w:lang w:val="en-US" w:eastAsia="zh-CN"/>
              </w:rPr>
              <w:t>1.524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1229" w:type="dxa"/>
            <w:vMerge w:val="restart"/>
            <w:vAlign w:val="center"/>
          </w:tcPr>
          <w:p>
            <w:pPr>
              <w:pStyle w:val="26"/>
              <w:spacing w:line="240" w:lineRule="auto"/>
              <w:rPr>
                <w:kern w:val="2"/>
                <w:szCs w:val="21"/>
                <w:lang w:val="en-US" w:eastAsia="zh-CN"/>
              </w:rPr>
            </w:pPr>
            <w:r>
              <w:rPr>
                <w:rFonts w:hint="eastAsia"/>
                <w:kern w:val="2"/>
                <w:szCs w:val="21"/>
                <w:lang w:val="en-US" w:eastAsia="zh-CN"/>
              </w:rPr>
              <w:t>排入环境</w:t>
            </w:r>
            <w:r>
              <w:rPr>
                <w:kern w:val="2"/>
                <w:szCs w:val="21"/>
                <w:lang w:val="en-US" w:eastAsia="zh-CN"/>
              </w:rPr>
              <w:t>CODcr</w:t>
            </w:r>
          </w:p>
        </w:tc>
        <w:tc>
          <w:tcPr>
            <w:tcW w:w="1619" w:type="dxa"/>
            <w:vAlign w:val="center"/>
          </w:tcPr>
          <w:p>
            <w:pPr>
              <w:pStyle w:val="26"/>
              <w:rPr>
                <w:kern w:val="2"/>
                <w:szCs w:val="21"/>
                <w:lang w:val="en-US" w:eastAsia="zh-CN"/>
              </w:rPr>
            </w:pPr>
            <w:r>
              <w:rPr>
                <w:kern w:val="2"/>
                <w:szCs w:val="21"/>
                <w:lang w:val="en-US" w:eastAsia="zh-CN"/>
              </w:rPr>
              <w:t>mg/L</w:t>
            </w:r>
          </w:p>
        </w:tc>
        <w:tc>
          <w:tcPr>
            <w:tcW w:w="1376" w:type="dxa"/>
            <w:vAlign w:val="center"/>
          </w:tcPr>
          <w:p>
            <w:pPr>
              <w:pStyle w:val="26"/>
              <w:ind w:firstLine="0" w:firstLineChars="0"/>
              <w:rPr>
                <w:kern w:val="2"/>
                <w:szCs w:val="21"/>
                <w:lang w:val="en-US" w:eastAsia="zh-CN"/>
              </w:rPr>
            </w:pPr>
            <w:r>
              <w:rPr>
                <w:rFonts w:hint="eastAsia"/>
                <w:kern w:val="2"/>
                <w:szCs w:val="21"/>
                <w:lang w:val="en-US" w:eastAsia="zh-CN"/>
              </w:rPr>
              <w:t>181</w:t>
            </w:r>
          </w:p>
        </w:tc>
        <w:tc>
          <w:tcPr>
            <w:tcW w:w="1462" w:type="dxa"/>
            <w:vAlign w:val="center"/>
          </w:tcPr>
          <w:p>
            <w:pPr>
              <w:pStyle w:val="26"/>
              <w:ind w:firstLine="0" w:firstLineChars="0"/>
              <w:rPr>
                <w:kern w:val="2"/>
                <w:szCs w:val="21"/>
                <w:lang w:val="en-US" w:eastAsia="zh-CN"/>
              </w:rPr>
            </w:pPr>
            <w:r>
              <w:rPr>
                <w:kern w:val="2"/>
                <w:szCs w:val="21"/>
                <w:lang w:val="en-US" w:eastAsia="zh-CN"/>
              </w:rPr>
              <w:t>50</w:t>
            </w:r>
          </w:p>
        </w:tc>
        <w:tc>
          <w:tcPr>
            <w:tcW w:w="1451"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1229" w:type="dxa"/>
            <w:vMerge w:val="continue"/>
            <w:vAlign w:val="center"/>
          </w:tcPr>
          <w:p>
            <w:pPr>
              <w:pStyle w:val="26"/>
              <w:spacing w:line="240" w:lineRule="auto"/>
              <w:rPr>
                <w:kern w:val="2"/>
                <w:szCs w:val="21"/>
                <w:lang w:val="en-US" w:eastAsia="zh-CN"/>
              </w:rPr>
            </w:pPr>
          </w:p>
        </w:tc>
        <w:tc>
          <w:tcPr>
            <w:tcW w:w="1619" w:type="dxa"/>
            <w:vAlign w:val="center"/>
          </w:tcPr>
          <w:p>
            <w:pPr>
              <w:pStyle w:val="26"/>
              <w:rPr>
                <w:kern w:val="2"/>
                <w:szCs w:val="21"/>
                <w:lang w:val="en-US" w:eastAsia="zh-CN"/>
              </w:rPr>
            </w:pPr>
            <w:r>
              <w:rPr>
                <w:kern w:val="2"/>
                <w:szCs w:val="21"/>
                <w:lang w:val="en-US" w:eastAsia="zh-CN"/>
              </w:rPr>
              <w:t>t/a</w:t>
            </w:r>
          </w:p>
        </w:tc>
        <w:tc>
          <w:tcPr>
            <w:tcW w:w="1376" w:type="dxa"/>
            <w:vAlign w:val="center"/>
          </w:tcPr>
          <w:p>
            <w:pPr>
              <w:pStyle w:val="26"/>
              <w:ind w:firstLine="0" w:firstLineChars="0"/>
              <w:rPr>
                <w:kern w:val="2"/>
                <w:szCs w:val="21"/>
                <w:lang w:val="en-US" w:eastAsia="zh-CN"/>
              </w:rPr>
            </w:pPr>
            <w:r>
              <w:rPr>
                <w:rFonts w:hint="eastAsia"/>
                <w:kern w:val="2"/>
                <w:szCs w:val="21"/>
                <w:lang w:val="en-US" w:eastAsia="zh-CN"/>
              </w:rPr>
              <w:t>57.878</w:t>
            </w:r>
          </w:p>
        </w:tc>
        <w:tc>
          <w:tcPr>
            <w:tcW w:w="1462" w:type="dxa"/>
            <w:vAlign w:val="center"/>
          </w:tcPr>
          <w:p>
            <w:pPr>
              <w:pStyle w:val="26"/>
              <w:ind w:firstLine="0" w:firstLineChars="0"/>
              <w:rPr>
                <w:kern w:val="2"/>
                <w:szCs w:val="21"/>
                <w:lang w:val="en-US" w:eastAsia="zh-CN"/>
              </w:rPr>
            </w:pPr>
            <w:r>
              <w:rPr>
                <w:rFonts w:hint="eastAsia"/>
                <w:kern w:val="2"/>
                <w:szCs w:val="21"/>
                <w:lang w:val="en-US" w:eastAsia="zh-CN"/>
              </w:rPr>
              <w:t>9.897</w:t>
            </w:r>
          </w:p>
        </w:tc>
        <w:tc>
          <w:tcPr>
            <w:tcW w:w="1451" w:type="dxa"/>
            <w:vAlign w:val="center"/>
          </w:tcPr>
          <w:p>
            <w:pPr>
              <w:pStyle w:val="26"/>
              <w:rPr>
                <w:kern w:val="2"/>
                <w:szCs w:val="21"/>
                <w:lang w:val="en-US" w:eastAsia="zh-CN"/>
              </w:rPr>
            </w:pPr>
            <w:r>
              <w:rPr>
                <w:kern w:val="2"/>
                <w:szCs w:val="21"/>
                <w:lang w:val="en-US" w:eastAsia="zh-CN"/>
              </w:rPr>
              <w:t>-</w:t>
            </w:r>
            <w:r>
              <w:rPr>
                <w:rFonts w:hint="eastAsia"/>
                <w:kern w:val="2"/>
                <w:szCs w:val="21"/>
                <w:lang w:val="en-US" w:eastAsia="zh-CN"/>
              </w:rPr>
              <w:t>47.981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1229" w:type="dxa"/>
            <w:vMerge w:val="restart"/>
            <w:vAlign w:val="center"/>
          </w:tcPr>
          <w:p>
            <w:pPr>
              <w:pStyle w:val="26"/>
              <w:spacing w:line="240" w:lineRule="auto"/>
              <w:rPr>
                <w:kern w:val="2"/>
                <w:szCs w:val="21"/>
                <w:lang w:val="en-US" w:eastAsia="zh-CN"/>
              </w:rPr>
            </w:pPr>
            <w:r>
              <w:rPr>
                <w:rFonts w:hint="eastAsia"/>
                <w:kern w:val="2"/>
                <w:szCs w:val="21"/>
                <w:lang w:val="en-US" w:eastAsia="zh-CN"/>
              </w:rPr>
              <w:t>排入环境</w:t>
            </w:r>
            <w:r>
              <w:rPr>
                <w:kern w:val="2"/>
                <w:szCs w:val="21"/>
                <w:lang w:val="en-US" w:eastAsia="zh-CN"/>
              </w:rPr>
              <w:t>NH</w:t>
            </w:r>
            <w:r>
              <w:rPr>
                <w:kern w:val="2"/>
                <w:szCs w:val="21"/>
                <w:vertAlign w:val="subscript"/>
                <w:lang w:val="en-US" w:eastAsia="zh-CN"/>
              </w:rPr>
              <w:t>3</w:t>
            </w:r>
            <w:r>
              <w:rPr>
                <w:kern w:val="2"/>
                <w:szCs w:val="21"/>
                <w:lang w:val="en-US" w:eastAsia="zh-CN"/>
              </w:rPr>
              <w:t>-N</w:t>
            </w:r>
          </w:p>
        </w:tc>
        <w:tc>
          <w:tcPr>
            <w:tcW w:w="1619" w:type="dxa"/>
            <w:vAlign w:val="center"/>
          </w:tcPr>
          <w:p>
            <w:pPr>
              <w:pStyle w:val="26"/>
              <w:rPr>
                <w:kern w:val="2"/>
                <w:szCs w:val="21"/>
                <w:lang w:val="en-US" w:eastAsia="zh-CN"/>
              </w:rPr>
            </w:pPr>
            <w:r>
              <w:rPr>
                <w:kern w:val="2"/>
                <w:szCs w:val="21"/>
                <w:lang w:val="en-US" w:eastAsia="zh-CN"/>
              </w:rPr>
              <w:t>mg/L</w:t>
            </w:r>
          </w:p>
        </w:tc>
        <w:tc>
          <w:tcPr>
            <w:tcW w:w="1376" w:type="dxa"/>
            <w:vAlign w:val="center"/>
          </w:tcPr>
          <w:p>
            <w:pPr>
              <w:pStyle w:val="26"/>
              <w:ind w:firstLine="0" w:firstLineChars="0"/>
              <w:rPr>
                <w:kern w:val="2"/>
                <w:szCs w:val="21"/>
                <w:lang w:val="en-US" w:eastAsia="zh-CN"/>
              </w:rPr>
            </w:pPr>
            <w:r>
              <w:rPr>
                <w:rFonts w:hint="eastAsia"/>
                <w:kern w:val="2"/>
                <w:szCs w:val="21"/>
                <w:lang w:val="en-US" w:eastAsia="zh-CN"/>
              </w:rPr>
              <w:t>13.43</w:t>
            </w:r>
          </w:p>
        </w:tc>
        <w:tc>
          <w:tcPr>
            <w:tcW w:w="1462" w:type="dxa"/>
            <w:vAlign w:val="center"/>
          </w:tcPr>
          <w:p>
            <w:pPr>
              <w:pStyle w:val="26"/>
              <w:ind w:firstLine="0" w:firstLineChars="0"/>
              <w:rPr>
                <w:kern w:val="2"/>
                <w:szCs w:val="21"/>
                <w:lang w:val="en-US" w:eastAsia="zh-CN"/>
              </w:rPr>
            </w:pPr>
            <w:r>
              <w:rPr>
                <w:kern w:val="2"/>
                <w:szCs w:val="21"/>
                <w:lang w:val="en-US" w:eastAsia="zh-CN"/>
              </w:rPr>
              <w:t>8</w:t>
            </w:r>
          </w:p>
        </w:tc>
        <w:tc>
          <w:tcPr>
            <w:tcW w:w="1451"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1229" w:type="dxa"/>
            <w:vMerge w:val="continue"/>
            <w:vAlign w:val="center"/>
          </w:tcPr>
          <w:p>
            <w:pPr>
              <w:pStyle w:val="26"/>
              <w:rPr>
                <w:kern w:val="2"/>
                <w:szCs w:val="21"/>
                <w:lang w:val="en-US" w:eastAsia="zh-CN"/>
              </w:rPr>
            </w:pPr>
          </w:p>
        </w:tc>
        <w:tc>
          <w:tcPr>
            <w:tcW w:w="1619" w:type="dxa"/>
            <w:vAlign w:val="center"/>
          </w:tcPr>
          <w:p>
            <w:pPr>
              <w:pStyle w:val="26"/>
              <w:rPr>
                <w:kern w:val="2"/>
                <w:szCs w:val="21"/>
                <w:lang w:val="en-US" w:eastAsia="zh-CN"/>
              </w:rPr>
            </w:pPr>
            <w:r>
              <w:rPr>
                <w:kern w:val="2"/>
                <w:szCs w:val="21"/>
                <w:lang w:val="en-US" w:eastAsia="zh-CN"/>
              </w:rPr>
              <w:t>t/a</w:t>
            </w:r>
          </w:p>
        </w:tc>
        <w:tc>
          <w:tcPr>
            <w:tcW w:w="1376" w:type="dxa"/>
            <w:vAlign w:val="center"/>
          </w:tcPr>
          <w:p>
            <w:pPr>
              <w:pStyle w:val="26"/>
              <w:ind w:firstLine="0" w:firstLineChars="0"/>
              <w:rPr>
                <w:kern w:val="2"/>
                <w:szCs w:val="21"/>
                <w:lang w:val="en-US" w:eastAsia="zh-CN"/>
              </w:rPr>
            </w:pPr>
            <w:r>
              <w:rPr>
                <w:rFonts w:hint="eastAsia"/>
                <w:kern w:val="2"/>
                <w:szCs w:val="21"/>
                <w:lang w:val="en-US" w:eastAsia="zh-CN"/>
              </w:rPr>
              <w:t>4.295</w:t>
            </w:r>
          </w:p>
        </w:tc>
        <w:tc>
          <w:tcPr>
            <w:tcW w:w="1462" w:type="dxa"/>
            <w:vAlign w:val="center"/>
          </w:tcPr>
          <w:p>
            <w:pPr>
              <w:pStyle w:val="26"/>
              <w:ind w:firstLine="0" w:firstLineChars="0"/>
              <w:rPr>
                <w:kern w:val="2"/>
                <w:szCs w:val="21"/>
                <w:lang w:val="en-US" w:eastAsia="zh-CN"/>
              </w:rPr>
            </w:pPr>
            <w:r>
              <w:rPr>
                <w:rFonts w:hint="eastAsia"/>
                <w:kern w:val="2"/>
                <w:szCs w:val="21"/>
                <w:lang w:val="en-US" w:eastAsia="zh-CN"/>
              </w:rPr>
              <w:t>1.5835</w:t>
            </w:r>
          </w:p>
        </w:tc>
        <w:tc>
          <w:tcPr>
            <w:tcW w:w="1451" w:type="dxa"/>
            <w:vAlign w:val="center"/>
          </w:tcPr>
          <w:p>
            <w:pPr>
              <w:pStyle w:val="26"/>
              <w:rPr>
                <w:kern w:val="2"/>
                <w:szCs w:val="21"/>
                <w:lang w:val="en-US" w:eastAsia="zh-CN"/>
              </w:rPr>
            </w:pPr>
            <w:r>
              <w:rPr>
                <w:kern w:val="2"/>
                <w:szCs w:val="21"/>
                <w:lang w:val="en-US" w:eastAsia="zh-CN"/>
              </w:rPr>
              <w:t>-</w:t>
            </w:r>
            <w:r>
              <w:rPr>
                <w:rFonts w:hint="eastAsia"/>
                <w:kern w:val="2"/>
                <w:szCs w:val="21"/>
                <w:lang w:val="en-US" w:eastAsia="zh-CN"/>
              </w:rPr>
              <w:t>2.712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59" w:hRule="atLeast"/>
          <w:jc w:val="center"/>
        </w:trPr>
        <w:tc>
          <w:tcPr>
            <w:tcW w:w="971" w:type="dxa"/>
            <w:vMerge w:val="restart"/>
            <w:vAlign w:val="center"/>
          </w:tcPr>
          <w:p>
            <w:pPr>
              <w:pStyle w:val="26"/>
              <w:rPr>
                <w:kern w:val="2"/>
                <w:szCs w:val="21"/>
                <w:lang w:val="en-US" w:eastAsia="zh-CN"/>
              </w:rPr>
            </w:pPr>
            <w:r>
              <w:rPr>
                <w:rFonts w:hint="eastAsia"/>
                <w:kern w:val="2"/>
                <w:szCs w:val="21"/>
                <w:lang w:val="en-US" w:eastAsia="zh-CN"/>
              </w:rPr>
              <w:t>固体</w:t>
            </w:r>
          </w:p>
          <w:p>
            <w:pPr>
              <w:pStyle w:val="26"/>
              <w:rPr>
                <w:kern w:val="2"/>
                <w:szCs w:val="21"/>
                <w:lang w:val="en-US" w:eastAsia="zh-CN"/>
              </w:rPr>
            </w:pPr>
            <w:r>
              <w:rPr>
                <w:rFonts w:hint="eastAsia"/>
                <w:kern w:val="2"/>
                <w:szCs w:val="21"/>
                <w:lang w:val="en-US" w:eastAsia="zh-CN"/>
              </w:rPr>
              <w:t>废弃物</w:t>
            </w:r>
          </w:p>
        </w:tc>
        <w:tc>
          <w:tcPr>
            <w:tcW w:w="1504" w:type="dxa"/>
            <w:vMerge w:val="restart"/>
            <w:vAlign w:val="center"/>
          </w:tcPr>
          <w:p>
            <w:pPr>
              <w:pStyle w:val="26"/>
              <w:rPr>
                <w:kern w:val="2"/>
                <w:szCs w:val="21"/>
                <w:lang w:val="en-US" w:eastAsia="zh-CN"/>
              </w:rPr>
            </w:pPr>
            <w:r>
              <w:rPr>
                <w:rFonts w:hint="eastAsia"/>
                <w:kern w:val="2"/>
                <w:szCs w:val="21"/>
                <w:lang w:val="en-US" w:eastAsia="zh-CN"/>
              </w:rPr>
              <w:t>生产及包装</w:t>
            </w:r>
          </w:p>
        </w:tc>
        <w:tc>
          <w:tcPr>
            <w:tcW w:w="2848" w:type="dxa"/>
            <w:gridSpan w:val="2"/>
            <w:vAlign w:val="center"/>
          </w:tcPr>
          <w:p>
            <w:pPr>
              <w:pStyle w:val="26"/>
              <w:ind w:firstLine="0" w:firstLineChars="0"/>
              <w:rPr>
                <w:kern w:val="2"/>
                <w:szCs w:val="21"/>
                <w:lang w:val="en-US" w:eastAsia="zh-CN"/>
              </w:rPr>
            </w:pPr>
            <w:r>
              <w:rPr>
                <w:rFonts w:hint="eastAsia"/>
                <w:kern w:val="2"/>
                <w:szCs w:val="21"/>
                <w:lang w:val="en-US" w:eastAsia="zh-CN"/>
              </w:rPr>
              <w:t>废矿物油</w:t>
            </w:r>
            <w:r>
              <w:rPr>
                <w:kern w:val="2"/>
                <w:szCs w:val="21"/>
                <w:lang w:val="en-US" w:eastAsia="zh-CN"/>
              </w:rPr>
              <w:t>(t/a)</w:t>
            </w:r>
          </w:p>
        </w:tc>
        <w:tc>
          <w:tcPr>
            <w:tcW w:w="1376" w:type="dxa"/>
            <w:vAlign w:val="center"/>
          </w:tcPr>
          <w:p>
            <w:pPr>
              <w:pStyle w:val="26"/>
              <w:ind w:firstLine="0" w:firstLineChars="0"/>
              <w:rPr>
                <w:kern w:val="2"/>
                <w:szCs w:val="21"/>
                <w:lang w:val="en-US" w:eastAsia="zh-CN"/>
              </w:rPr>
            </w:pPr>
            <w:r>
              <w:rPr>
                <w:kern w:val="2"/>
                <w:szCs w:val="21"/>
                <w:lang w:val="en-US" w:eastAsia="zh-CN"/>
              </w:rPr>
              <w:t>0.5</w:t>
            </w:r>
          </w:p>
        </w:tc>
        <w:tc>
          <w:tcPr>
            <w:tcW w:w="1462" w:type="dxa"/>
            <w:vAlign w:val="center"/>
          </w:tcPr>
          <w:p>
            <w:pPr>
              <w:pStyle w:val="26"/>
              <w:ind w:firstLine="0" w:firstLineChars="0"/>
              <w:rPr>
                <w:kern w:val="2"/>
                <w:szCs w:val="21"/>
                <w:lang w:val="en-US" w:eastAsia="zh-CN"/>
              </w:rPr>
            </w:pPr>
            <w:r>
              <w:rPr>
                <w:kern w:val="2"/>
                <w:szCs w:val="21"/>
                <w:lang w:val="en-US" w:eastAsia="zh-CN"/>
              </w:rPr>
              <w:t>0.5</w:t>
            </w:r>
          </w:p>
        </w:tc>
        <w:tc>
          <w:tcPr>
            <w:tcW w:w="1451" w:type="dxa"/>
            <w:vAlign w:val="center"/>
          </w:tcPr>
          <w:p>
            <w:pPr>
              <w:pStyle w:val="26"/>
              <w:ind w:firstLine="0" w:firstLineChars="0"/>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61" w:hRule="atLeas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2848" w:type="dxa"/>
            <w:gridSpan w:val="2"/>
            <w:vAlign w:val="center"/>
          </w:tcPr>
          <w:p>
            <w:pPr>
              <w:pStyle w:val="26"/>
              <w:ind w:firstLine="0" w:firstLineChars="0"/>
              <w:rPr>
                <w:kern w:val="2"/>
                <w:szCs w:val="21"/>
                <w:lang w:val="en-US" w:eastAsia="zh-CN"/>
              </w:rPr>
            </w:pPr>
            <w:r>
              <w:rPr>
                <w:rFonts w:hint="eastAsia"/>
                <w:kern w:val="2"/>
                <w:szCs w:val="21"/>
                <w:lang w:val="en-US" w:eastAsia="zh-CN"/>
              </w:rPr>
              <w:t>普通废包装材料</w:t>
            </w:r>
            <w:r>
              <w:rPr>
                <w:kern w:val="2"/>
                <w:szCs w:val="21"/>
                <w:lang w:val="en-US" w:eastAsia="zh-CN"/>
              </w:rPr>
              <w:t>(t/a)</w:t>
            </w:r>
          </w:p>
        </w:tc>
        <w:tc>
          <w:tcPr>
            <w:tcW w:w="1376" w:type="dxa"/>
            <w:vAlign w:val="center"/>
          </w:tcPr>
          <w:p>
            <w:pPr>
              <w:pStyle w:val="26"/>
              <w:ind w:firstLine="0" w:firstLineChars="0"/>
              <w:rPr>
                <w:kern w:val="2"/>
                <w:szCs w:val="21"/>
                <w:lang w:val="en-US" w:eastAsia="zh-CN"/>
              </w:rPr>
            </w:pPr>
            <w:r>
              <w:rPr>
                <w:kern w:val="2"/>
                <w:szCs w:val="21"/>
                <w:lang w:val="en-US" w:eastAsia="zh-CN"/>
              </w:rPr>
              <w:t>4</w:t>
            </w:r>
          </w:p>
        </w:tc>
        <w:tc>
          <w:tcPr>
            <w:tcW w:w="1462" w:type="dxa"/>
            <w:vAlign w:val="center"/>
          </w:tcPr>
          <w:p>
            <w:pPr>
              <w:pStyle w:val="26"/>
              <w:ind w:firstLine="0" w:firstLineChars="0"/>
              <w:rPr>
                <w:kern w:val="2"/>
                <w:szCs w:val="21"/>
                <w:lang w:val="en-US" w:eastAsia="zh-CN"/>
              </w:rPr>
            </w:pPr>
            <w:r>
              <w:rPr>
                <w:kern w:val="2"/>
                <w:szCs w:val="21"/>
                <w:lang w:val="en-US" w:eastAsia="zh-CN"/>
              </w:rPr>
              <w:t>4</w:t>
            </w:r>
          </w:p>
        </w:tc>
        <w:tc>
          <w:tcPr>
            <w:tcW w:w="1451" w:type="dxa"/>
            <w:vAlign w:val="center"/>
          </w:tcPr>
          <w:p>
            <w:pPr>
              <w:pStyle w:val="26"/>
              <w:ind w:firstLine="0" w:firstLineChars="0"/>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61" w:hRule="atLeas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2848" w:type="dxa"/>
            <w:gridSpan w:val="2"/>
            <w:vAlign w:val="center"/>
          </w:tcPr>
          <w:p>
            <w:pPr>
              <w:pStyle w:val="26"/>
              <w:ind w:firstLine="0" w:firstLineChars="0"/>
              <w:rPr>
                <w:kern w:val="2"/>
                <w:szCs w:val="21"/>
                <w:lang w:val="en-US" w:eastAsia="zh-CN"/>
              </w:rPr>
            </w:pPr>
            <w:r>
              <w:rPr>
                <w:rFonts w:hint="eastAsia"/>
                <w:kern w:val="2"/>
                <w:szCs w:val="21"/>
                <w:lang w:val="en-US" w:eastAsia="zh-CN"/>
              </w:rPr>
              <w:t>含危化品废包装材料</w:t>
            </w:r>
            <w:r>
              <w:rPr>
                <w:kern w:val="2"/>
                <w:szCs w:val="21"/>
                <w:lang w:val="en-US" w:eastAsia="zh-CN"/>
              </w:rPr>
              <w:t>(t/a)</w:t>
            </w:r>
          </w:p>
        </w:tc>
        <w:tc>
          <w:tcPr>
            <w:tcW w:w="1376" w:type="dxa"/>
            <w:vAlign w:val="center"/>
          </w:tcPr>
          <w:p>
            <w:pPr>
              <w:pStyle w:val="26"/>
              <w:ind w:firstLine="0" w:firstLineChars="0"/>
              <w:rPr>
                <w:kern w:val="2"/>
                <w:szCs w:val="21"/>
                <w:lang w:val="en-US" w:eastAsia="zh-CN"/>
              </w:rPr>
            </w:pPr>
            <w:r>
              <w:rPr>
                <w:kern w:val="2"/>
                <w:szCs w:val="21"/>
                <w:lang w:val="en-US" w:eastAsia="zh-CN"/>
              </w:rPr>
              <w:t>0.2</w:t>
            </w:r>
          </w:p>
        </w:tc>
        <w:tc>
          <w:tcPr>
            <w:tcW w:w="1462" w:type="dxa"/>
            <w:vAlign w:val="center"/>
          </w:tcPr>
          <w:p>
            <w:pPr>
              <w:pStyle w:val="26"/>
              <w:ind w:firstLine="0" w:firstLineChars="0"/>
              <w:rPr>
                <w:kern w:val="2"/>
                <w:szCs w:val="21"/>
                <w:lang w:val="en-US" w:eastAsia="zh-CN"/>
              </w:rPr>
            </w:pPr>
            <w:r>
              <w:rPr>
                <w:kern w:val="2"/>
                <w:szCs w:val="21"/>
                <w:lang w:val="en-US" w:eastAsia="zh-CN"/>
              </w:rPr>
              <w:t>0.2</w:t>
            </w:r>
          </w:p>
        </w:tc>
        <w:tc>
          <w:tcPr>
            <w:tcW w:w="1451" w:type="dxa"/>
            <w:vAlign w:val="center"/>
          </w:tcPr>
          <w:p>
            <w:pPr>
              <w:pStyle w:val="26"/>
              <w:ind w:firstLine="0" w:firstLineChars="0"/>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5" w:hRule="atLeast"/>
          <w:jc w:val="center"/>
        </w:trPr>
        <w:tc>
          <w:tcPr>
            <w:tcW w:w="971" w:type="dxa"/>
            <w:vMerge w:val="continue"/>
            <w:vAlign w:val="center"/>
          </w:tcPr>
          <w:p>
            <w:pPr>
              <w:pStyle w:val="26"/>
              <w:rPr>
                <w:kern w:val="2"/>
                <w:szCs w:val="21"/>
                <w:lang w:val="en-US" w:eastAsia="zh-CN"/>
              </w:rPr>
            </w:pPr>
          </w:p>
        </w:tc>
        <w:tc>
          <w:tcPr>
            <w:tcW w:w="1504" w:type="dxa"/>
            <w:vMerge w:val="restart"/>
            <w:vAlign w:val="center"/>
          </w:tcPr>
          <w:p>
            <w:pPr>
              <w:pStyle w:val="26"/>
              <w:rPr>
                <w:kern w:val="2"/>
                <w:szCs w:val="21"/>
                <w:lang w:val="en-US" w:eastAsia="zh-CN"/>
              </w:rPr>
            </w:pPr>
            <w:r>
              <w:rPr>
                <w:rFonts w:hint="eastAsia"/>
                <w:kern w:val="2"/>
                <w:szCs w:val="21"/>
                <w:lang w:val="en-US" w:eastAsia="zh-CN"/>
              </w:rPr>
              <w:t>纺纱生产</w:t>
            </w:r>
          </w:p>
        </w:tc>
        <w:tc>
          <w:tcPr>
            <w:tcW w:w="2848" w:type="dxa"/>
            <w:gridSpan w:val="2"/>
            <w:vAlign w:val="center"/>
          </w:tcPr>
          <w:p>
            <w:pPr>
              <w:pStyle w:val="26"/>
              <w:rPr>
                <w:kern w:val="2"/>
                <w:szCs w:val="21"/>
                <w:lang w:val="en-US" w:eastAsia="zh-CN"/>
              </w:rPr>
            </w:pPr>
            <w:r>
              <w:rPr>
                <w:rFonts w:hint="eastAsia"/>
                <w:kern w:val="2"/>
                <w:szCs w:val="21"/>
                <w:lang w:val="en-US" w:eastAsia="zh-CN"/>
              </w:rPr>
              <w:t>废弃原料</w:t>
            </w:r>
          </w:p>
        </w:tc>
        <w:tc>
          <w:tcPr>
            <w:tcW w:w="1376" w:type="dxa"/>
            <w:vAlign w:val="center"/>
          </w:tcPr>
          <w:p>
            <w:pPr>
              <w:pStyle w:val="26"/>
              <w:rPr>
                <w:kern w:val="2"/>
                <w:szCs w:val="21"/>
                <w:lang w:val="en-US" w:eastAsia="zh-CN"/>
              </w:rPr>
            </w:pPr>
            <w:r>
              <w:rPr>
                <w:kern w:val="2"/>
                <w:szCs w:val="21"/>
                <w:lang w:val="en-US" w:eastAsia="zh-CN"/>
              </w:rPr>
              <w:t>2.0</w:t>
            </w:r>
          </w:p>
        </w:tc>
        <w:tc>
          <w:tcPr>
            <w:tcW w:w="1462" w:type="dxa"/>
            <w:vAlign w:val="center"/>
          </w:tcPr>
          <w:p>
            <w:pPr>
              <w:pStyle w:val="26"/>
              <w:rPr>
                <w:kern w:val="2"/>
                <w:szCs w:val="21"/>
                <w:lang w:val="en-US" w:eastAsia="zh-CN"/>
              </w:rPr>
            </w:pPr>
            <w:r>
              <w:rPr>
                <w:kern w:val="2"/>
                <w:szCs w:val="21"/>
                <w:lang w:val="en-US" w:eastAsia="zh-CN"/>
              </w:rPr>
              <w:t>2.0</w:t>
            </w:r>
          </w:p>
        </w:tc>
        <w:tc>
          <w:tcPr>
            <w:tcW w:w="1451" w:type="dxa"/>
            <w:vAlign w:val="center"/>
          </w:tcPr>
          <w:p>
            <w:pPr>
              <w:pStyle w:val="26"/>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5" w:hRule="atLeas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2848" w:type="dxa"/>
            <w:gridSpan w:val="2"/>
            <w:vAlign w:val="center"/>
          </w:tcPr>
          <w:p>
            <w:pPr>
              <w:pStyle w:val="26"/>
              <w:rPr>
                <w:kern w:val="2"/>
                <w:szCs w:val="21"/>
                <w:lang w:val="en-US" w:eastAsia="zh-CN"/>
              </w:rPr>
            </w:pPr>
            <w:r>
              <w:rPr>
                <w:rFonts w:hint="eastAsia"/>
                <w:kern w:val="2"/>
                <w:szCs w:val="21"/>
                <w:lang w:val="en-US" w:eastAsia="zh-CN"/>
              </w:rPr>
              <w:t>杂质</w:t>
            </w:r>
          </w:p>
        </w:tc>
        <w:tc>
          <w:tcPr>
            <w:tcW w:w="1376" w:type="dxa"/>
            <w:vAlign w:val="center"/>
          </w:tcPr>
          <w:p>
            <w:pPr>
              <w:pStyle w:val="26"/>
              <w:rPr>
                <w:kern w:val="2"/>
                <w:szCs w:val="21"/>
                <w:lang w:val="en-US" w:eastAsia="zh-CN"/>
              </w:rPr>
            </w:pPr>
            <w:r>
              <w:rPr>
                <w:kern w:val="2"/>
                <w:szCs w:val="21"/>
                <w:lang w:val="en-US" w:eastAsia="zh-CN"/>
              </w:rPr>
              <w:t>0.5</w:t>
            </w:r>
          </w:p>
        </w:tc>
        <w:tc>
          <w:tcPr>
            <w:tcW w:w="1462" w:type="dxa"/>
            <w:vAlign w:val="center"/>
          </w:tcPr>
          <w:p>
            <w:pPr>
              <w:pStyle w:val="26"/>
              <w:rPr>
                <w:kern w:val="2"/>
                <w:szCs w:val="21"/>
                <w:lang w:val="en-US" w:eastAsia="zh-CN"/>
              </w:rPr>
            </w:pPr>
            <w:r>
              <w:rPr>
                <w:kern w:val="2"/>
                <w:szCs w:val="21"/>
                <w:lang w:val="en-US" w:eastAsia="zh-CN"/>
              </w:rPr>
              <w:t>0.5</w:t>
            </w:r>
          </w:p>
        </w:tc>
        <w:tc>
          <w:tcPr>
            <w:tcW w:w="1451" w:type="dxa"/>
            <w:vAlign w:val="center"/>
          </w:tcPr>
          <w:p>
            <w:pPr>
              <w:pStyle w:val="26"/>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5" w:hRule="atLeas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2848" w:type="dxa"/>
            <w:gridSpan w:val="2"/>
            <w:vAlign w:val="center"/>
          </w:tcPr>
          <w:p>
            <w:pPr>
              <w:pStyle w:val="26"/>
              <w:rPr>
                <w:kern w:val="2"/>
                <w:szCs w:val="21"/>
                <w:lang w:val="en-US" w:eastAsia="zh-CN"/>
              </w:rPr>
            </w:pPr>
            <w:r>
              <w:rPr>
                <w:rFonts w:hint="eastAsia"/>
                <w:kern w:val="2"/>
                <w:szCs w:val="21"/>
                <w:lang w:val="en-US" w:eastAsia="zh-CN"/>
              </w:rPr>
              <w:t>普通包装材料</w:t>
            </w:r>
          </w:p>
        </w:tc>
        <w:tc>
          <w:tcPr>
            <w:tcW w:w="1376" w:type="dxa"/>
            <w:vAlign w:val="center"/>
          </w:tcPr>
          <w:p>
            <w:pPr>
              <w:pStyle w:val="26"/>
              <w:rPr>
                <w:kern w:val="2"/>
                <w:szCs w:val="21"/>
                <w:lang w:val="en-US" w:eastAsia="zh-CN"/>
              </w:rPr>
            </w:pPr>
            <w:r>
              <w:rPr>
                <w:kern w:val="2"/>
                <w:szCs w:val="21"/>
                <w:lang w:val="en-US" w:eastAsia="zh-CN"/>
              </w:rPr>
              <w:t>1.0</w:t>
            </w:r>
          </w:p>
        </w:tc>
        <w:tc>
          <w:tcPr>
            <w:tcW w:w="1462" w:type="dxa"/>
            <w:vAlign w:val="center"/>
          </w:tcPr>
          <w:p>
            <w:pPr>
              <w:pStyle w:val="26"/>
              <w:rPr>
                <w:kern w:val="2"/>
                <w:szCs w:val="21"/>
                <w:lang w:val="en-US" w:eastAsia="zh-CN"/>
              </w:rPr>
            </w:pPr>
            <w:r>
              <w:rPr>
                <w:kern w:val="2"/>
                <w:szCs w:val="21"/>
                <w:lang w:val="en-US" w:eastAsia="zh-CN"/>
              </w:rPr>
              <w:t>1.0</w:t>
            </w:r>
          </w:p>
        </w:tc>
        <w:tc>
          <w:tcPr>
            <w:tcW w:w="1451" w:type="dxa"/>
            <w:vAlign w:val="center"/>
          </w:tcPr>
          <w:p>
            <w:pPr>
              <w:pStyle w:val="26"/>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5" w:hRule="atLeast"/>
          <w:jc w:val="center"/>
        </w:trPr>
        <w:tc>
          <w:tcPr>
            <w:tcW w:w="971" w:type="dxa"/>
            <w:vMerge w:val="continue"/>
            <w:vAlign w:val="center"/>
          </w:tcPr>
          <w:p>
            <w:pPr>
              <w:pStyle w:val="26"/>
              <w:rPr>
                <w:kern w:val="2"/>
                <w:szCs w:val="21"/>
                <w:lang w:val="en-US" w:eastAsia="zh-CN"/>
              </w:rPr>
            </w:pPr>
          </w:p>
        </w:tc>
        <w:tc>
          <w:tcPr>
            <w:tcW w:w="1504" w:type="dxa"/>
            <w:vMerge w:val="restart"/>
            <w:vAlign w:val="center"/>
          </w:tcPr>
          <w:p>
            <w:pPr>
              <w:pStyle w:val="26"/>
              <w:rPr>
                <w:kern w:val="2"/>
                <w:szCs w:val="21"/>
                <w:lang w:val="en-US" w:eastAsia="zh-CN"/>
              </w:rPr>
            </w:pPr>
            <w:r>
              <w:rPr>
                <w:rFonts w:hint="eastAsia"/>
                <w:kern w:val="2"/>
                <w:szCs w:val="21"/>
                <w:lang w:val="en-US" w:eastAsia="zh-CN"/>
              </w:rPr>
              <w:t>织布车间</w:t>
            </w:r>
          </w:p>
        </w:tc>
        <w:tc>
          <w:tcPr>
            <w:tcW w:w="2848" w:type="dxa"/>
            <w:gridSpan w:val="2"/>
            <w:vAlign w:val="center"/>
          </w:tcPr>
          <w:p>
            <w:pPr>
              <w:pStyle w:val="26"/>
              <w:rPr>
                <w:kern w:val="2"/>
                <w:szCs w:val="21"/>
                <w:lang w:val="en-US" w:eastAsia="zh-CN"/>
              </w:rPr>
            </w:pPr>
            <w:r>
              <w:rPr>
                <w:rFonts w:hint="eastAsia"/>
                <w:kern w:val="2"/>
                <w:szCs w:val="21"/>
                <w:lang w:val="en-US" w:eastAsia="zh-CN"/>
              </w:rPr>
              <w:t>废弃棉线</w:t>
            </w:r>
          </w:p>
        </w:tc>
        <w:tc>
          <w:tcPr>
            <w:tcW w:w="1376" w:type="dxa"/>
            <w:vAlign w:val="center"/>
          </w:tcPr>
          <w:p>
            <w:pPr>
              <w:pStyle w:val="26"/>
              <w:rPr>
                <w:kern w:val="2"/>
                <w:szCs w:val="21"/>
                <w:lang w:val="en-US" w:eastAsia="zh-CN"/>
              </w:rPr>
            </w:pPr>
            <w:r>
              <w:rPr>
                <w:rFonts w:hint="eastAsia"/>
                <w:kern w:val="2"/>
                <w:szCs w:val="21"/>
                <w:lang w:val="en-US" w:eastAsia="zh-CN"/>
              </w:rPr>
              <w:t>16</w:t>
            </w:r>
          </w:p>
        </w:tc>
        <w:tc>
          <w:tcPr>
            <w:tcW w:w="1462" w:type="dxa"/>
            <w:vAlign w:val="center"/>
          </w:tcPr>
          <w:p>
            <w:pPr>
              <w:pStyle w:val="26"/>
              <w:rPr>
                <w:kern w:val="2"/>
                <w:szCs w:val="21"/>
                <w:lang w:val="en-US" w:eastAsia="zh-CN"/>
              </w:rPr>
            </w:pPr>
            <w:r>
              <w:rPr>
                <w:rFonts w:hint="eastAsia"/>
                <w:kern w:val="2"/>
                <w:szCs w:val="21"/>
                <w:lang w:val="en-US" w:eastAsia="zh-CN"/>
              </w:rPr>
              <w:t>0</w:t>
            </w:r>
          </w:p>
        </w:tc>
        <w:tc>
          <w:tcPr>
            <w:tcW w:w="1451" w:type="dxa"/>
            <w:vAlign w:val="center"/>
          </w:tcPr>
          <w:p>
            <w:pPr>
              <w:pStyle w:val="26"/>
              <w:rPr>
                <w:kern w:val="2"/>
                <w:szCs w:val="21"/>
                <w:lang w:val="en-US" w:eastAsia="zh-CN"/>
              </w:rPr>
            </w:pPr>
            <w:r>
              <w:rPr>
                <w:rFonts w:hint="eastAsia"/>
                <w:kern w:val="2"/>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5" w:hRule="atLeast"/>
          <w:jc w:val="center"/>
        </w:trPr>
        <w:tc>
          <w:tcPr>
            <w:tcW w:w="971" w:type="dxa"/>
            <w:vMerge w:val="continue"/>
            <w:vAlign w:val="center"/>
          </w:tcPr>
          <w:p>
            <w:pPr>
              <w:pStyle w:val="26"/>
              <w:rPr>
                <w:kern w:val="2"/>
                <w:szCs w:val="21"/>
                <w:lang w:val="en-US" w:eastAsia="zh-CN"/>
              </w:rPr>
            </w:pPr>
          </w:p>
        </w:tc>
        <w:tc>
          <w:tcPr>
            <w:tcW w:w="1504" w:type="dxa"/>
            <w:vMerge w:val="continue"/>
            <w:vAlign w:val="center"/>
          </w:tcPr>
          <w:p>
            <w:pPr>
              <w:pStyle w:val="26"/>
              <w:rPr>
                <w:kern w:val="2"/>
                <w:szCs w:val="21"/>
                <w:lang w:val="en-US" w:eastAsia="zh-CN"/>
              </w:rPr>
            </w:pPr>
          </w:p>
        </w:tc>
        <w:tc>
          <w:tcPr>
            <w:tcW w:w="2848" w:type="dxa"/>
            <w:gridSpan w:val="2"/>
            <w:vAlign w:val="center"/>
          </w:tcPr>
          <w:p>
            <w:pPr>
              <w:pStyle w:val="26"/>
              <w:rPr>
                <w:kern w:val="2"/>
                <w:szCs w:val="21"/>
                <w:lang w:val="en-US" w:eastAsia="zh-CN"/>
              </w:rPr>
            </w:pPr>
            <w:r>
              <w:rPr>
                <w:rFonts w:hint="eastAsia"/>
                <w:kern w:val="2"/>
                <w:szCs w:val="21"/>
                <w:lang w:val="en-US" w:eastAsia="zh-CN"/>
              </w:rPr>
              <w:t>粉尘</w:t>
            </w:r>
          </w:p>
        </w:tc>
        <w:tc>
          <w:tcPr>
            <w:tcW w:w="1376" w:type="dxa"/>
            <w:vAlign w:val="center"/>
          </w:tcPr>
          <w:p>
            <w:pPr>
              <w:pStyle w:val="26"/>
              <w:rPr>
                <w:kern w:val="2"/>
                <w:szCs w:val="21"/>
                <w:lang w:val="en-US" w:eastAsia="zh-CN"/>
              </w:rPr>
            </w:pPr>
            <w:r>
              <w:rPr>
                <w:rFonts w:hint="eastAsia"/>
                <w:kern w:val="2"/>
                <w:szCs w:val="21"/>
                <w:lang w:val="en-US" w:eastAsia="zh-CN"/>
              </w:rPr>
              <w:t>2</w:t>
            </w:r>
          </w:p>
        </w:tc>
        <w:tc>
          <w:tcPr>
            <w:tcW w:w="1462" w:type="dxa"/>
            <w:vAlign w:val="center"/>
          </w:tcPr>
          <w:p>
            <w:pPr>
              <w:pStyle w:val="26"/>
              <w:rPr>
                <w:kern w:val="2"/>
                <w:szCs w:val="21"/>
                <w:lang w:val="en-US" w:eastAsia="zh-CN"/>
              </w:rPr>
            </w:pPr>
            <w:r>
              <w:rPr>
                <w:rFonts w:hint="eastAsia"/>
                <w:kern w:val="2"/>
                <w:szCs w:val="21"/>
                <w:lang w:val="en-US" w:eastAsia="zh-CN"/>
              </w:rPr>
              <w:t>0</w:t>
            </w:r>
          </w:p>
        </w:tc>
        <w:tc>
          <w:tcPr>
            <w:tcW w:w="1451" w:type="dxa"/>
            <w:vAlign w:val="center"/>
          </w:tcPr>
          <w:p>
            <w:pPr>
              <w:pStyle w:val="26"/>
              <w:rPr>
                <w:kern w:val="2"/>
                <w:szCs w:val="21"/>
                <w:lang w:val="en-US" w:eastAsia="zh-CN"/>
              </w:rPr>
            </w:pPr>
            <w:r>
              <w:rPr>
                <w:rFonts w:hint="eastAsia"/>
                <w:kern w:val="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5" w:hRule="atLeast"/>
          <w:jc w:val="center"/>
        </w:trPr>
        <w:tc>
          <w:tcPr>
            <w:tcW w:w="971" w:type="dxa"/>
            <w:vMerge w:val="continue"/>
            <w:vAlign w:val="center"/>
          </w:tcPr>
          <w:p>
            <w:pPr>
              <w:pStyle w:val="26"/>
              <w:rPr>
                <w:kern w:val="2"/>
                <w:szCs w:val="21"/>
                <w:lang w:val="en-US" w:eastAsia="zh-CN"/>
              </w:rPr>
            </w:pPr>
          </w:p>
        </w:tc>
        <w:tc>
          <w:tcPr>
            <w:tcW w:w="1504" w:type="dxa"/>
            <w:vAlign w:val="center"/>
          </w:tcPr>
          <w:p>
            <w:pPr>
              <w:pStyle w:val="26"/>
              <w:rPr>
                <w:kern w:val="2"/>
                <w:szCs w:val="21"/>
                <w:lang w:val="en-US" w:eastAsia="zh-CN"/>
              </w:rPr>
            </w:pPr>
            <w:r>
              <w:rPr>
                <w:rFonts w:hint="eastAsia"/>
                <w:kern w:val="2"/>
                <w:szCs w:val="21"/>
                <w:lang w:val="en-US" w:eastAsia="zh-CN"/>
              </w:rPr>
              <w:t>锅炉房</w:t>
            </w:r>
          </w:p>
        </w:tc>
        <w:tc>
          <w:tcPr>
            <w:tcW w:w="2848" w:type="dxa"/>
            <w:gridSpan w:val="2"/>
            <w:vAlign w:val="center"/>
          </w:tcPr>
          <w:p>
            <w:pPr>
              <w:pStyle w:val="26"/>
              <w:rPr>
                <w:kern w:val="2"/>
                <w:szCs w:val="21"/>
                <w:lang w:val="en-US" w:eastAsia="zh-CN"/>
              </w:rPr>
            </w:pPr>
            <w:r>
              <w:rPr>
                <w:rFonts w:hint="eastAsia"/>
                <w:kern w:val="2"/>
                <w:szCs w:val="21"/>
                <w:lang w:val="en-US" w:eastAsia="zh-CN"/>
              </w:rPr>
              <w:t>煤渣</w:t>
            </w:r>
            <w:r>
              <w:rPr>
                <w:kern w:val="2"/>
                <w:szCs w:val="21"/>
                <w:lang w:val="en-US" w:eastAsia="zh-CN"/>
              </w:rPr>
              <w:t>/</w:t>
            </w:r>
            <w:r>
              <w:rPr>
                <w:rFonts w:hint="eastAsia"/>
                <w:kern w:val="2"/>
                <w:szCs w:val="21"/>
                <w:lang w:val="en-US" w:eastAsia="zh-CN"/>
              </w:rPr>
              <w:t>草木灰</w:t>
            </w:r>
          </w:p>
        </w:tc>
        <w:tc>
          <w:tcPr>
            <w:tcW w:w="1376" w:type="dxa"/>
            <w:vAlign w:val="center"/>
          </w:tcPr>
          <w:p>
            <w:pPr>
              <w:pStyle w:val="26"/>
              <w:rPr>
                <w:kern w:val="2"/>
                <w:szCs w:val="21"/>
                <w:lang w:val="en-US" w:eastAsia="zh-CN"/>
              </w:rPr>
            </w:pPr>
            <w:r>
              <w:rPr>
                <w:kern w:val="2"/>
                <w:szCs w:val="21"/>
                <w:lang w:val="en-US" w:eastAsia="zh-CN"/>
              </w:rPr>
              <w:t>240</w:t>
            </w:r>
          </w:p>
        </w:tc>
        <w:tc>
          <w:tcPr>
            <w:tcW w:w="1462" w:type="dxa"/>
            <w:vAlign w:val="center"/>
          </w:tcPr>
          <w:p>
            <w:pPr>
              <w:pStyle w:val="26"/>
              <w:rPr>
                <w:kern w:val="2"/>
                <w:szCs w:val="21"/>
                <w:lang w:val="en-US" w:eastAsia="zh-CN"/>
              </w:rPr>
            </w:pPr>
            <w:r>
              <w:rPr>
                <w:kern w:val="2"/>
                <w:szCs w:val="21"/>
                <w:lang w:val="en-US" w:eastAsia="zh-CN"/>
              </w:rPr>
              <w:t>66</w:t>
            </w:r>
          </w:p>
        </w:tc>
        <w:tc>
          <w:tcPr>
            <w:tcW w:w="1451" w:type="dxa"/>
            <w:vAlign w:val="center"/>
          </w:tcPr>
          <w:p>
            <w:pPr>
              <w:pStyle w:val="26"/>
              <w:rPr>
                <w:kern w:val="2"/>
                <w:szCs w:val="21"/>
                <w:lang w:val="en-US" w:eastAsia="zh-CN"/>
              </w:rPr>
            </w:pPr>
            <w:r>
              <w:rPr>
                <w:kern w:val="2"/>
                <w:szCs w:val="21"/>
                <w:lang w:val="en-US" w:eastAsia="zh-CN"/>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Align w:val="center"/>
          </w:tcPr>
          <w:p>
            <w:pPr>
              <w:pStyle w:val="26"/>
              <w:rPr>
                <w:kern w:val="2"/>
                <w:szCs w:val="21"/>
                <w:lang w:val="en-US" w:eastAsia="zh-CN"/>
              </w:rPr>
            </w:pPr>
            <w:r>
              <w:rPr>
                <w:rFonts w:hint="eastAsia"/>
                <w:kern w:val="2"/>
                <w:szCs w:val="21"/>
                <w:lang w:val="en-US" w:eastAsia="zh-CN"/>
              </w:rPr>
              <w:t>生活</w:t>
            </w:r>
          </w:p>
        </w:tc>
        <w:tc>
          <w:tcPr>
            <w:tcW w:w="2848" w:type="dxa"/>
            <w:gridSpan w:val="2"/>
            <w:vAlign w:val="center"/>
          </w:tcPr>
          <w:p>
            <w:pPr>
              <w:pStyle w:val="26"/>
              <w:rPr>
                <w:kern w:val="2"/>
                <w:szCs w:val="21"/>
                <w:lang w:val="en-US" w:eastAsia="zh-CN"/>
              </w:rPr>
            </w:pPr>
            <w:r>
              <w:rPr>
                <w:rFonts w:hint="eastAsia"/>
                <w:kern w:val="2"/>
                <w:szCs w:val="21"/>
                <w:lang w:val="en-US" w:eastAsia="zh-CN"/>
              </w:rPr>
              <w:t>生活垃圾</w:t>
            </w:r>
            <w:r>
              <w:rPr>
                <w:kern w:val="2"/>
                <w:szCs w:val="21"/>
                <w:lang w:val="en-US" w:eastAsia="zh-CN"/>
              </w:rPr>
              <w:t>(t/a)</w:t>
            </w:r>
          </w:p>
        </w:tc>
        <w:tc>
          <w:tcPr>
            <w:tcW w:w="1376" w:type="dxa"/>
            <w:vAlign w:val="center"/>
          </w:tcPr>
          <w:p>
            <w:pPr>
              <w:pStyle w:val="26"/>
              <w:rPr>
                <w:kern w:val="2"/>
                <w:szCs w:val="21"/>
                <w:lang w:val="en-US" w:eastAsia="zh-CN"/>
              </w:rPr>
            </w:pPr>
            <w:r>
              <w:rPr>
                <w:rFonts w:hint="eastAsia"/>
                <w:kern w:val="2"/>
                <w:szCs w:val="21"/>
                <w:lang w:val="en-US" w:eastAsia="zh-CN"/>
              </w:rPr>
              <w:t>1350</w:t>
            </w:r>
          </w:p>
        </w:tc>
        <w:tc>
          <w:tcPr>
            <w:tcW w:w="1462" w:type="dxa"/>
            <w:vAlign w:val="center"/>
          </w:tcPr>
          <w:p>
            <w:pPr>
              <w:pStyle w:val="26"/>
              <w:rPr>
                <w:kern w:val="2"/>
                <w:szCs w:val="21"/>
                <w:lang w:val="en-US" w:eastAsia="zh-CN"/>
              </w:rPr>
            </w:pPr>
            <w:r>
              <w:rPr>
                <w:rFonts w:hint="eastAsia"/>
                <w:kern w:val="2"/>
                <w:szCs w:val="21"/>
                <w:lang w:val="en-US" w:eastAsia="zh-CN"/>
              </w:rPr>
              <w:t>630</w:t>
            </w:r>
          </w:p>
        </w:tc>
        <w:tc>
          <w:tcPr>
            <w:tcW w:w="1451" w:type="dxa"/>
            <w:vAlign w:val="center"/>
          </w:tcPr>
          <w:p>
            <w:pPr>
              <w:pStyle w:val="26"/>
              <w:rPr>
                <w:kern w:val="2"/>
                <w:szCs w:val="21"/>
                <w:lang w:val="en-US" w:eastAsia="zh-CN"/>
              </w:rPr>
            </w:pPr>
            <w:r>
              <w:rPr>
                <w:rFonts w:hint="eastAsia"/>
                <w:kern w:val="2"/>
                <w:szCs w:val="21"/>
                <w:lang w:val="en-US" w:eastAsia="zh-C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971" w:type="dxa"/>
            <w:vMerge w:val="continue"/>
            <w:vAlign w:val="center"/>
          </w:tcPr>
          <w:p>
            <w:pPr>
              <w:pStyle w:val="26"/>
              <w:rPr>
                <w:kern w:val="2"/>
                <w:szCs w:val="21"/>
                <w:lang w:val="en-US" w:eastAsia="zh-CN"/>
              </w:rPr>
            </w:pPr>
          </w:p>
        </w:tc>
        <w:tc>
          <w:tcPr>
            <w:tcW w:w="1504" w:type="dxa"/>
            <w:vAlign w:val="center"/>
          </w:tcPr>
          <w:p>
            <w:pPr>
              <w:pStyle w:val="26"/>
              <w:rPr>
                <w:kern w:val="2"/>
                <w:szCs w:val="21"/>
                <w:lang w:val="en-US" w:eastAsia="zh-CN"/>
              </w:rPr>
            </w:pPr>
            <w:r>
              <w:rPr>
                <w:rFonts w:hint="eastAsia"/>
                <w:kern w:val="2"/>
                <w:szCs w:val="21"/>
                <w:lang w:val="en-US" w:eastAsia="zh-CN"/>
              </w:rPr>
              <w:t>污水处理</w:t>
            </w:r>
          </w:p>
        </w:tc>
        <w:tc>
          <w:tcPr>
            <w:tcW w:w="2848" w:type="dxa"/>
            <w:gridSpan w:val="2"/>
            <w:vAlign w:val="center"/>
          </w:tcPr>
          <w:p>
            <w:pPr>
              <w:pStyle w:val="26"/>
              <w:rPr>
                <w:kern w:val="2"/>
                <w:szCs w:val="21"/>
                <w:lang w:val="en-US" w:eastAsia="zh-CN"/>
              </w:rPr>
            </w:pPr>
            <w:r>
              <w:rPr>
                <w:rFonts w:hint="eastAsia"/>
                <w:kern w:val="2"/>
                <w:szCs w:val="21"/>
                <w:lang w:val="en-US" w:eastAsia="zh-CN"/>
              </w:rPr>
              <w:t>污泥</w:t>
            </w:r>
            <w:r>
              <w:rPr>
                <w:kern w:val="2"/>
                <w:szCs w:val="21"/>
                <w:lang w:val="en-US" w:eastAsia="zh-CN"/>
              </w:rPr>
              <w:t>(t/a)</w:t>
            </w:r>
          </w:p>
        </w:tc>
        <w:tc>
          <w:tcPr>
            <w:tcW w:w="1376" w:type="dxa"/>
            <w:vAlign w:val="center"/>
          </w:tcPr>
          <w:p>
            <w:pPr>
              <w:pStyle w:val="26"/>
              <w:rPr>
                <w:kern w:val="2"/>
                <w:szCs w:val="21"/>
                <w:lang w:val="en-US" w:eastAsia="zh-CN"/>
              </w:rPr>
            </w:pPr>
            <w:r>
              <w:rPr>
                <w:kern w:val="2"/>
                <w:szCs w:val="21"/>
                <w:lang w:val="en-US" w:eastAsia="zh-CN"/>
              </w:rPr>
              <w:t>550</w:t>
            </w:r>
          </w:p>
        </w:tc>
        <w:tc>
          <w:tcPr>
            <w:tcW w:w="1462" w:type="dxa"/>
            <w:vAlign w:val="center"/>
          </w:tcPr>
          <w:p>
            <w:pPr>
              <w:pStyle w:val="26"/>
              <w:rPr>
                <w:kern w:val="2"/>
                <w:szCs w:val="21"/>
                <w:lang w:val="en-US" w:eastAsia="zh-CN"/>
              </w:rPr>
            </w:pPr>
            <w:r>
              <w:rPr>
                <w:kern w:val="2"/>
                <w:szCs w:val="21"/>
                <w:lang w:val="en-US" w:eastAsia="zh-CN"/>
              </w:rPr>
              <w:t>260</w:t>
            </w:r>
          </w:p>
        </w:tc>
        <w:tc>
          <w:tcPr>
            <w:tcW w:w="1451" w:type="dxa"/>
            <w:vAlign w:val="center"/>
          </w:tcPr>
          <w:p>
            <w:pPr>
              <w:pStyle w:val="26"/>
              <w:rPr>
                <w:kern w:val="2"/>
                <w:szCs w:val="21"/>
                <w:lang w:val="en-US" w:eastAsia="zh-CN"/>
              </w:rPr>
            </w:pPr>
            <w:r>
              <w:rPr>
                <w:kern w:val="2"/>
                <w:szCs w:val="21"/>
                <w:lang w:val="en-US" w:eastAsia="zh-CN"/>
              </w:rPr>
              <w:t>-290</w:t>
            </w:r>
          </w:p>
        </w:tc>
      </w:tr>
    </w:tbl>
    <w:p>
      <w:pPr>
        <w:ind w:firstLine="480"/>
      </w:pPr>
      <w:bookmarkStart w:id="28" w:name="_Toc14791"/>
      <w:r>
        <w:rPr>
          <w:rFonts w:hint="eastAsia"/>
        </w:rPr>
        <w:t>由上表可知，①技改后锅炉采用成型生物质作为燃料，成型生物质含硫量比煤低，同时将锅炉废气采用布袋除尘系统处理，因此，技改后比技改前锅炉废气中颗粒物、二氧化硫、氮氧化物产排量减少，根据技改前后工程分析，技改后颗粒物、二氧化硫、氮氧化物分别削减了8.871t/a、6.083t/a、8.026t/a；②技改后，定型废气由无组织排放改为收集后经定型废气处理系统处理后高空排放，定型废气的排放量减少</w:t>
      </w:r>
      <w:r>
        <w:rPr>
          <w:rFonts w:hint="eastAsia"/>
          <w:lang w:val="en-US" w:eastAsia="zh-CN"/>
        </w:rPr>
        <w:t>6.48t/a</w:t>
      </w:r>
      <w:r>
        <w:rPr>
          <w:rFonts w:hint="eastAsia"/>
        </w:rPr>
        <w:t>；新增醋酸废气，其增加量为0.035t/a；根据工程分析，VOC的量减少了6.445t/a；③新建了废水回收系统，将染色工序废水回收后直接套用，减少了染色工序废水的排放；废水经污水处理站处理后一部分回用于生产，减少外排的废水量；外排废水减少同时，由原来直排湘江改为排入营田镇污水处理厂进一步处理后排入湘江，因此，在外排废水减少的同时进一步减少了COD、氨氮排入环境的量</w:t>
      </w:r>
      <w:r>
        <w:rPr>
          <w:rFonts w:hint="eastAsia"/>
          <w:lang w:eastAsia="zh-CN"/>
        </w:rPr>
        <w:t>，</w:t>
      </w:r>
      <w:r>
        <w:rPr>
          <w:rFonts w:hint="eastAsia"/>
        </w:rPr>
        <w:t>COD、氨氮</w:t>
      </w:r>
      <w:r>
        <w:rPr>
          <w:rFonts w:hint="eastAsia"/>
          <w:lang w:eastAsia="zh-CN"/>
        </w:rPr>
        <w:t>排入环境的量分别减少了</w:t>
      </w:r>
      <w:r>
        <w:rPr>
          <w:rFonts w:hint="eastAsia"/>
          <w:lang w:val="en-US" w:eastAsia="zh-CN"/>
        </w:rPr>
        <w:t>47.981t/a、2.712t/a</w:t>
      </w:r>
      <w:r>
        <w:rPr>
          <w:rFonts w:hint="eastAsia"/>
        </w:rPr>
        <w:t>。</w:t>
      </w:r>
    </w:p>
    <w:p>
      <w:pPr>
        <w:pStyle w:val="3"/>
      </w:pPr>
      <w:r>
        <w:rPr>
          <w:rFonts w:hint="eastAsia"/>
        </w:rPr>
        <w:t>本次技改“以新带老”工程</w:t>
      </w:r>
      <w:bookmarkEnd w:id="28"/>
    </w:p>
    <w:p>
      <w:pPr>
        <w:ind w:firstLine="480"/>
      </w:pPr>
      <w:r>
        <w:rPr>
          <w:rFonts w:hint="eastAsia"/>
        </w:rPr>
        <w:t>根据4.4技改工程分析，本次技改“以新带老”工程内容见表4.6-1。</w:t>
      </w:r>
    </w:p>
    <w:p>
      <w:pPr>
        <w:ind w:firstLine="480"/>
      </w:pPr>
    </w:p>
    <w:p>
      <w:pPr>
        <w:pStyle w:val="25"/>
        <w:rPr>
          <w:b/>
          <w:bCs/>
        </w:rPr>
      </w:pPr>
      <w:r>
        <w:rPr>
          <w:b/>
          <w:bCs/>
        </w:rPr>
        <w:t>表4.</w:t>
      </w:r>
      <w:r>
        <w:rPr>
          <w:rFonts w:hint="eastAsia"/>
          <w:b/>
          <w:bCs/>
        </w:rPr>
        <w:t>6</w:t>
      </w:r>
      <w:r>
        <w:rPr>
          <w:b/>
          <w:bCs/>
        </w:rPr>
        <w:t>-1  “以新带老”工程一览表</w:t>
      </w:r>
    </w:p>
    <w:tbl>
      <w:tblPr>
        <w:tblStyle w:val="23"/>
        <w:tblW w:w="907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2016"/>
        <w:gridCol w:w="2367"/>
        <w:gridCol w:w="34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203" w:type="dxa"/>
            <w:tcBorders>
              <w:tl2br w:val="single" w:color="auto" w:sz="4" w:space="0"/>
            </w:tcBorders>
            <w:vAlign w:val="center"/>
          </w:tcPr>
          <w:p>
            <w:pPr>
              <w:pStyle w:val="25"/>
              <w:rPr>
                <w:szCs w:val="21"/>
                <w:lang w:val="en-US" w:eastAsia="zh-CN"/>
              </w:rPr>
            </w:pPr>
            <w:r>
              <w:rPr>
                <w:szCs w:val="21"/>
                <w:lang w:val="en-US" w:eastAsia="zh-CN"/>
              </w:rPr>
              <w:t>类别</w:t>
            </w:r>
          </w:p>
          <w:p>
            <w:pPr>
              <w:pStyle w:val="25"/>
              <w:jc w:val="both"/>
              <w:rPr>
                <w:szCs w:val="21"/>
                <w:lang w:val="en-US" w:eastAsia="zh-CN"/>
              </w:rPr>
            </w:pPr>
            <w:r>
              <w:rPr>
                <w:szCs w:val="21"/>
                <w:lang w:val="en-US" w:eastAsia="zh-CN"/>
              </w:rPr>
              <w:t>项目</w:t>
            </w:r>
          </w:p>
        </w:tc>
        <w:tc>
          <w:tcPr>
            <w:tcW w:w="2016" w:type="dxa"/>
            <w:vAlign w:val="center"/>
          </w:tcPr>
          <w:p>
            <w:pPr>
              <w:pStyle w:val="25"/>
              <w:rPr>
                <w:szCs w:val="21"/>
                <w:lang w:val="en-US" w:eastAsia="zh-CN"/>
              </w:rPr>
            </w:pPr>
            <w:r>
              <w:rPr>
                <w:szCs w:val="21"/>
                <w:lang w:val="en-US" w:eastAsia="zh-CN"/>
              </w:rPr>
              <w:t>现有工程</w:t>
            </w:r>
          </w:p>
        </w:tc>
        <w:tc>
          <w:tcPr>
            <w:tcW w:w="2367" w:type="dxa"/>
            <w:vAlign w:val="center"/>
          </w:tcPr>
          <w:p>
            <w:pPr>
              <w:pStyle w:val="25"/>
              <w:rPr>
                <w:szCs w:val="21"/>
                <w:lang w:val="en-US" w:eastAsia="zh-CN"/>
              </w:rPr>
            </w:pPr>
            <w:r>
              <w:rPr>
                <w:szCs w:val="21"/>
                <w:lang w:val="en-US" w:eastAsia="zh-CN"/>
              </w:rPr>
              <w:t>本次</w:t>
            </w:r>
            <w:r>
              <w:rPr>
                <w:rFonts w:hint="eastAsia"/>
                <w:szCs w:val="21"/>
                <w:lang w:val="en-US" w:eastAsia="zh-CN"/>
              </w:rPr>
              <w:t>技改</w:t>
            </w:r>
          </w:p>
        </w:tc>
        <w:tc>
          <w:tcPr>
            <w:tcW w:w="3486" w:type="dxa"/>
            <w:vAlign w:val="center"/>
          </w:tcPr>
          <w:p>
            <w:pPr>
              <w:pStyle w:val="25"/>
              <w:rPr>
                <w:szCs w:val="21"/>
                <w:lang w:val="en-US" w:eastAsia="zh-CN"/>
              </w:rPr>
            </w:pPr>
            <w:r>
              <w:rPr>
                <w:szCs w:val="21"/>
                <w:lang w:val="en-US" w:eastAsia="zh-CN"/>
              </w:rPr>
              <w:t>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3" w:type="dxa"/>
            <w:vAlign w:val="center"/>
          </w:tcPr>
          <w:p>
            <w:pPr>
              <w:pStyle w:val="25"/>
              <w:rPr>
                <w:szCs w:val="21"/>
                <w:lang w:val="en-US" w:eastAsia="zh-CN"/>
              </w:rPr>
            </w:pPr>
            <w:r>
              <w:rPr>
                <w:rFonts w:hint="eastAsia"/>
                <w:szCs w:val="21"/>
                <w:lang w:val="en-US" w:eastAsia="zh-CN"/>
              </w:rPr>
              <w:t>废水回收</w:t>
            </w:r>
          </w:p>
        </w:tc>
        <w:tc>
          <w:tcPr>
            <w:tcW w:w="2016" w:type="dxa"/>
            <w:vAlign w:val="center"/>
          </w:tcPr>
          <w:p>
            <w:pPr>
              <w:pStyle w:val="25"/>
              <w:rPr>
                <w:szCs w:val="21"/>
                <w:lang w:val="en-US" w:eastAsia="zh-CN"/>
              </w:rPr>
            </w:pPr>
            <w:r>
              <w:rPr>
                <w:rFonts w:hint="eastAsia"/>
                <w:szCs w:val="21"/>
                <w:lang w:val="en-US" w:eastAsia="zh-CN"/>
              </w:rPr>
              <w:t>未设置废水回收装置</w:t>
            </w:r>
          </w:p>
        </w:tc>
        <w:tc>
          <w:tcPr>
            <w:tcW w:w="2367" w:type="dxa"/>
            <w:vAlign w:val="center"/>
          </w:tcPr>
          <w:p>
            <w:pPr>
              <w:pStyle w:val="25"/>
              <w:rPr>
                <w:szCs w:val="21"/>
                <w:lang w:val="en-US" w:eastAsia="zh-CN"/>
              </w:rPr>
            </w:pPr>
            <w:r>
              <w:rPr>
                <w:rFonts w:hint="eastAsia"/>
                <w:szCs w:val="21"/>
                <w:lang w:val="en-US" w:eastAsia="zh-CN"/>
              </w:rPr>
              <w:t>新建1套废水回收系统</w:t>
            </w:r>
          </w:p>
        </w:tc>
        <w:tc>
          <w:tcPr>
            <w:tcW w:w="3486" w:type="dxa"/>
            <w:vAlign w:val="center"/>
          </w:tcPr>
          <w:p>
            <w:pPr>
              <w:pStyle w:val="25"/>
              <w:rPr>
                <w:szCs w:val="21"/>
                <w:lang w:val="en-US" w:eastAsia="zh-CN"/>
              </w:rPr>
            </w:pPr>
            <w:r>
              <w:rPr>
                <w:rFonts w:hint="eastAsia"/>
                <w:szCs w:val="21"/>
                <w:lang w:val="en-US" w:eastAsia="zh-CN"/>
              </w:rPr>
              <w:t>满足《印染行业准入条件</w:t>
            </w:r>
            <w:r>
              <w:rPr>
                <w:szCs w:val="21"/>
                <w:lang w:val="en-US" w:eastAsia="zh-CN"/>
              </w:rPr>
              <w:t>(2010</w:t>
            </w:r>
            <w:r>
              <w:rPr>
                <w:rFonts w:hint="eastAsia"/>
                <w:szCs w:val="21"/>
                <w:lang w:val="en-US" w:eastAsia="zh-CN"/>
              </w:rPr>
              <w:t>年修订版》中规定的“棉、麻、化纤及混纺机织物印染的企业单位产品新鲜水取水量≤</w:t>
            </w:r>
            <w:r>
              <w:rPr>
                <w:szCs w:val="21"/>
                <w:lang w:val="en-US" w:eastAsia="zh-CN"/>
              </w:rPr>
              <w:t>2</w:t>
            </w:r>
            <w:r>
              <w:rPr>
                <w:rFonts w:hint="eastAsia"/>
                <w:szCs w:val="21"/>
                <w:lang w:val="en-US" w:eastAsia="zh-CN"/>
              </w:rPr>
              <w:t>吨水</w:t>
            </w:r>
            <w:r>
              <w:rPr>
                <w:szCs w:val="21"/>
                <w:lang w:val="en-US" w:eastAsia="zh-CN"/>
              </w:rPr>
              <w:t>/</w:t>
            </w:r>
            <w:r>
              <w:rPr>
                <w:rFonts w:hint="eastAsia"/>
                <w:szCs w:val="21"/>
                <w:lang w:val="en-US" w:eastAsia="zh-CN"/>
              </w:rPr>
              <w:t>百米”和“水重复利用率达到</w:t>
            </w:r>
            <w:r>
              <w:rPr>
                <w:szCs w:val="21"/>
                <w:lang w:val="en-US" w:eastAsia="zh-CN"/>
              </w:rPr>
              <w:t>35%</w:t>
            </w:r>
            <w:r>
              <w:rPr>
                <w:rFonts w:hint="eastAsia"/>
                <w:szCs w:val="21"/>
                <w:lang w:val="en-US" w:eastAsia="zh-CN"/>
              </w:rPr>
              <w:t>以上”的要求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3" w:type="dxa"/>
            <w:vAlign w:val="center"/>
          </w:tcPr>
          <w:p>
            <w:pPr>
              <w:pStyle w:val="25"/>
              <w:rPr>
                <w:szCs w:val="21"/>
                <w:lang w:val="en-US" w:eastAsia="zh-CN"/>
              </w:rPr>
            </w:pPr>
            <w:r>
              <w:rPr>
                <w:rFonts w:hint="eastAsia"/>
                <w:szCs w:val="21"/>
                <w:lang w:val="en-US" w:eastAsia="zh-CN"/>
              </w:rPr>
              <w:t>生产废水排放</w:t>
            </w:r>
          </w:p>
        </w:tc>
        <w:tc>
          <w:tcPr>
            <w:tcW w:w="2016" w:type="dxa"/>
            <w:vAlign w:val="center"/>
          </w:tcPr>
          <w:p>
            <w:pPr>
              <w:pStyle w:val="25"/>
              <w:rPr>
                <w:szCs w:val="21"/>
                <w:lang w:val="en-US" w:eastAsia="zh-CN"/>
              </w:rPr>
            </w:pPr>
            <w:r>
              <w:rPr>
                <w:rFonts w:hint="eastAsia"/>
                <w:szCs w:val="21"/>
                <w:lang w:val="en-US" w:eastAsia="zh-CN"/>
              </w:rPr>
              <w:t>经污水处理站处理后排入氧化塘进一步处理排湘江</w:t>
            </w:r>
          </w:p>
        </w:tc>
        <w:tc>
          <w:tcPr>
            <w:tcW w:w="2367" w:type="dxa"/>
            <w:vAlign w:val="center"/>
          </w:tcPr>
          <w:p>
            <w:pPr>
              <w:pStyle w:val="25"/>
              <w:rPr>
                <w:szCs w:val="21"/>
                <w:lang w:val="en-US" w:eastAsia="zh-CN"/>
              </w:rPr>
            </w:pPr>
            <w:r>
              <w:rPr>
                <w:rFonts w:hint="eastAsia"/>
                <w:szCs w:val="21"/>
                <w:lang w:val="en-US" w:eastAsia="zh-CN"/>
              </w:rPr>
              <w:t>新建污水管道与市政污水管网接通，将污水处理站处理后的废水排入营田镇污水处理厂</w:t>
            </w:r>
          </w:p>
        </w:tc>
        <w:tc>
          <w:tcPr>
            <w:tcW w:w="3486" w:type="dxa"/>
            <w:vAlign w:val="center"/>
          </w:tcPr>
          <w:p>
            <w:pPr>
              <w:pStyle w:val="25"/>
              <w:rPr>
                <w:szCs w:val="21"/>
                <w:lang w:val="en-US" w:eastAsia="zh-CN"/>
              </w:rPr>
            </w:pPr>
            <w:r>
              <w:rPr>
                <w:rFonts w:hint="eastAsia"/>
                <w:szCs w:val="21"/>
                <w:lang w:val="en-US" w:eastAsia="zh-CN"/>
              </w:rPr>
              <w:t>《纺织染整工业水污染物排放标准》（</w:t>
            </w:r>
            <w:r>
              <w:rPr>
                <w:szCs w:val="21"/>
                <w:lang w:val="en-US" w:eastAsia="zh-CN"/>
              </w:rPr>
              <w:t>GB4287-2012</w:t>
            </w:r>
            <w:r>
              <w:rPr>
                <w:rFonts w:hint="eastAsia"/>
                <w:szCs w:val="21"/>
                <w:lang w:val="en-US" w:eastAsia="zh-CN"/>
              </w:rPr>
              <w:t>）中相关排放标准限值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3" w:type="dxa"/>
            <w:vAlign w:val="center"/>
          </w:tcPr>
          <w:p>
            <w:pPr>
              <w:pStyle w:val="25"/>
              <w:rPr>
                <w:szCs w:val="21"/>
                <w:lang w:val="en-US" w:eastAsia="zh-CN"/>
              </w:rPr>
            </w:pPr>
            <w:r>
              <w:rPr>
                <w:rFonts w:hint="eastAsia"/>
                <w:szCs w:val="21"/>
                <w:lang w:val="en-US" w:eastAsia="zh-CN"/>
              </w:rPr>
              <w:t>锅炉废气</w:t>
            </w:r>
          </w:p>
        </w:tc>
        <w:tc>
          <w:tcPr>
            <w:tcW w:w="2016" w:type="dxa"/>
            <w:vAlign w:val="center"/>
          </w:tcPr>
          <w:p>
            <w:pPr>
              <w:pStyle w:val="25"/>
              <w:rPr>
                <w:szCs w:val="21"/>
                <w:lang w:val="en-US" w:eastAsia="zh-CN"/>
              </w:rPr>
            </w:pPr>
            <w:r>
              <w:rPr>
                <w:rFonts w:hint="eastAsia"/>
                <w:szCs w:val="21"/>
                <w:lang w:val="en-US" w:eastAsia="zh-CN"/>
              </w:rPr>
              <w:t>1套麻石水膜除尘系统和1套水幕除尘系统</w:t>
            </w:r>
          </w:p>
        </w:tc>
        <w:tc>
          <w:tcPr>
            <w:tcW w:w="2367" w:type="dxa"/>
            <w:vAlign w:val="center"/>
          </w:tcPr>
          <w:p>
            <w:pPr>
              <w:pStyle w:val="25"/>
              <w:rPr>
                <w:szCs w:val="21"/>
                <w:lang w:val="en-US" w:eastAsia="zh-CN"/>
              </w:rPr>
            </w:pPr>
            <w:r>
              <w:rPr>
                <w:rFonts w:hint="eastAsia"/>
                <w:szCs w:val="21"/>
                <w:lang w:val="en-US" w:eastAsia="zh-CN"/>
              </w:rPr>
              <w:t>新建3套布袋除尘装置替代原有1套麻石水膜除尘系统和1套水幕除尘系统</w:t>
            </w:r>
          </w:p>
        </w:tc>
        <w:tc>
          <w:tcPr>
            <w:tcW w:w="3486" w:type="dxa"/>
            <w:vAlign w:val="center"/>
          </w:tcPr>
          <w:p>
            <w:pPr>
              <w:pStyle w:val="25"/>
              <w:rPr>
                <w:szCs w:val="21"/>
                <w:lang w:val="en-US" w:eastAsia="zh-CN"/>
              </w:rPr>
            </w:pPr>
            <w:r>
              <w:rPr>
                <w:rFonts w:hint="eastAsia"/>
                <w:szCs w:val="21"/>
                <w:lang w:val="en-US" w:eastAsia="zh-CN"/>
              </w:rPr>
              <w:t>满足《锅炉大气污染物排放标准》（</w:t>
            </w:r>
            <w:r>
              <w:rPr>
                <w:szCs w:val="21"/>
                <w:lang w:val="en-US" w:eastAsia="zh-CN"/>
              </w:rPr>
              <w:t>GB13271-2014</w:t>
            </w:r>
            <w:r>
              <w:rPr>
                <w:rFonts w:hint="eastAsia"/>
                <w:szCs w:val="21"/>
                <w:lang w:val="en-US" w:eastAsia="zh-CN"/>
              </w:rPr>
              <w:t>）中相关排放标准限值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3" w:type="dxa"/>
            <w:vAlign w:val="center"/>
          </w:tcPr>
          <w:p>
            <w:pPr>
              <w:pStyle w:val="25"/>
              <w:rPr>
                <w:szCs w:val="21"/>
                <w:lang w:val="en-US" w:eastAsia="zh-CN"/>
              </w:rPr>
            </w:pPr>
            <w:r>
              <w:rPr>
                <w:rFonts w:hint="eastAsia"/>
                <w:szCs w:val="21"/>
                <w:lang w:val="en-US" w:eastAsia="zh-CN"/>
              </w:rPr>
              <w:t>定型废气</w:t>
            </w:r>
          </w:p>
        </w:tc>
        <w:tc>
          <w:tcPr>
            <w:tcW w:w="2016" w:type="dxa"/>
            <w:vAlign w:val="center"/>
          </w:tcPr>
          <w:p>
            <w:pPr>
              <w:pStyle w:val="25"/>
              <w:rPr>
                <w:szCs w:val="21"/>
                <w:lang w:val="en-US" w:eastAsia="zh-CN"/>
              </w:rPr>
            </w:pPr>
            <w:r>
              <w:rPr>
                <w:rFonts w:hint="eastAsia"/>
                <w:szCs w:val="21"/>
                <w:lang w:val="en-US" w:eastAsia="zh-CN"/>
              </w:rPr>
              <w:t>未设置废气处理系统</w:t>
            </w:r>
          </w:p>
        </w:tc>
        <w:tc>
          <w:tcPr>
            <w:tcW w:w="2367" w:type="dxa"/>
            <w:vAlign w:val="center"/>
          </w:tcPr>
          <w:p>
            <w:pPr>
              <w:pStyle w:val="25"/>
              <w:rPr>
                <w:szCs w:val="21"/>
                <w:lang w:val="en-US" w:eastAsia="zh-CN"/>
              </w:rPr>
            </w:pPr>
            <w:r>
              <w:rPr>
                <w:rFonts w:hint="eastAsia"/>
                <w:szCs w:val="21"/>
                <w:lang w:val="en-US" w:eastAsia="zh-CN"/>
              </w:rPr>
              <w:t>新建2套定型废气处理系统</w:t>
            </w:r>
          </w:p>
        </w:tc>
        <w:tc>
          <w:tcPr>
            <w:tcW w:w="3486" w:type="dxa"/>
            <w:vAlign w:val="center"/>
          </w:tcPr>
          <w:p>
            <w:pPr>
              <w:pStyle w:val="25"/>
              <w:rPr>
                <w:szCs w:val="21"/>
                <w:lang w:val="en-US" w:eastAsia="zh-CN"/>
              </w:rPr>
            </w:pPr>
            <w:r>
              <w:rPr>
                <w:rFonts w:hint="eastAsia"/>
                <w:szCs w:val="21"/>
                <w:lang w:val="en-US" w:eastAsia="zh-CN"/>
              </w:rPr>
              <w:t>《大气污染物综合排放标准》《GB16297-1996》中相关标准限值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3" w:type="dxa"/>
            <w:vAlign w:val="center"/>
          </w:tcPr>
          <w:p>
            <w:pPr>
              <w:pStyle w:val="25"/>
              <w:rPr>
                <w:szCs w:val="21"/>
                <w:lang w:val="en-US" w:eastAsia="zh-CN"/>
              </w:rPr>
            </w:pPr>
            <w:r>
              <w:rPr>
                <w:rFonts w:hint="eastAsia"/>
                <w:szCs w:val="21"/>
                <w:lang w:val="en-US" w:eastAsia="zh-CN"/>
              </w:rPr>
              <w:t>危废</w:t>
            </w:r>
          </w:p>
        </w:tc>
        <w:tc>
          <w:tcPr>
            <w:tcW w:w="2016" w:type="dxa"/>
            <w:vAlign w:val="center"/>
          </w:tcPr>
          <w:p>
            <w:pPr>
              <w:pStyle w:val="25"/>
              <w:rPr>
                <w:szCs w:val="21"/>
                <w:lang w:val="en-US" w:eastAsia="zh-CN"/>
              </w:rPr>
            </w:pPr>
            <w:r>
              <w:rPr>
                <w:rFonts w:hint="eastAsia"/>
                <w:szCs w:val="21"/>
                <w:lang w:val="en-US" w:eastAsia="zh-CN"/>
              </w:rPr>
              <w:t>未设置危废暂存间，未委托有资质单位进行处理</w:t>
            </w:r>
          </w:p>
        </w:tc>
        <w:tc>
          <w:tcPr>
            <w:tcW w:w="2367" w:type="dxa"/>
            <w:vAlign w:val="center"/>
          </w:tcPr>
          <w:p>
            <w:pPr>
              <w:pStyle w:val="25"/>
              <w:rPr>
                <w:szCs w:val="21"/>
                <w:lang w:val="en-US" w:eastAsia="zh-CN"/>
              </w:rPr>
            </w:pPr>
            <w:r>
              <w:rPr>
                <w:rFonts w:hint="eastAsia"/>
                <w:szCs w:val="21"/>
                <w:lang w:val="en-US" w:eastAsia="zh-CN"/>
              </w:rPr>
              <w:t>设置危废暂存间，并委托有资质单位定期处理</w:t>
            </w:r>
          </w:p>
        </w:tc>
        <w:tc>
          <w:tcPr>
            <w:tcW w:w="3486" w:type="dxa"/>
            <w:vAlign w:val="center"/>
          </w:tcPr>
          <w:p>
            <w:pPr>
              <w:pStyle w:val="25"/>
              <w:rPr>
                <w:szCs w:val="21"/>
                <w:lang w:val="en-US" w:eastAsia="zh-CN"/>
              </w:rPr>
            </w:pPr>
            <w:r>
              <w:rPr>
                <w:rFonts w:hint="eastAsia"/>
                <w:szCs w:val="21"/>
                <w:lang w:val="en-US" w:eastAsia="zh-CN"/>
              </w:rPr>
              <w:t>《危险废物贮存污染控制标准》（</w:t>
            </w:r>
            <w:r>
              <w:rPr>
                <w:szCs w:val="21"/>
                <w:lang w:val="en-US" w:eastAsia="zh-CN"/>
              </w:rPr>
              <w:t>GB18597-2001</w:t>
            </w:r>
            <w:r>
              <w:rPr>
                <w:rFonts w:hint="eastAsia"/>
                <w:szCs w:val="21"/>
                <w:lang w:val="en-US" w:eastAsia="zh-CN"/>
              </w:rPr>
              <w:t>）及修改单</w:t>
            </w:r>
          </w:p>
        </w:tc>
      </w:tr>
    </w:tbl>
    <w:p>
      <w:pPr>
        <w:pStyle w:val="25"/>
      </w:pPr>
    </w:p>
    <w:p>
      <w:pPr>
        <w:pStyle w:val="3"/>
      </w:pPr>
      <w:bookmarkStart w:id="29" w:name="_Toc9690"/>
      <w:r>
        <w:rPr>
          <w:rFonts w:hint="eastAsia"/>
        </w:rPr>
        <w:t>总量控制</w:t>
      </w:r>
      <w:bookmarkEnd w:id="29"/>
    </w:p>
    <w:p>
      <w:pPr>
        <w:pStyle w:val="4"/>
      </w:pPr>
      <w:r>
        <w:rPr>
          <w:rFonts w:hint="eastAsia"/>
        </w:rPr>
        <w:t>总量控制指标</w:t>
      </w:r>
    </w:p>
    <w:p>
      <w:pPr>
        <w:ind w:firstLine="480"/>
      </w:pPr>
      <w:r>
        <w:rPr>
          <w:rFonts w:hint="eastAsia"/>
        </w:rPr>
        <w:t>根据岳阳市环境保护局屈原管理区分局于</w:t>
      </w:r>
      <w:r>
        <w:t>2016</w:t>
      </w:r>
      <w:r>
        <w:rPr>
          <w:rFonts w:hint="eastAsia"/>
        </w:rPr>
        <w:t>年</w:t>
      </w:r>
      <w:r>
        <w:t>10</w:t>
      </w:r>
      <w:r>
        <w:rPr>
          <w:rFonts w:hint="eastAsia"/>
        </w:rPr>
        <w:t>月</w:t>
      </w:r>
      <w:r>
        <w:t>20</w:t>
      </w:r>
      <w:r>
        <w:rPr>
          <w:rFonts w:hint="eastAsia"/>
        </w:rPr>
        <w:t>日向湖南德科纺织印染有限公司颁发的排污许可证可知，企业总量控制指标排入环境的量分别为：</w:t>
      </w:r>
      <w:r>
        <w:t>COD 60.5t/a</w:t>
      </w:r>
      <w:r>
        <w:rPr>
          <w:rFonts w:hint="eastAsia"/>
        </w:rPr>
        <w:t>、氨氮</w:t>
      </w:r>
      <w:r>
        <w:t xml:space="preserve"> 9.1t/a</w:t>
      </w:r>
      <w:r>
        <w:rPr>
          <w:rFonts w:hint="eastAsia"/>
        </w:rPr>
        <w:t>、二氧化硫</w:t>
      </w:r>
      <w:r>
        <w:t xml:space="preserve"> 8t/a</w:t>
      </w:r>
      <w:r>
        <w:rPr>
          <w:rFonts w:hint="eastAsia"/>
        </w:rPr>
        <w:t>、氮氧化物</w:t>
      </w:r>
      <w:r>
        <w:t xml:space="preserve"> 2.3t/a</w:t>
      </w:r>
      <w:r>
        <w:rPr>
          <w:rFonts w:hint="eastAsia"/>
        </w:rPr>
        <w:t>。</w:t>
      </w:r>
    </w:p>
    <w:p>
      <w:pPr>
        <w:pStyle w:val="4"/>
      </w:pPr>
      <w:r>
        <w:rPr>
          <w:rFonts w:hint="eastAsia"/>
        </w:rPr>
        <w:t>污染物总量控制分析</w:t>
      </w:r>
    </w:p>
    <w:p>
      <w:pPr>
        <w:ind w:firstLine="480"/>
        <w:rPr>
          <w:u w:val="single"/>
        </w:rPr>
      </w:pPr>
      <w:r>
        <w:rPr>
          <w:u w:val="single"/>
        </w:rPr>
        <w:t>1</w:t>
      </w:r>
      <w:r>
        <w:rPr>
          <w:rFonts w:hint="eastAsia"/>
          <w:u w:val="single"/>
        </w:rPr>
        <w:t>、水污染物总量控制分析</w:t>
      </w:r>
    </w:p>
    <w:p>
      <w:pPr>
        <w:ind w:firstLine="480"/>
        <w:rPr>
          <w:u w:val="single"/>
        </w:rPr>
      </w:pPr>
      <w:r>
        <w:rPr>
          <w:rFonts w:hint="eastAsia"/>
          <w:u w:val="single"/>
        </w:rPr>
        <w:t>根据表</w:t>
      </w:r>
      <w:r>
        <w:rPr>
          <w:u w:val="single"/>
        </w:rPr>
        <w:t>4.4-2</w:t>
      </w:r>
      <w:r>
        <w:rPr>
          <w:rFonts w:hint="eastAsia"/>
          <w:u w:val="single"/>
        </w:rPr>
        <w:t>，技改后，企业废水排放总量为</w:t>
      </w:r>
      <w:r>
        <w:rPr>
          <w:rFonts w:hint="eastAsia"/>
          <w:u w:val="single"/>
          <w:lang w:val="en-US" w:eastAsia="zh-CN"/>
        </w:rPr>
        <w:t>659.8</w:t>
      </w:r>
      <w:r>
        <w:rPr>
          <w:u w:val="single"/>
        </w:rPr>
        <w:t>t/d</w:t>
      </w:r>
      <w:r>
        <w:rPr>
          <w:rFonts w:hint="eastAsia"/>
          <w:u w:val="single"/>
        </w:rPr>
        <w:t>（</w:t>
      </w:r>
      <w:r>
        <w:rPr>
          <w:rFonts w:hint="eastAsia"/>
          <w:u w:val="single"/>
          <w:lang w:val="en-US" w:eastAsia="zh-CN"/>
        </w:rPr>
        <w:t>19.794</w:t>
      </w:r>
      <w:r>
        <w:rPr>
          <w:rFonts w:hint="eastAsia"/>
          <w:u w:val="single"/>
        </w:rPr>
        <w:t>万</w:t>
      </w:r>
      <w:r>
        <w:rPr>
          <w:u w:val="single"/>
        </w:rPr>
        <w:t>t/a</w:t>
      </w:r>
      <w:r>
        <w:rPr>
          <w:rFonts w:hint="eastAsia"/>
          <w:u w:val="single"/>
        </w:rPr>
        <w:t>），纳管</w:t>
      </w:r>
      <w:r>
        <w:rPr>
          <w:u w:val="single"/>
        </w:rPr>
        <w:t>COD</w:t>
      </w:r>
      <w:r>
        <w:rPr>
          <w:rFonts w:hint="eastAsia"/>
          <w:u w:val="single"/>
        </w:rPr>
        <w:t>排放量</w:t>
      </w:r>
      <w:r>
        <w:rPr>
          <w:rFonts w:hint="eastAsia"/>
          <w:u w:val="single"/>
          <w:lang w:val="en-US" w:eastAsia="zh-CN"/>
        </w:rPr>
        <w:t>37.609</w:t>
      </w:r>
      <w:r>
        <w:rPr>
          <w:u w:val="single"/>
        </w:rPr>
        <w:t>t/a</w:t>
      </w:r>
      <w:r>
        <w:rPr>
          <w:rFonts w:hint="eastAsia"/>
          <w:u w:val="single"/>
        </w:rPr>
        <w:t>；纳管氨氮排放量</w:t>
      </w:r>
      <w:r>
        <w:rPr>
          <w:rFonts w:hint="eastAsia"/>
          <w:u w:val="single"/>
          <w:lang w:val="en-US" w:eastAsia="zh-CN"/>
        </w:rPr>
        <w:t>2.771</w:t>
      </w:r>
      <w:r>
        <w:rPr>
          <w:u w:val="single"/>
        </w:rPr>
        <w:t>t/a</w:t>
      </w:r>
      <w:r>
        <w:rPr>
          <w:rFonts w:hint="eastAsia"/>
          <w:u w:val="single"/>
        </w:rPr>
        <w:t>。项目实施后</w:t>
      </w:r>
      <w:r>
        <w:rPr>
          <w:u w:val="single"/>
        </w:rPr>
        <w:t>CODcr</w:t>
      </w:r>
      <w:r>
        <w:rPr>
          <w:rFonts w:hint="eastAsia"/>
          <w:u w:val="single"/>
        </w:rPr>
        <w:t>和氨氮排放量均在排污许可证核定的总量范围之内，满足总量控制要求。</w:t>
      </w:r>
    </w:p>
    <w:p>
      <w:pPr>
        <w:ind w:firstLine="480"/>
        <w:rPr>
          <w:u w:val="single"/>
        </w:rPr>
      </w:pPr>
      <w:r>
        <w:rPr>
          <w:u w:val="single"/>
        </w:rPr>
        <w:t>2</w:t>
      </w:r>
      <w:r>
        <w:rPr>
          <w:rFonts w:hint="eastAsia"/>
          <w:u w:val="single"/>
        </w:rPr>
        <w:t>、大气污染物总量控制分析</w:t>
      </w:r>
    </w:p>
    <w:p>
      <w:pPr>
        <w:spacing w:line="480" w:lineRule="exact"/>
        <w:ind w:firstLine="480"/>
        <w:rPr>
          <w:u w:val="single"/>
        </w:rPr>
      </w:pPr>
      <w:r>
        <w:rPr>
          <w:rFonts w:hint="eastAsia"/>
          <w:u w:val="single"/>
        </w:rPr>
        <w:t>技改项目实施后，企业</w:t>
      </w:r>
      <w:r>
        <w:rPr>
          <w:u w:val="single"/>
        </w:rPr>
        <w:t>SO</w:t>
      </w:r>
      <w:r>
        <w:rPr>
          <w:u w:val="single"/>
          <w:vertAlign w:val="subscript"/>
        </w:rPr>
        <w:t>2</w:t>
      </w:r>
      <w:r>
        <w:rPr>
          <w:rFonts w:hint="eastAsia"/>
          <w:u w:val="single"/>
        </w:rPr>
        <w:t>排放量为</w:t>
      </w:r>
      <w:r>
        <w:rPr>
          <w:u w:val="single"/>
        </w:rPr>
        <w:t>2.992t/a</w:t>
      </w:r>
      <w:r>
        <w:rPr>
          <w:rFonts w:hint="eastAsia"/>
          <w:u w:val="single"/>
        </w:rPr>
        <w:t>，氮氧化物（</w:t>
      </w:r>
      <w:r>
        <w:rPr>
          <w:u w:val="single"/>
        </w:rPr>
        <w:t>NOx</w:t>
      </w:r>
      <w:r>
        <w:rPr>
          <w:rFonts w:hint="eastAsia"/>
          <w:u w:val="single"/>
        </w:rPr>
        <w:t>）排放量为</w:t>
      </w:r>
      <w:r>
        <w:rPr>
          <w:u w:val="single"/>
        </w:rPr>
        <w:t>2.244/a</w:t>
      </w:r>
      <w:r>
        <w:rPr>
          <w:rFonts w:hint="eastAsia"/>
          <w:u w:val="single"/>
        </w:rPr>
        <w:t>，项目实施后二氧化硫、氮氧化物排放量均在排污许可证核定的总量范围之内，满足总量控制要求。</w:t>
      </w:r>
    </w:p>
    <w:p>
      <w:pPr>
        <w:spacing w:line="480" w:lineRule="exact"/>
        <w:ind w:firstLine="480"/>
        <w:rPr>
          <w:u w:val="single"/>
        </w:rPr>
      </w:pPr>
      <w:r>
        <w:rPr>
          <w:rFonts w:hint="eastAsia"/>
          <w:u w:val="single"/>
        </w:rPr>
        <w:t>技改项目实施后，企业</w:t>
      </w:r>
      <w:r>
        <w:rPr>
          <w:u w:val="single"/>
        </w:rPr>
        <w:t>VOC</w:t>
      </w:r>
      <w:r>
        <w:rPr>
          <w:rFonts w:hint="eastAsia"/>
          <w:u w:val="single"/>
        </w:rPr>
        <w:t>排放量为</w:t>
      </w:r>
      <w:r>
        <w:rPr>
          <w:u w:val="single"/>
        </w:rPr>
        <w:t>1.</w:t>
      </w:r>
      <w:r>
        <w:rPr>
          <w:rFonts w:hint="eastAsia"/>
          <w:u w:val="single"/>
          <w:lang w:val="en-US" w:eastAsia="zh-CN"/>
        </w:rPr>
        <w:t>655</w:t>
      </w:r>
      <w:r>
        <w:rPr>
          <w:u w:val="single"/>
        </w:rPr>
        <w:t>t/a</w:t>
      </w:r>
      <w:r>
        <w:rPr>
          <w:rFonts w:hint="eastAsia"/>
          <w:u w:val="single"/>
        </w:rPr>
        <w:t>，与技改前排放量</w:t>
      </w:r>
      <w:r>
        <w:rPr>
          <w:rFonts w:hint="eastAsia"/>
          <w:u w:val="single"/>
          <w:lang w:val="en-US" w:eastAsia="zh-CN"/>
        </w:rPr>
        <w:t>8.1t</w:t>
      </w:r>
      <w:r>
        <w:rPr>
          <w:u w:val="single"/>
        </w:rPr>
        <w:t>/a</w:t>
      </w:r>
      <w:r>
        <w:rPr>
          <w:rFonts w:hint="eastAsia"/>
          <w:u w:val="single"/>
        </w:rPr>
        <w:t>减少了</w:t>
      </w:r>
      <w:r>
        <w:rPr>
          <w:rFonts w:hint="eastAsia"/>
          <w:u w:val="single"/>
          <w:lang w:val="en-US" w:eastAsia="zh-CN"/>
        </w:rPr>
        <w:t>6.445</w:t>
      </w:r>
      <w:r>
        <w:rPr>
          <w:u w:val="single"/>
        </w:rPr>
        <w:t>t/a</w:t>
      </w:r>
      <w:r>
        <w:rPr>
          <w:rFonts w:hint="eastAsia"/>
          <w:u w:val="single"/>
        </w:rPr>
        <w:t>，项目实施后</w:t>
      </w:r>
      <w:r>
        <w:rPr>
          <w:u w:val="single"/>
        </w:rPr>
        <w:t>VOC</w:t>
      </w:r>
      <w:r>
        <w:rPr>
          <w:rFonts w:hint="eastAsia"/>
          <w:u w:val="single"/>
        </w:rPr>
        <w:t>总量控制建议值为</w:t>
      </w:r>
      <w:r>
        <w:rPr>
          <w:rFonts w:hint="eastAsia"/>
          <w:u w:val="single"/>
          <w:lang w:val="en-US" w:eastAsia="zh-CN"/>
        </w:rPr>
        <w:t>1.7</w:t>
      </w:r>
      <w:r>
        <w:rPr>
          <w:u w:val="single"/>
        </w:rPr>
        <w:t>t/a</w:t>
      </w:r>
      <w:r>
        <w:rPr>
          <w:rFonts w:hint="eastAsia"/>
          <w:u w:val="single"/>
        </w:rPr>
        <w:t>。</w:t>
      </w:r>
    </w:p>
    <w:p>
      <w:pPr>
        <w:ind w:firstLine="0" w:firstLineChars="0"/>
        <w:sectPr>
          <w:pgSz w:w="11906" w:h="16838"/>
          <w:pgMar w:top="1440" w:right="1417" w:bottom="1440" w:left="1417" w:header="851" w:footer="992" w:gutter="0"/>
          <w:cols w:space="0" w:num="1"/>
          <w:docGrid w:type="lines" w:linePitch="332" w:charSpace="0"/>
        </w:sectPr>
      </w:pPr>
    </w:p>
    <w:p>
      <w:pPr>
        <w:pStyle w:val="2"/>
      </w:pPr>
      <w:bookmarkStart w:id="30" w:name="_Toc18874"/>
      <w:r>
        <w:rPr>
          <w:rFonts w:hint="eastAsia"/>
        </w:rPr>
        <w:t>环境现状调查与评价</w:t>
      </w:r>
      <w:bookmarkEnd w:id="30"/>
    </w:p>
    <w:p>
      <w:pPr>
        <w:pStyle w:val="3"/>
      </w:pPr>
      <w:bookmarkStart w:id="31" w:name="_Toc30915"/>
      <w:r>
        <w:rPr>
          <w:rFonts w:hint="eastAsia"/>
        </w:rPr>
        <w:t>自然环境现状调查与评价</w:t>
      </w:r>
      <w:bookmarkEnd w:id="31"/>
    </w:p>
    <w:p>
      <w:pPr>
        <w:pStyle w:val="4"/>
      </w:pPr>
      <w:r>
        <w:rPr>
          <w:rFonts w:hint="eastAsia"/>
        </w:rPr>
        <w:t>地理位置与交通</w:t>
      </w:r>
    </w:p>
    <w:p>
      <w:pPr>
        <w:ind w:firstLine="480"/>
      </w:pPr>
      <w:r>
        <w:rPr>
          <w:rFonts w:hint="eastAsia"/>
        </w:rPr>
        <w:t>岳阳市位于湖南省东北部，地处长江与洞庭湖黄金水道交汇点，湘、鄂、赣三省交界区，介于东经</w:t>
      </w:r>
      <w:r>
        <w:t>112</w:t>
      </w:r>
      <w:r>
        <w:rPr>
          <w:rFonts w:hint="eastAsia"/>
        </w:rPr>
        <w:t>°</w:t>
      </w:r>
      <w:r>
        <w:t>18</w:t>
      </w:r>
      <w:r>
        <w:rPr>
          <w:rFonts w:hint="eastAsia"/>
        </w:rPr>
        <w:t>′</w:t>
      </w:r>
      <w:r>
        <w:t>31</w:t>
      </w:r>
      <w:r>
        <w:rPr>
          <w:rFonts w:hint="eastAsia"/>
        </w:rPr>
        <w:t>″～</w:t>
      </w:r>
      <w:r>
        <w:t>114</w:t>
      </w:r>
      <w:r>
        <w:rPr>
          <w:rFonts w:hint="eastAsia"/>
        </w:rPr>
        <w:t>°</w:t>
      </w:r>
      <w:r>
        <w:t>9</w:t>
      </w:r>
      <w:r>
        <w:rPr>
          <w:rFonts w:hint="eastAsia"/>
        </w:rPr>
        <w:t>′</w:t>
      </w:r>
      <w:r>
        <w:t>06</w:t>
      </w:r>
      <w:r>
        <w:rPr>
          <w:rFonts w:hint="eastAsia"/>
        </w:rPr>
        <w:t>″，北纬</w:t>
      </w:r>
      <w:r>
        <w:t>28</w:t>
      </w:r>
      <w:r>
        <w:rPr>
          <w:rFonts w:hint="eastAsia"/>
        </w:rPr>
        <w:t>°</w:t>
      </w:r>
      <w:r>
        <w:t>25</w:t>
      </w:r>
      <w:r>
        <w:rPr>
          <w:rFonts w:hint="eastAsia"/>
        </w:rPr>
        <w:t>′</w:t>
      </w:r>
      <w:r>
        <w:t>00</w:t>
      </w:r>
      <w:r>
        <w:rPr>
          <w:rFonts w:hint="eastAsia"/>
        </w:rPr>
        <w:t>″～</w:t>
      </w:r>
      <w:r>
        <w:t>29</w:t>
      </w:r>
      <w:r>
        <w:rPr>
          <w:rFonts w:hint="eastAsia"/>
        </w:rPr>
        <w:t>°</w:t>
      </w:r>
      <w:r>
        <w:t>51</w:t>
      </w:r>
      <w:r>
        <w:rPr>
          <w:rFonts w:hint="eastAsia"/>
        </w:rPr>
        <w:t>′</w:t>
      </w:r>
      <w:r>
        <w:t>00</w:t>
      </w:r>
      <w:r>
        <w:rPr>
          <w:rFonts w:hint="eastAsia"/>
        </w:rPr>
        <w:t>″之间。拥有国土面积</w:t>
      </w:r>
      <w:r>
        <w:t>1.5</w:t>
      </w:r>
      <w:r>
        <w:rPr>
          <w:rFonts w:hint="eastAsia"/>
        </w:rPr>
        <w:t>万平方公里，总人口</w:t>
      </w:r>
      <w:r>
        <w:t>536</w:t>
      </w:r>
      <w:r>
        <w:rPr>
          <w:rFonts w:hint="eastAsia"/>
        </w:rPr>
        <w:t>万。</w:t>
      </w:r>
    </w:p>
    <w:p>
      <w:pPr>
        <w:ind w:firstLine="480"/>
      </w:pPr>
      <w:r>
        <w:rPr>
          <w:rFonts w:hint="eastAsia"/>
        </w:rPr>
        <w:t>屈原管理区位于湘江与汨罗江交汇口，向东与向南与汨罗市相邻，向西南与湘阴县相连，通过水陆交通与长沙、岳阳相联系，地势平坦、交通便利，具有很强的经济吸纳能力和市场发展潜力。境内有省道</w:t>
      </w:r>
      <w:r>
        <w:t>307</w:t>
      </w:r>
      <w:r>
        <w:rPr>
          <w:rFonts w:hint="eastAsia"/>
        </w:rPr>
        <w:t>线（屈汨公路）经过，京港澳高速公路、国道</w:t>
      </w:r>
      <w:r>
        <w:t>107</w:t>
      </w:r>
      <w:r>
        <w:rPr>
          <w:rFonts w:hint="eastAsia"/>
        </w:rPr>
        <w:t>线、京广铁路等交通干线伴境而过，距省会长沙</w:t>
      </w:r>
      <w:r>
        <w:t>82</w:t>
      </w:r>
      <w:r>
        <w:rPr>
          <w:rFonts w:hint="eastAsia"/>
        </w:rPr>
        <w:t>公里，距岳阳市</w:t>
      </w:r>
      <w:r>
        <w:t>66</w:t>
      </w:r>
      <w:r>
        <w:rPr>
          <w:rFonts w:hint="eastAsia"/>
        </w:rPr>
        <w:t>公里。距京广铁路</w:t>
      </w:r>
      <w:r>
        <w:t>4</w:t>
      </w:r>
      <w:r>
        <w:rPr>
          <w:rFonts w:hint="eastAsia"/>
        </w:rPr>
        <w:t>公里，上</w:t>
      </w:r>
      <w:r>
        <w:t>S201</w:t>
      </w:r>
      <w:r>
        <w:rPr>
          <w:rFonts w:hint="eastAsia"/>
        </w:rPr>
        <w:t>线</w:t>
      </w:r>
      <w:r>
        <w:t>3.5</w:t>
      </w:r>
      <w:r>
        <w:rPr>
          <w:rFonts w:hint="eastAsia"/>
        </w:rPr>
        <w:t>公里，距</w:t>
      </w:r>
      <w:r>
        <w:t>107</w:t>
      </w:r>
      <w:r>
        <w:rPr>
          <w:rFonts w:hint="eastAsia"/>
        </w:rPr>
        <w:t>国道</w:t>
      </w:r>
      <w:r>
        <w:t>12</w:t>
      </w:r>
      <w:r>
        <w:rPr>
          <w:rFonts w:hint="eastAsia"/>
        </w:rPr>
        <w:t>公里，距京珠高速公路</w:t>
      </w:r>
      <w:r>
        <w:t>15</w:t>
      </w:r>
      <w:r>
        <w:rPr>
          <w:rFonts w:hint="eastAsia"/>
        </w:rPr>
        <w:t>公里，成为沟通南北连接的通道。距营田码头</w:t>
      </w:r>
      <w:r>
        <w:t>2</w:t>
      </w:r>
      <w:r>
        <w:rPr>
          <w:rFonts w:hint="eastAsia"/>
        </w:rPr>
        <w:t>公里，已形成四通八达、水陆兼济的运输网络。</w:t>
      </w:r>
    </w:p>
    <w:p>
      <w:pPr>
        <w:ind w:firstLine="480"/>
      </w:pPr>
      <w:r>
        <w:rPr>
          <w:rFonts w:hint="eastAsia"/>
        </w:rPr>
        <w:t>本项目位于岳阳市屈原管理区营田镇湖南德科纺织印染有限公司印染分厂现有厂区内，地理位置详见附图</w:t>
      </w:r>
      <w:r>
        <w:t>1</w:t>
      </w:r>
      <w:r>
        <w:rPr>
          <w:rFonts w:hint="eastAsia"/>
        </w:rPr>
        <w:t>。</w:t>
      </w:r>
    </w:p>
    <w:p>
      <w:pPr>
        <w:pStyle w:val="4"/>
      </w:pPr>
      <w:r>
        <w:rPr>
          <w:rFonts w:hint="eastAsia"/>
        </w:rPr>
        <w:t>地形、地貌、地质</w:t>
      </w:r>
    </w:p>
    <w:p>
      <w:pPr>
        <w:ind w:firstLine="480"/>
      </w:pPr>
      <w:r>
        <w:rPr>
          <w:rFonts w:hint="eastAsia"/>
        </w:rPr>
        <w:t>岳阳市境地貌是经过多次地壳运动和长期侵蚀堆积而成的，由于地质构造和岩性组合复杂以及气候的深刻影响，从而发育、演变成了多种多样的地貌。丘岗与盆地相穿插、平原与湖泊犬牙交错。山地、丘陵、岗地、平原、水面的比例大致为</w:t>
      </w:r>
      <w:r>
        <w:t>15</w:t>
      </w:r>
      <w:r>
        <w:rPr>
          <w:rFonts w:hint="eastAsia"/>
        </w:rPr>
        <w:t>∶</w:t>
      </w:r>
      <w:r>
        <w:t>24</w:t>
      </w:r>
      <w:r>
        <w:rPr>
          <w:rFonts w:hint="eastAsia"/>
        </w:rPr>
        <w:t>∶</w:t>
      </w:r>
      <w:r>
        <w:t>17</w:t>
      </w:r>
      <w:r>
        <w:rPr>
          <w:rFonts w:hint="eastAsia"/>
        </w:rPr>
        <w:t>∶</w:t>
      </w:r>
      <w:r>
        <w:t>27</w:t>
      </w:r>
      <w:r>
        <w:rPr>
          <w:rFonts w:hint="eastAsia"/>
        </w:rPr>
        <w:t>∶</w:t>
      </w:r>
      <w:r>
        <w:t>17</w:t>
      </w:r>
      <w:r>
        <w:rPr>
          <w:rFonts w:hint="eastAsia"/>
        </w:rPr>
        <w:t>。地势东高西低，呈阶梯状向洞庭湖盆倾斜。最高点为平江县连云山主峰，最低地面高程为黄盖湖，黄海</w:t>
      </w:r>
      <w:r>
        <w:t>21</w:t>
      </w:r>
      <w:r>
        <w:rPr>
          <w:rFonts w:hint="eastAsia"/>
        </w:rPr>
        <w:t>米。全境地貌可划分为三个分布区，分别为东部山丘区，中部丘岗区，西部平原区。屈原管理区地处东经</w:t>
      </w:r>
      <w:r>
        <w:t>112051'</w:t>
      </w:r>
      <w:r>
        <w:rPr>
          <w:rFonts w:hint="eastAsia"/>
        </w:rPr>
        <w:t>－</w:t>
      </w:r>
      <w:r>
        <w:t>113027'</w:t>
      </w:r>
      <w:r>
        <w:rPr>
          <w:rFonts w:hint="eastAsia"/>
        </w:rPr>
        <w:t>，北纬</w:t>
      </w:r>
      <w:r>
        <w:t>28028'</w:t>
      </w:r>
      <w:r>
        <w:rPr>
          <w:rFonts w:hint="eastAsia"/>
        </w:rPr>
        <w:t>－</w:t>
      </w:r>
      <w:r>
        <w:t>29027'</w:t>
      </w:r>
      <w:r>
        <w:rPr>
          <w:rFonts w:hint="eastAsia"/>
        </w:rPr>
        <w:t>。地势</w:t>
      </w:r>
      <w:r>
        <w:fldChar w:fldCharType="begin"/>
      </w:r>
      <w:r>
        <w:instrText xml:space="preserve"> HYPERLINK "http://baike.baidu.com/view/382792.htm" \t "_blank" </w:instrText>
      </w:r>
      <w:r>
        <w:fldChar w:fldCharType="separate"/>
      </w:r>
      <w:r>
        <w:rPr>
          <w:rFonts w:hint="eastAsia"/>
        </w:rPr>
        <w:t>南高</w:t>
      </w:r>
      <w:r>
        <w:rPr>
          <w:rFonts w:hint="eastAsia"/>
        </w:rPr>
        <w:fldChar w:fldCharType="end"/>
      </w:r>
      <w:r>
        <w:rPr>
          <w:rFonts w:hint="eastAsia"/>
        </w:rPr>
        <w:t>北低，属洞庭湖与汨罗江冲积平原，土地肥沃，资源丰富。</w:t>
      </w:r>
    </w:p>
    <w:p>
      <w:pPr>
        <w:ind w:firstLine="480"/>
      </w:pPr>
      <w:r>
        <w:rPr>
          <w:rFonts w:hint="eastAsia"/>
        </w:rPr>
        <w:t>屈原管理区土地平坦，境内有三种独具性态的成土母质，分别为砂岩变质岩、第四纪红色粘土及河湖沉积物。农业生产条件优越。地势自东南向西北东洞庭湖倾斜为元宝形盆地，以人工平原为主，散布低丘岗地，区内地面高</w:t>
      </w:r>
      <w:r>
        <w:t>22.1-32.1m</w:t>
      </w:r>
      <w:r>
        <w:rPr>
          <w:rFonts w:hint="eastAsia"/>
        </w:rPr>
        <w:t>。制高点为磊石山，海拔</w:t>
      </w:r>
      <w:r>
        <w:t>90.72 m</w:t>
      </w:r>
      <w:r>
        <w:rPr>
          <w:rFonts w:hint="eastAsia"/>
        </w:rPr>
        <w:t>，最低处是荞麦湖湖底，海拔</w:t>
      </w:r>
      <w:r>
        <w:t>22m</w:t>
      </w:r>
      <w:r>
        <w:rPr>
          <w:rFonts w:hint="eastAsia"/>
        </w:rPr>
        <w:t>。</w:t>
      </w:r>
    </w:p>
    <w:p>
      <w:pPr>
        <w:ind w:firstLine="480"/>
      </w:pPr>
      <w:r>
        <w:rPr>
          <w:rFonts w:hint="eastAsia"/>
        </w:rPr>
        <w:t>项目位于屈原管理区，根据国家地震局、建设部</w:t>
      </w:r>
      <w:r>
        <w:t>2001</w:t>
      </w:r>
      <w:r>
        <w:rPr>
          <w:rFonts w:hint="eastAsia"/>
        </w:rPr>
        <w:t>年版《中国地震动参数区划图》，地震烈度为</w:t>
      </w:r>
      <w:r>
        <w:t>7</w:t>
      </w:r>
      <w:r>
        <w:rPr>
          <w:rFonts w:hint="eastAsia"/>
        </w:rPr>
        <w:t>度。</w:t>
      </w:r>
    </w:p>
    <w:p>
      <w:pPr>
        <w:pStyle w:val="4"/>
      </w:pPr>
      <w:r>
        <w:rPr>
          <w:rFonts w:hint="eastAsia"/>
        </w:rPr>
        <w:t>气象、气候</w:t>
      </w:r>
    </w:p>
    <w:p>
      <w:pPr>
        <w:ind w:firstLine="480"/>
      </w:pPr>
      <w:r>
        <w:rPr>
          <w:rFonts w:hint="eastAsia"/>
        </w:rPr>
        <w:t>屈原管理区属大陆亚热带湿润性季风气候，雨量充沛，四季分明，无霜期长，气候湿和，光热充足。春冬之际，寒潮频繁，夏季高温多雨，秋季多干旱。</w:t>
      </w:r>
    </w:p>
    <w:p>
      <w:pPr>
        <w:ind w:firstLine="480"/>
      </w:pPr>
      <w:r>
        <w:rPr>
          <w:rFonts w:hint="eastAsia"/>
        </w:rPr>
        <w:t>气温及日照：区境全年平均气温</w:t>
      </w:r>
      <w:r>
        <w:t>16.9</w:t>
      </w:r>
      <w:r>
        <w:rPr>
          <w:rFonts w:hint="eastAsia"/>
        </w:rPr>
        <w:t>℃，历年极端最高气温</w:t>
      </w:r>
      <w:r>
        <w:t>40.1</w:t>
      </w:r>
      <w:r>
        <w:rPr>
          <w:rFonts w:hint="eastAsia"/>
        </w:rPr>
        <w:t>℃，极端最低气温约</w:t>
      </w:r>
      <w:r>
        <w:t>-14.7</w:t>
      </w:r>
      <w:r>
        <w:rPr>
          <w:rFonts w:hint="eastAsia"/>
        </w:rPr>
        <w:t>℃，年平均日照为</w:t>
      </w:r>
      <w:r>
        <w:t>1641.3h</w:t>
      </w:r>
      <w:r>
        <w:rPr>
          <w:rFonts w:hint="eastAsia"/>
        </w:rPr>
        <w:t>，日照百分率为</w:t>
      </w:r>
      <w:r>
        <w:t>39%</w:t>
      </w:r>
      <w:r>
        <w:rPr>
          <w:rFonts w:hint="eastAsia"/>
        </w:rPr>
        <w:t>。</w:t>
      </w:r>
    </w:p>
    <w:p>
      <w:pPr>
        <w:ind w:firstLine="480"/>
      </w:pPr>
      <w:r>
        <w:rPr>
          <w:rFonts w:hint="eastAsia"/>
        </w:rPr>
        <w:t>降水：全区年降水量</w:t>
      </w:r>
      <w:r>
        <w:t>1406.7mm</w:t>
      </w:r>
      <w:r>
        <w:rPr>
          <w:rFonts w:hint="eastAsia"/>
        </w:rPr>
        <w:t>，年平均降雨日数为</w:t>
      </w:r>
      <w:r>
        <w:t>152d</w:t>
      </w:r>
      <w:r>
        <w:rPr>
          <w:rFonts w:hint="eastAsia"/>
        </w:rPr>
        <w:t>，年平均蒸发量</w:t>
      </w:r>
      <w:r>
        <w:t>1459.8mm</w:t>
      </w:r>
      <w:r>
        <w:rPr>
          <w:rFonts w:hint="eastAsia"/>
        </w:rPr>
        <w:t>，</w:t>
      </w:r>
      <w:r>
        <w:t>4</w:t>
      </w:r>
      <w:r>
        <w:rPr>
          <w:rFonts w:hint="eastAsia"/>
        </w:rPr>
        <w:t>月～</w:t>
      </w:r>
      <w:r>
        <w:t>8</w:t>
      </w:r>
      <w:r>
        <w:rPr>
          <w:rFonts w:hint="eastAsia"/>
        </w:rPr>
        <w:t>月平均降水为</w:t>
      </w:r>
      <w:r>
        <w:t>844.6mm</w:t>
      </w:r>
      <w:r>
        <w:rPr>
          <w:rFonts w:hint="eastAsia"/>
        </w:rPr>
        <w:t>，占全年雨量的</w:t>
      </w:r>
      <w:r>
        <w:t>60%</w:t>
      </w:r>
      <w:r>
        <w:rPr>
          <w:rFonts w:hint="eastAsia"/>
        </w:rPr>
        <w:t>，年平均相对温度</w:t>
      </w:r>
      <w:r>
        <w:t>81%</w:t>
      </w:r>
      <w:r>
        <w:rPr>
          <w:rFonts w:hint="eastAsia"/>
        </w:rPr>
        <w:t>。</w:t>
      </w:r>
    </w:p>
    <w:p>
      <w:pPr>
        <w:ind w:firstLine="480"/>
      </w:pPr>
      <w:r>
        <w:rPr>
          <w:rFonts w:hint="eastAsia"/>
        </w:rPr>
        <w:t>风向：境内风向季节变化明显，冬季盛吹偏北风，夏季多偏南风，全年风向频率北风</w:t>
      </w:r>
      <w:r>
        <w:t>31%</w:t>
      </w:r>
      <w:r>
        <w:rPr>
          <w:rFonts w:hint="eastAsia"/>
        </w:rPr>
        <w:t>，为湖南省之最，南风占</w:t>
      </w:r>
      <w:r>
        <w:t>12%</w:t>
      </w:r>
      <w:r>
        <w:rPr>
          <w:rFonts w:hint="eastAsia"/>
        </w:rPr>
        <w:t>，静风占</w:t>
      </w:r>
      <w:r>
        <w:t>8%</w:t>
      </w:r>
      <w:r>
        <w:rPr>
          <w:rFonts w:hint="eastAsia"/>
        </w:rPr>
        <w:t>。</w:t>
      </w:r>
    </w:p>
    <w:p>
      <w:pPr>
        <w:ind w:firstLine="480"/>
      </w:pPr>
      <w:r>
        <w:rPr>
          <w:rFonts w:hint="eastAsia"/>
        </w:rPr>
        <w:t>风速：年均风速</w:t>
      </w:r>
      <w:r>
        <w:t>3.0m/s</w:t>
      </w:r>
      <w:r>
        <w:rPr>
          <w:rFonts w:hint="eastAsia"/>
        </w:rPr>
        <w:t>，历年最大风速</w:t>
      </w:r>
      <w:r>
        <w:t>24.0m/s</w:t>
      </w:r>
      <w:r>
        <w:rPr>
          <w:rFonts w:hint="eastAsia"/>
        </w:rPr>
        <w:t>，相应风向</w:t>
      </w:r>
      <w:r>
        <w:t>NNE</w:t>
      </w:r>
      <w:r>
        <w:rPr>
          <w:rFonts w:hint="eastAsia"/>
        </w:rPr>
        <w:t>或</w:t>
      </w:r>
      <w:r>
        <w:t>N</w:t>
      </w:r>
      <w:r>
        <w:rPr>
          <w:rFonts w:hint="eastAsia"/>
        </w:rPr>
        <w:t>，多年平均大风天数</w:t>
      </w:r>
      <w:r>
        <w:t>101d</w:t>
      </w:r>
      <w:r>
        <w:rPr>
          <w:rFonts w:hint="eastAsia"/>
        </w:rPr>
        <w:t>。</w:t>
      </w:r>
    </w:p>
    <w:p>
      <w:pPr>
        <w:pStyle w:val="4"/>
      </w:pPr>
      <w:r>
        <w:rPr>
          <w:rFonts w:hint="eastAsia"/>
        </w:rPr>
        <w:t>水文</w:t>
      </w:r>
    </w:p>
    <w:p>
      <w:pPr>
        <w:ind w:firstLine="480"/>
      </w:pPr>
      <w:r>
        <w:rPr>
          <w:rFonts w:hint="eastAsia"/>
        </w:rPr>
        <w:t>岳阳市水系发达，湖泊星罗棋布，河流网织，有大小湖泊</w:t>
      </w:r>
      <w:r>
        <w:t>165</w:t>
      </w:r>
      <w:r>
        <w:rPr>
          <w:rFonts w:hint="eastAsia"/>
        </w:rPr>
        <w:t>个，</w:t>
      </w:r>
      <w:r>
        <w:t>280</w:t>
      </w:r>
      <w:r>
        <w:rPr>
          <w:rFonts w:hint="eastAsia"/>
        </w:rPr>
        <w:t>多条大小河流直接流入洞庭湖和长江。洞庭湖是长江中游最重要的调蓄湖泊，湖泊面积</w:t>
      </w:r>
      <w:r>
        <w:t>2691km2</w:t>
      </w:r>
      <w:r>
        <w:rPr>
          <w:rFonts w:hint="eastAsia"/>
        </w:rPr>
        <w:t>，总容积</w:t>
      </w:r>
      <w:r>
        <w:t>170</w:t>
      </w:r>
      <w:r>
        <w:rPr>
          <w:rFonts w:hint="eastAsia"/>
        </w:rPr>
        <w:t>亿</w:t>
      </w:r>
      <w:r>
        <w:t>m3</w:t>
      </w:r>
      <w:r>
        <w:rPr>
          <w:rFonts w:hint="eastAsia"/>
        </w:rPr>
        <w:t>，分为东、西、南洞庭湖。岳阳市境内洞庭湖面积约</w:t>
      </w:r>
      <w:r>
        <w:t>1328km2</w:t>
      </w:r>
      <w:r>
        <w:rPr>
          <w:rFonts w:hint="eastAsia"/>
        </w:rPr>
        <w:t>。东洞庭湖是洞庭湖泊群落中最大、保存最完好的天然季节性湖泊，占洞庭湖总水面的</w:t>
      </w:r>
      <w:r>
        <w:t>49.35%</w:t>
      </w:r>
      <w:r>
        <w:rPr>
          <w:rFonts w:hint="eastAsia"/>
        </w:rPr>
        <w:t>，其水面大部分位于岳阳境内。在洞庭湖周边，沿东、南、西、北</w:t>
      </w:r>
      <w:r>
        <w:t>4</w:t>
      </w:r>
      <w:r>
        <w:rPr>
          <w:rFonts w:hint="eastAsia"/>
        </w:rPr>
        <w:t>个方向，分别有新墙河、汨罗江、湘江、资江、沅江、澧水、松滋河、虎渡河、藕池河等九条大中江河入湖，形成以洞庭湖为中心的辐射状水系，亦被称“九龙闹洞庭”。其中前六条统称为“南水”，后三条统称为“北水”，南、北两水在洞庭湖“九九归一”于城陵矶汇入长江。全市长</w:t>
      </w:r>
      <w:r>
        <w:t>5</w:t>
      </w:r>
      <w:r>
        <w:rPr>
          <w:rFonts w:hint="eastAsia"/>
        </w:rPr>
        <w:t>公里以上河流有</w:t>
      </w:r>
      <w:r>
        <w:t>273</w:t>
      </w:r>
      <w:r>
        <w:rPr>
          <w:rFonts w:hint="eastAsia"/>
        </w:rPr>
        <w:t>条，流域面积</w:t>
      </w:r>
      <w:r>
        <w:t>100 km2</w:t>
      </w:r>
      <w:r>
        <w:rPr>
          <w:rFonts w:hint="eastAsia"/>
        </w:rPr>
        <w:t>的河流有</w:t>
      </w:r>
      <w:r>
        <w:t>27</w:t>
      </w:r>
      <w:r>
        <w:rPr>
          <w:rFonts w:hint="eastAsia"/>
        </w:rPr>
        <w:t>条，流域面积</w:t>
      </w:r>
      <w:r>
        <w:t>2000 km2</w:t>
      </w:r>
      <w:r>
        <w:rPr>
          <w:rFonts w:hint="eastAsia"/>
        </w:rPr>
        <w:t>以上的河流有两条。</w:t>
      </w:r>
    </w:p>
    <w:p>
      <w:pPr>
        <w:ind w:firstLine="480"/>
      </w:pPr>
      <w:r>
        <w:rPr>
          <w:rFonts w:hint="eastAsia"/>
        </w:rPr>
        <w:t>屈原管理区境内河湖分属汨罗江水系、湘江水系和洞庭湖区水系，汨罗江绕区之东，自东向西北奔流，湘江环区之西，循防洪大堤由南向北，湘汨两水于区境北端磊石山交汇注入洞庭湖，是水资源最为丰富的县区之一。</w:t>
      </w:r>
    </w:p>
    <w:p>
      <w:pPr>
        <w:ind w:firstLine="480"/>
      </w:pPr>
      <w:r>
        <w:rPr>
          <w:rFonts w:hint="eastAsia"/>
        </w:rPr>
        <w:t>汨罗江发源于江西省修水县的黄龙山脉，往西流经平江县、汨罗市于磊石山注入东洞庭湖。干流长度</w:t>
      </w:r>
      <w:r>
        <w:t>253.3</w:t>
      </w:r>
      <w:r>
        <w:rPr>
          <w:rFonts w:hint="eastAsia"/>
        </w:rPr>
        <w:t>公里，平均迫降</w:t>
      </w:r>
      <w:r>
        <w:t>0.46</w:t>
      </w:r>
      <w:r>
        <w:rPr>
          <w:rFonts w:hint="eastAsia"/>
        </w:rPr>
        <w:t>‰，流域面积达</w:t>
      </w:r>
      <w:r>
        <w:t>5543</w:t>
      </w:r>
      <w:r>
        <w:rPr>
          <w:rFonts w:hint="eastAsia"/>
        </w:rPr>
        <w:t>平方公里。青冲口以下（汨罗段）为洞庭湖冲击平原区，地形平坦开阔，地面高程在</w:t>
      </w:r>
      <w:r>
        <w:t>22.1m-32.1m</w:t>
      </w:r>
      <w:r>
        <w:rPr>
          <w:rFonts w:hint="eastAsia"/>
        </w:rPr>
        <w:t>，汨水入湖处磊石山基岩裸露，山顶高程</w:t>
      </w:r>
      <w:r>
        <w:t>88.5m</w:t>
      </w:r>
      <w:r>
        <w:rPr>
          <w:rFonts w:hint="eastAsia"/>
        </w:rPr>
        <w:t>。流域总的地势为东南高西北地。流域面积</w:t>
      </w:r>
      <w:r>
        <w:t>5543km2</w:t>
      </w:r>
      <w:r>
        <w:rPr>
          <w:rFonts w:hint="eastAsia"/>
        </w:rPr>
        <w:t>，河长</w:t>
      </w:r>
      <w:r>
        <w:t>253.2km</w:t>
      </w:r>
      <w:r>
        <w:rPr>
          <w:rFonts w:hint="eastAsia"/>
        </w:rPr>
        <w:t>，其中汨罗市境内长</w:t>
      </w:r>
      <w:r>
        <w:t>61.5km</w:t>
      </w:r>
      <w:r>
        <w:rPr>
          <w:rFonts w:hint="eastAsia"/>
        </w:rPr>
        <w:t>，流域面积</w:t>
      </w:r>
      <w:r>
        <w:t>965km2</w:t>
      </w:r>
      <w:r>
        <w:rPr>
          <w:rFonts w:hint="eastAsia"/>
        </w:rPr>
        <w:t>。干流多年平均径流量为</w:t>
      </w:r>
      <w:r>
        <w:t>43.04</w:t>
      </w:r>
      <w:r>
        <w:rPr>
          <w:rFonts w:hint="eastAsia"/>
        </w:rPr>
        <w:t>亿</w:t>
      </w:r>
      <w:r>
        <w:t>m3</w:t>
      </w:r>
      <w:r>
        <w:rPr>
          <w:rFonts w:hint="eastAsia"/>
        </w:rPr>
        <w:t>，汛期</w:t>
      </w:r>
      <w:r>
        <w:t>5~8</w:t>
      </w:r>
      <w:r>
        <w:rPr>
          <w:rFonts w:hint="eastAsia"/>
        </w:rPr>
        <w:t>月，径流量占全年总量</w:t>
      </w:r>
      <w:r>
        <w:t>46.2</w:t>
      </w:r>
      <w:r>
        <w:rPr>
          <w:rFonts w:hint="eastAsia"/>
        </w:rPr>
        <w:t>％，保证率</w:t>
      </w:r>
      <w:r>
        <w:t>95%</w:t>
      </w:r>
      <w:r>
        <w:rPr>
          <w:rFonts w:hint="eastAsia"/>
        </w:rPr>
        <w:t>的枯水年径流量为</w:t>
      </w:r>
      <w:r>
        <w:t>5.33</w:t>
      </w:r>
      <w:r>
        <w:rPr>
          <w:rFonts w:hint="eastAsia"/>
        </w:rPr>
        <w:t>亿</w:t>
      </w:r>
      <w:r>
        <w:t>m3</w:t>
      </w:r>
      <w:r>
        <w:rPr>
          <w:rFonts w:hint="eastAsia"/>
        </w:rPr>
        <w:t>，多年平均流量</w:t>
      </w:r>
      <w:r>
        <w:t>99.4m3/s</w:t>
      </w:r>
      <w:r>
        <w:rPr>
          <w:rFonts w:hint="eastAsia"/>
        </w:rPr>
        <w:t>，多年最大月平均流量</w:t>
      </w:r>
      <w:r>
        <w:t>231m3/s</w:t>
      </w:r>
      <w:r>
        <w:rPr>
          <w:rFonts w:hint="eastAsia"/>
        </w:rPr>
        <w:t>（</w:t>
      </w:r>
      <w:r>
        <w:t>5</w:t>
      </w:r>
      <w:r>
        <w:rPr>
          <w:rFonts w:hint="eastAsia"/>
        </w:rPr>
        <w:t>月），最小月平均流量</w:t>
      </w:r>
      <w:r>
        <w:t>26.2m3/s</w:t>
      </w:r>
      <w:r>
        <w:rPr>
          <w:rFonts w:hint="eastAsia"/>
        </w:rPr>
        <w:t>（</w:t>
      </w:r>
      <w:r>
        <w:t>1</w:t>
      </w:r>
      <w:r>
        <w:rPr>
          <w:rFonts w:hint="eastAsia"/>
        </w:rPr>
        <w:t>月、</w:t>
      </w:r>
      <w:r>
        <w:t>12</w:t>
      </w:r>
      <w:r>
        <w:rPr>
          <w:rFonts w:hint="eastAsia"/>
        </w:rPr>
        <w:t>月）。</w:t>
      </w:r>
    </w:p>
    <w:p>
      <w:pPr>
        <w:pStyle w:val="4"/>
      </w:pPr>
      <w:r>
        <w:rPr>
          <w:rFonts w:hint="eastAsia"/>
        </w:rPr>
        <w:t>植被与生物多样性</w:t>
      </w:r>
    </w:p>
    <w:p>
      <w:pPr>
        <w:ind w:firstLine="480"/>
      </w:pPr>
      <w:r>
        <w:rPr>
          <w:rFonts w:hint="eastAsia"/>
        </w:rPr>
        <w:t>屈原管理区境内有三种独具性态的成土母质，分别为砂岩变质岩、第四纪红色粘土及河湖沉积物。据考查，屈原管理区的土壤可分为三个土类，五个亚类，十四个土属，三十个土种以及四个变种。三大土类分别是水稻土、红壤和潮土，境内土壤均有利于耕种。</w:t>
      </w:r>
    </w:p>
    <w:p>
      <w:pPr>
        <w:ind w:firstLine="480"/>
      </w:pPr>
      <w:r>
        <w:rPr>
          <w:rFonts w:hint="eastAsia"/>
        </w:rPr>
        <w:t>砂岩变质岩为境内最古老的地层。分布在磊石山全境，面积</w:t>
      </w:r>
      <w:r>
        <w:t>692</w:t>
      </w:r>
      <w:r>
        <w:rPr>
          <w:rFonts w:hint="eastAsia"/>
        </w:rPr>
        <w:t>亩，占全场总面积的</w:t>
      </w:r>
      <w:r>
        <w:t>0.23%</w:t>
      </w:r>
      <w:r>
        <w:rPr>
          <w:rFonts w:hint="eastAsia"/>
        </w:rPr>
        <w:t>。该母质疏松易于风化，但风化层不厚，一般土层较浅，土中夹有半风化岩片，呈酸性，粘重，多为黄色或黄棕色。</w:t>
      </w:r>
    </w:p>
    <w:p>
      <w:pPr>
        <w:ind w:firstLine="480"/>
      </w:pPr>
      <w:r>
        <w:rPr>
          <w:rFonts w:hint="eastAsia"/>
        </w:rPr>
        <w:t>第四纪红色粘土主要分布于凤凰山、小边山、禾鸡山低岗区，由该母质形成的土壤有</w:t>
      </w:r>
      <w:r>
        <w:t>466</w:t>
      </w:r>
      <w:r>
        <w:rPr>
          <w:rFonts w:hint="eastAsia"/>
        </w:rPr>
        <w:t>亩，占全场总面积的</w:t>
      </w:r>
      <w:r>
        <w:t>0.15%</w:t>
      </w:r>
      <w:r>
        <w:rPr>
          <w:rFonts w:hint="eastAsia"/>
        </w:rPr>
        <w:t>，系冰川溶化后的沉积物覆盖在第三纪红色岩层上，经湿热气候条件下的长期淋溶和风化而成。其特点为：土壤质地粘性，土层深厚，透水性差，呈酸性，耕层浅，地下水位低，缺乏养分，犁底层多铁锰结核。</w:t>
      </w:r>
    </w:p>
    <w:p>
      <w:pPr>
        <w:ind w:firstLine="480"/>
      </w:pPr>
      <w:r>
        <w:rPr>
          <w:rFonts w:hint="eastAsia"/>
        </w:rPr>
        <w:t>河湖沉积物系近百年来洪水泛涨时，为汩罗江、湘江、洞庭湖水流所挟带的泥沙覆盖层，该母质形成的土壤有</w:t>
      </w:r>
      <w:r>
        <w:t>11.35</w:t>
      </w:r>
      <w:r>
        <w:rPr>
          <w:rFonts w:hint="eastAsia"/>
        </w:rPr>
        <w:t>万亩，占全场总面积的</w:t>
      </w:r>
      <w:r>
        <w:t>37.61%</w:t>
      </w:r>
      <w:r>
        <w:rPr>
          <w:rFonts w:hint="eastAsia"/>
        </w:rPr>
        <w:t>，占全场耕地面积的</w:t>
      </w:r>
      <w:r>
        <w:t>70%</w:t>
      </w:r>
      <w:r>
        <w:rPr>
          <w:rFonts w:hint="eastAsia"/>
        </w:rPr>
        <w:t>，是屈原农场耕地主要成土母质。土壤质地多为壤土或沙壤土，土层较深，质地疏松，一般呈酸性，养分丰富，耕种年代短，自然肥力高。</w:t>
      </w:r>
    </w:p>
    <w:p>
      <w:pPr>
        <w:ind w:firstLine="480"/>
      </w:pPr>
      <w:r>
        <w:rPr>
          <w:rFonts w:hint="eastAsia"/>
        </w:rPr>
        <w:t>区内以农田植被为主，兼有林地、草地、河滩、湖滩草甸，植被多为农业栽培和防护林带，森林覆盖率地。主要农作物有水田和旱田作物，林地以田间四旁林、农田林网和果园林。常见主要树种有杉树、马尾松、落叶栎类、檫树、臭椿、湿地松、火炬松、女贞等。据调查，本项目区域内未发现国家级重点保护野生动植物。</w:t>
      </w:r>
    </w:p>
    <w:p>
      <w:pPr>
        <w:ind w:firstLine="480"/>
      </w:pPr>
      <w:r>
        <w:rPr>
          <w:rFonts w:hint="eastAsia"/>
        </w:rPr>
        <w:t>据调查，本工程区未发现珍稀濒危等需要特殊保护的野生动物。</w:t>
      </w:r>
    </w:p>
    <w:p>
      <w:pPr>
        <w:pStyle w:val="3"/>
      </w:pPr>
      <w:bookmarkStart w:id="32" w:name="_Toc25311"/>
      <w:r>
        <w:rPr>
          <w:rFonts w:hint="eastAsia"/>
        </w:rPr>
        <w:t>环境质量现状调查与评价</w:t>
      </w:r>
      <w:bookmarkEnd w:id="32"/>
    </w:p>
    <w:p>
      <w:pPr>
        <w:pStyle w:val="4"/>
      </w:pPr>
      <w:r>
        <w:rPr>
          <w:rFonts w:hint="eastAsia"/>
        </w:rPr>
        <w:t>环境空气质量现状监测与评价</w:t>
      </w:r>
    </w:p>
    <w:p>
      <w:pPr>
        <w:ind w:firstLine="480"/>
      </w:pPr>
      <w:r>
        <w:rPr>
          <w:rFonts w:hint="eastAsia"/>
        </w:rPr>
        <w:t>为了解项目评价区域环境空气质量现状，本次环评委托了岳阳市衡润检测有限公司对项目所在地环境空气进行了检测。</w:t>
      </w:r>
    </w:p>
    <w:p>
      <w:pPr>
        <w:ind w:firstLine="480"/>
      </w:pPr>
      <w:r>
        <w:rPr>
          <w:rFonts w:hint="eastAsia"/>
        </w:rPr>
        <w:t>（</w:t>
      </w:r>
      <w:r>
        <w:t>1</w:t>
      </w:r>
      <w:r>
        <w:rPr>
          <w:rFonts w:hint="eastAsia"/>
        </w:rPr>
        <w:t>）监测点位的设置</w:t>
      </w:r>
    </w:p>
    <w:p>
      <w:pPr>
        <w:spacing w:line="520" w:lineRule="exact"/>
        <w:ind w:firstLine="480"/>
        <w:jc w:val="left"/>
      </w:pPr>
      <w:r>
        <w:rPr>
          <w:rFonts w:hint="eastAsia"/>
        </w:rPr>
        <w:t>本项目共设</w:t>
      </w:r>
      <w:r>
        <w:t>2</w:t>
      </w:r>
      <w:r>
        <w:rPr>
          <w:rFonts w:hint="eastAsia"/>
        </w:rPr>
        <w:t>个监测点，岳阳市屈原管理区主导风向为东北风，具体监测点布设详见表</w:t>
      </w:r>
      <w:r>
        <w:t>5.2-1</w:t>
      </w:r>
      <w:r>
        <w:rPr>
          <w:rFonts w:hint="eastAsia"/>
        </w:rPr>
        <w:t>。</w:t>
      </w:r>
    </w:p>
    <w:p>
      <w:pPr>
        <w:pStyle w:val="26"/>
      </w:pPr>
      <w:r>
        <w:rPr>
          <w:rFonts w:hint="eastAsia"/>
        </w:rPr>
        <w:t>表</w:t>
      </w:r>
      <w:r>
        <w:t xml:space="preserve">5.2-1  </w:t>
      </w:r>
      <w:r>
        <w:rPr>
          <w:rFonts w:hint="eastAsia"/>
        </w:rPr>
        <w:t>大气环境监测点</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2"/>
        <w:gridCol w:w="2463"/>
        <w:gridCol w:w="2464"/>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62" w:type="dxa"/>
            <w:vAlign w:val="center"/>
          </w:tcPr>
          <w:p>
            <w:pPr>
              <w:pStyle w:val="26"/>
              <w:rPr>
                <w:kern w:val="2"/>
                <w:szCs w:val="21"/>
                <w:lang w:val="en-US" w:eastAsia="zh-CN"/>
              </w:rPr>
            </w:pPr>
            <w:r>
              <w:rPr>
                <w:rFonts w:hint="eastAsia"/>
                <w:kern w:val="2"/>
                <w:szCs w:val="21"/>
                <w:lang w:val="en-US" w:eastAsia="zh-CN"/>
              </w:rPr>
              <w:t>编号</w:t>
            </w:r>
          </w:p>
        </w:tc>
        <w:tc>
          <w:tcPr>
            <w:tcW w:w="2463" w:type="dxa"/>
            <w:vAlign w:val="center"/>
          </w:tcPr>
          <w:p>
            <w:pPr>
              <w:pStyle w:val="26"/>
              <w:rPr>
                <w:kern w:val="2"/>
                <w:szCs w:val="21"/>
                <w:lang w:val="en-US" w:eastAsia="zh-CN"/>
              </w:rPr>
            </w:pPr>
            <w:r>
              <w:rPr>
                <w:rFonts w:hint="eastAsia"/>
                <w:kern w:val="2"/>
                <w:szCs w:val="21"/>
                <w:lang w:val="en-US" w:eastAsia="zh-CN"/>
              </w:rPr>
              <w:t>采样点</w:t>
            </w:r>
          </w:p>
        </w:tc>
        <w:tc>
          <w:tcPr>
            <w:tcW w:w="2464" w:type="dxa"/>
            <w:vAlign w:val="center"/>
          </w:tcPr>
          <w:p>
            <w:pPr>
              <w:pStyle w:val="26"/>
              <w:rPr>
                <w:kern w:val="2"/>
                <w:szCs w:val="21"/>
                <w:lang w:val="en-US" w:eastAsia="zh-CN"/>
              </w:rPr>
            </w:pPr>
            <w:r>
              <w:rPr>
                <w:rFonts w:hint="eastAsia"/>
                <w:kern w:val="2"/>
                <w:szCs w:val="21"/>
                <w:lang w:val="en-US" w:eastAsia="zh-CN"/>
              </w:rPr>
              <w:t>方位</w:t>
            </w:r>
          </w:p>
        </w:tc>
        <w:tc>
          <w:tcPr>
            <w:tcW w:w="2465" w:type="dxa"/>
            <w:vAlign w:val="center"/>
          </w:tcPr>
          <w:p>
            <w:pPr>
              <w:pStyle w:val="26"/>
              <w:rPr>
                <w:kern w:val="2"/>
                <w:szCs w:val="21"/>
                <w:lang w:val="en-US" w:eastAsia="zh-CN"/>
              </w:rPr>
            </w:pPr>
            <w:r>
              <w:rPr>
                <w:rFonts w:hint="eastAsia"/>
                <w:kern w:val="2"/>
                <w:szCs w:val="21"/>
                <w:lang w:val="en-US" w:eastAsia="zh-CN"/>
              </w:rPr>
              <w:t>距项目地距离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62" w:type="dxa"/>
            <w:vAlign w:val="center"/>
          </w:tcPr>
          <w:p>
            <w:pPr>
              <w:pStyle w:val="26"/>
              <w:rPr>
                <w:kern w:val="2"/>
                <w:szCs w:val="21"/>
                <w:lang w:val="en-US" w:eastAsia="zh-CN"/>
              </w:rPr>
            </w:pPr>
            <w:r>
              <w:rPr>
                <w:kern w:val="2"/>
                <w:szCs w:val="21"/>
                <w:lang w:val="en-US" w:eastAsia="zh-CN"/>
              </w:rPr>
              <w:t>G1</w:t>
            </w:r>
          </w:p>
        </w:tc>
        <w:tc>
          <w:tcPr>
            <w:tcW w:w="2463" w:type="dxa"/>
            <w:vAlign w:val="center"/>
          </w:tcPr>
          <w:p>
            <w:pPr>
              <w:pStyle w:val="26"/>
              <w:rPr>
                <w:kern w:val="2"/>
                <w:szCs w:val="21"/>
                <w:lang w:val="en-US" w:eastAsia="zh-CN"/>
              </w:rPr>
            </w:pPr>
            <w:r>
              <w:rPr>
                <w:rFonts w:hint="eastAsia"/>
                <w:kern w:val="2"/>
                <w:szCs w:val="21"/>
                <w:lang w:val="en-US" w:eastAsia="zh-CN"/>
              </w:rPr>
              <w:t>青山寺社区居民点</w:t>
            </w:r>
          </w:p>
        </w:tc>
        <w:tc>
          <w:tcPr>
            <w:tcW w:w="2464" w:type="dxa"/>
            <w:vAlign w:val="center"/>
          </w:tcPr>
          <w:p>
            <w:pPr>
              <w:pStyle w:val="26"/>
              <w:rPr>
                <w:kern w:val="2"/>
                <w:szCs w:val="21"/>
                <w:lang w:val="en-US" w:eastAsia="zh-CN"/>
              </w:rPr>
            </w:pPr>
            <w:r>
              <w:rPr>
                <w:kern w:val="2"/>
                <w:szCs w:val="21"/>
                <w:lang w:val="en-US" w:eastAsia="zh-CN"/>
              </w:rPr>
              <w:t>NE</w:t>
            </w:r>
          </w:p>
        </w:tc>
        <w:tc>
          <w:tcPr>
            <w:tcW w:w="2465" w:type="dxa"/>
            <w:vAlign w:val="center"/>
          </w:tcPr>
          <w:p>
            <w:pPr>
              <w:pStyle w:val="26"/>
              <w:rPr>
                <w:kern w:val="2"/>
                <w:szCs w:val="21"/>
                <w:lang w:val="en-US" w:eastAsia="zh-CN"/>
              </w:rPr>
            </w:pPr>
            <w:r>
              <w:rPr>
                <w:kern w:val="2"/>
                <w:szCs w:val="21"/>
                <w:lang w:val="en-US" w:eastAsia="zh-CN"/>
              </w:rP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62" w:type="dxa"/>
            <w:vAlign w:val="center"/>
          </w:tcPr>
          <w:p>
            <w:pPr>
              <w:pStyle w:val="26"/>
              <w:rPr>
                <w:kern w:val="2"/>
                <w:szCs w:val="21"/>
                <w:lang w:val="en-US" w:eastAsia="zh-CN"/>
              </w:rPr>
            </w:pPr>
            <w:r>
              <w:rPr>
                <w:kern w:val="2"/>
                <w:szCs w:val="21"/>
                <w:lang w:val="en-US" w:eastAsia="zh-CN"/>
              </w:rPr>
              <w:t>G2</w:t>
            </w:r>
          </w:p>
        </w:tc>
        <w:tc>
          <w:tcPr>
            <w:tcW w:w="2463" w:type="dxa"/>
            <w:vAlign w:val="center"/>
          </w:tcPr>
          <w:p>
            <w:pPr>
              <w:pStyle w:val="26"/>
              <w:rPr>
                <w:kern w:val="2"/>
                <w:szCs w:val="21"/>
                <w:lang w:val="en-US" w:eastAsia="zh-CN"/>
              </w:rPr>
            </w:pPr>
            <w:r>
              <w:rPr>
                <w:rFonts w:hint="eastAsia"/>
                <w:kern w:val="2"/>
                <w:szCs w:val="21"/>
                <w:lang w:val="en-US" w:eastAsia="zh-CN"/>
              </w:rPr>
              <w:t>小边山社区居民点</w:t>
            </w:r>
          </w:p>
        </w:tc>
        <w:tc>
          <w:tcPr>
            <w:tcW w:w="2464" w:type="dxa"/>
            <w:vAlign w:val="center"/>
          </w:tcPr>
          <w:p>
            <w:pPr>
              <w:pStyle w:val="26"/>
              <w:rPr>
                <w:kern w:val="2"/>
                <w:szCs w:val="21"/>
                <w:lang w:val="en-US" w:eastAsia="zh-CN"/>
              </w:rPr>
            </w:pPr>
            <w:r>
              <w:rPr>
                <w:kern w:val="2"/>
                <w:szCs w:val="21"/>
                <w:lang w:val="en-US" w:eastAsia="zh-CN"/>
              </w:rPr>
              <w:t>SW</w:t>
            </w:r>
          </w:p>
        </w:tc>
        <w:tc>
          <w:tcPr>
            <w:tcW w:w="2465" w:type="dxa"/>
            <w:vAlign w:val="center"/>
          </w:tcPr>
          <w:p>
            <w:pPr>
              <w:pStyle w:val="26"/>
              <w:rPr>
                <w:kern w:val="2"/>
                <w:szCs w:val="21"/>
                <w:lang w:val="en-US" w:eastAsia="zh-CN"/>
              </w:rPr>
            </w:pPr>
            <w:r>
              <w:rPr>
                <w:kern w:val="2"/>
                <w:szCs w:val="21"/>
                <w:lang w:val="en-US" w:eastAsia="zh-CN"/>
              </w:rPr>
              <w:t>200m</w:t>
            </w:r>
          </w:p>
        </w:tc>
      </w:tr>
    </w:tbl>
    <w:p>
      <w:pPr>
        <w:ind w:firstLine="480"/>
      </w:pPr>
      <w:r>
        <w:rPr>
          <w:rFonts w:hint="eastAsia"/>
        </w:rPr>
        <w:t>（</w:t>
      </w:r>
      <w:r>
        <w:t>2</w:t>
      </w:r>
      <w:r>
        <w:rPr>
          <w:rFonts w:hint="eastAsia"/>
        </w:rPr>
        <w:t>）监测项目：</w:t>
      </w:r>
      <w:r>
        <w:t>PM</w:t>
      </w:r>
      <w:r>
        <w:rPr>
          <w:vertAlign w:val="subscript"/>
        </w:rPr>
        <w:t>10</w:t>
      </w:r>
      <w:r>
        <w:rPr>
          <w:rFonts w:hint="eastAsia"/>
        </w:rPr>
        <w:t>、</w:t>
      </w:r>
      <w:r>
        <w:t>SO</w:t>
      </w:r>
      <w:r>
        <w:rPr>
          <w:vertAlign w:val="subscript"/>
        </w:rPr>
        <w:t>2</w:t>
      </w:r>
      <w:r>
        <w:rPr>
          <w:rFonts w:hint="eastAsia"/>
        </w:rPr>
        <w:t>、</w:t>
      </w:r>
      <w:r>
        <w:t>NO</w:t>
      </w:r>
      <w:r>
        <w:rPr>
          <w:vertAlign w:val="subscript"/>
        </w:rPr>
        <w:t>2</w:t>
      </w:r>
      <w:r>
        <w:rPr>
          <w:rFonts w:hint="eastAsia"/>
        </w:rPr>
        <w:t>、</w:t>
      </w:r>
      <w:r>
        <w:t>NH</w:t>
      </w:r>
      <w:r>
        <w:rPr>
          <w:vertAlign w:val="subscript"/>
        </w:rPr>
        <w:t>3</w:t>
      </w:r>
      <w:r>
        <w:rPr>
          <w:rFonts w:hint="eastAsia"/>
        </w:rPr>
        <w:t>、</w:t>
      </w:r>
      <w:r>
        <w:t>H</w:t>
      </w:r>
      <w:r>
        <w:rPr>
          <w:vertAlign w:val="subscript"/>
        </w:rPr>
        <w:t>2</w:t>
      </w:r>
      <w:r>
        <w:t>S</w:t>
      </w:r>
      <w:r>
        <w:rPr>
          <w:rFonts w:hint="eastAsia"/>
        </w:rPr>
        <w:t>、</w:t>
      </w:r>
      <w:r>
        <w:t>VOCs</w:t>
      </w:r>
    </w:p>
    <w:p>
      <w:pPr>
        <w:ind w:firstLine="480"/>
      </w:pPr>
      <w:r>
        <w:rPr>
          <w:rFonts w:hint="eastAsia"/>
        </w:rPr>
        <w:t>（</w:t>
      </w:r>
      <w:r>
        <w:t>3</w:t>
      </w:r>
      <w:r>
        <w:rPr>
          <w:rFonts w:hint="eastAsia"/>
        </w:rPr>
        <w:t>）监测时间和频率</w:t>
      </w:r>
    </w:p>
    <w:p>
      <w:pPr>
        <w:spacing w:line="520" w:lineRule="exact"/>
        <w:ind w:firstLine="480"/>
        <w:jc w:val="left"/>
      </w:pPr>
      <w:r>
        <w:t>2017</w:t>
      </w:r>
      <w:r>
        <w:rPr>
          <w:rFonts w:hint="eastAsia"/>
        </w:rPr>
        <w:t>年</w:t>
      </w:r>
      <w:r>
        <w:t>7</w:t>
      </w:r>
      <w:r>
        <w:rPr>
          <w:rFonts w:hint="eastAsia"/>
        </w:rPr>
        <w:t>月</w:t>
      </w:r>
      <w:r>
        <w:t>7</w:t>
      </w:r>
      <w:r>
        <w:rPr>
          <w:rFonts w:hint="eastAsia"/>
        </w:rPr>
        <w:t>日</w:t>
      </w:r>
      <w:r>
        <w:t>~12</w:t>
      </w:r>
      <w:r>
        <w:rPr>
          <w:rFonts w:hint="eastAsia"/>
        </w:rPr>
        <w:t>日，连续监测</w:t>
      </w:r>
      <w:r>
        <w:t>7</w:t>
      </w:r>
      <w:r>
        <w:rPr>
          <w:rFonts w:hint="eastAsia"/>
        </w:rPr>
        <w:t>天。</w:t>
      </w:r>
      <w:r>
        <w:t>SO</w:t>
      </w:r>
      <w:r>
        <w:rPr>
          <w:vertAlign w:val="subscript"/>
        </w:rPr>
        <w:t>2</w:t>
      </w:r>
      <w:r>
        <w:rPr>
          <w:rFonts w:hint="eastAsia"/>
        </w:rPr>
        <w:t>、</w:t>
      </w:r>
      <w:r>
        <w:t>NO</w:t>
      </w:r>
      <w:r>
        <w:rPr>
          <w:vertAlign w:val="subscript"/>
        </w:rPr>
        <w:t>2</w:t>
      </w:r>
      <w:r>
        <w:rPr>
          <w:rFonts w:hint="eastAsia"/>
        </w:rPr>
        <w:t>小时浓度监测值每天至少取得</w:t>
      </w:r>
      <w:r>
        <w:t>02</w:t>
      </w:r>
      <w:r>
        <w:rPr>
          <w:rFonts w:hint="eastAsia"/>
        </w:rPr>
        <w:t>、</w:t>
      </w:r>
      <w:r>
        <w:t>08</w:t>
      </w:r>
      <w:r>
        <w:rPr>
          <w:rFonts w:hint="eastAsia"/>
        </w:rPr>
        <w:t>、</w:t>
      </w:r>
      <w:r>
        <w:t>14</w:t>
      </w:r>
      <w:r>
        <w:rPr>
          <w:rFonts w:hint="eastAsia"/>
        </w:rPr>
        <w:t>、</w:t>
      </w:r>
      <w:r>
        <w:t>20</w:t>
      </w:r>
      <w:r>
        <w:rPr>
          <w:rFonts w:hint="eastAsia"/>
        </w:rPr>
        <w:t>时的</w:t>
      </w:r>
      <w:r>
        <w:t>4</w:t>
      </w:r>
      <w:r>
        <w:rPr>
          <w:rFonts w:hint="eastAsia"/>
        </w:rPr>
        <w:t>个小时监测值，每次</w:t>
      </w:r>
      <w:r>
        <w:t>45</w:t>
      </w:r>
      <w:r>
        <w:rPr>
          <w:rFonts w:hint="eastAsia"/>
        </w:rPr>
        <w:t>分钟；日均值每天一次，一次</w:t>
      </w:r>
      <w:r>
        <w:t>20</w:t>
      </w:r>
      <w:r>
        <w:rPr>
          <w:rFonts w:hint="eastAsia"/>
        </w:rPr>
        <w:t>小时。</w:t>
      </w:r>
      <w:r>
        <w:t>PM</w:t>
      </w:r>
      <w:r>
        <w:rPr>
          <w:vertAlign w:val="subscript"/>
        </w:rPr>
        <w:t>10</w:t>
      </w:r>
      <w:r>
        <w:rPr>
          <w:rFonts w:hint="eastAsia"/>
        </w:rPr>
        <w:t>每天一次，一次</w:t>
      </w:r>
      <w:r>
        <w:t>20</w:t>
      </w:r>
      <w:r>
        <w:rPr>
          <w:rFonts w:hint="eastAsia"/>
        </w:rPr>
        <w:t>小时；</w:t>
      </w:r>
      <w:r>
        <w:t>VOCs</w:t>
      </w:r>
      <w:r>
        <w:rPr>
          <w:rFonts w:hint="eastAsia"/>
        </w:rPr>
        <w:t>每天一次，一次</w:t>
      </w:r>
      <w:r>
        <w:t>8</w:t>
      </w:r>
      <w:r>
        <w:rPr>
          <w:rFonts w:hint="eastAsia"/>
        </w:rPr>
        <w:t>小时；</w:t>
      </w:r>
      <w:r>
        <w:t>NH</w:t>
      </w:r>
      <w:r>
        <w:rPr>
          <w:vertAlign w:val="subscript"/>
        </w:rPr>
        <w:t>3</w:t>
      </w:r>
      <w:r>
        <w:rPr>
          <w:rFonts w:hint="eastAsia"/>
        </w:rPr>
        <w:t>、</w:t>
      </w:r>
      <w:r>
        <w:t>H</w:t>
      </w:r>
      <w:r>
        <w:rPr>
          <w:vertAlign w:val="subscript"/>
        </w:rPr>
        <w:t>2</w:t>
      </w:r>
      <w:r>
        <w:t>S</w:t>
      </w:r>
      <w:r>
        <w:rPr>
          <w:rFonts w:hint="eastAsia"/>
        </w:rPr>
        <w:t>每天监测值每天至少取得</w:t>
      </w:r>
      <w:r>
        <w:t>02</w:t>
      </w:r>
      <w:r>
        <w:rPr>
          <w:rFonts w:hint="eastAsia"/>
        </w:rPr>
        <w:t>、</w:t>
      </w:r>
      <w:r>
        <w:t>08</w:t>
      </w:r>
      <w:r>
        <w:rPr>
          <w:rFonts w:hint="eastAsia"/>
        </w:rPr>
        <w:t>、</w:t>
      </w:r>
      <w:r>
        <w:t>14</w:t>
      </w:r>
      <w:r>
        <w:rPr>
          <w:rFonts w:hint="eastAsia"/>
        </w:rPr>
        <w:t>、</w:t>
      </w:r>
      <w:r>
        <w:t>20</w:t>
      </w:r>
      <w:r>
        <w:rPr>
          <w:rFonts w:hint="eastAsia"/>
        </w:rPr>
        <w:t>时的</w:t>
      </w:r>
      <w:r>
        <w:t>4</w:t>
      </w:r>
      <w:r>
        <w:rPr>
          <w:rFonts w:hint="eastAsia"/>
        </w:rPr>
        <w:t>个小时监测值，每次</w:t>
      </w:r>
      <w:r>
        <w:t>45</w:t>
      </w:r>
      <w:r>
        <w:rPr>
          <w:rFonts w:hint="eastAsia"/>
        </w:rPr>
        <w:t>分钟。</w:t>
      </w:r>
    </w:p>
    <w:p>
      <w:pPr>
        <w:ind w:firstLine="480"/>
      </w:pPr>
      <w:r>
        <w:rPr>
          <w:rFonts w:hint="eastAsia"/>
        </w:rPr>
        <w:t>（</w:t>
      </w:r>
      <w:r>
        <w:t>5</w:t>
      </w:r>
      <w:r>
        <w:rPr>
          <w:rFonts w:hint="eastAsia"/>
        </w:rPr>
        <w:t>）采样和分析方法</w:t>
      </w:r>
    </w:p>
    <w:p>
      <w:pPr>
        <w:ind w:firstLine="480"/>
      </w:pPr>
      <w:r>
        <w:rPr>
          <w:rFonts w:hint="eastAsia"/>
        </w:rPr>
        <w:t>采样、监测分析方法按国家有关标准和国家环保局颁布的《空气和废气监测分析方法》中有关规定执行。具体分析方法见表</w:t>
      </w:r>
      <w:r>
        <w:t>5.2-2</w:t>
      </w:r>
      <w:r>
        <w:rPr>
          <w:rFonts w:hint="eastAsia"/>
        </w:rPr>
        <w:t>。</w:t>
      </w:r>
    </w:p>
    <w:p>
      <w:pPr>
        <w:pStyle w:val="26"/>
        <w:rPr>
          <w:b/>
          <w:bCs/>
        </w:rPr>
      </w:pPr>
      <w:r>
        <w:rPr>
          <w:rFonts w:hint="eastAsia"/>
          <w:b/>
          <w:bCs/>
        </w:rPr>
        <w:t>表</w:t>
      </w:r>
      <w:r>
        <w:rPr>
          <w:b/>
          <w:bCs/>
        </w:rPr>
        <w:t xml:space="preserve">5.2-2   </w:t>
      </w:r>
      <w:r>
        <w:rPr>
          <w:rFonts w:hint="eastAsia"/>
          <w:b/>
          <w:bCs/>
        </w:rPr>
        <w:t>各监测项目的分析方法</w:t>
      </w:r>
    </w:p>
    <w:tbl>
      <w:tblPr>
        <w:tblStyle w:val="23"/>
        <w:tblW w:w="9074" w:type="dxa"/>
        <w:tblInd w:w="3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7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7" w:type="dxa"/>
            <w:vAlign w:val="center"/>
          </w:tcPr>
          <w:p>
            <w:pPr>
              <w:pStyle w:val="26"/>
              <w:rPr>
                <w:kern w:val="2"/>
                <w:szCs w:val="21"/>
                <w:lang w:val="en-US" w:eastAsia="zh-CN"/>
              </w:rPr>
            </w:pPr>
            <w:r>
              <w:rPr>
                <w:rFonts w:hint="eastAsia"/>
                <w:kern w:val="2"/>
                <w:szCs w:val="21"/>
                <w:lang w:val="en-US" w:eastAsia="zh-CN"/>
              </w:rPr>
              <w:t>监测项目</w:t>
            </w:r>
          </w:p>
        </w:tc>
        <w:tc>
          <w:tcPr>
            <w:tcW w:w="7197" w:type="dxa"/>
            <w:vAlign w:val="center"/>
          </w:tcPr>
          <w:p>
            <w:pPr>
              <w:pStyle w:val="26"/>
              <w:rPr>
                <w:kern w:val="2"/>
                <w:szCs w:val="21"/>
                <w:lang w:val="en-US" w:eastAsia="zh-CN"/>
              </w:rPr>
            </w:pPr>
            <w:r>
              <w:rPr>
                <w:rFonts w:hint="eastAsia"/>
                <w:kern w:val="2"/>
                <w:szCs w:val="21"/>
                <w:lang w:val="en-US" w:eastAsia="zh-CN"/>
              </w:rPr>
              <w:t>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7" w:type="dxa"/>
            <w:vAlign w:val="center"/>
          </w:tcPr>
          <w:p>
            <w:pPr>
              <w:pStyle w:val="26"/>
              <w:rPr>
                <w:kern w:val="2"/>
                <w:szCs w:val="21"/>
                <w:lang w:val="en-US" w:eastAsia="zh-CN"/>
              </w:rPr>
            </w:pPr>
            <w:r>
              <w:rPr>
                <w:kern w:val="2"/>
                <w:szCs w:val="21"/>
                <w:lang w:val="en-US" w:eastAsia="zh-CN"/>
              </w:rPr>
              <w:t>SO</w:t>
            </w:r>
            <w:r>
              <w:rPr>
                <w:kern w:val="2"/>
                <w:szCs w:val="21"/>
                <w:vertAlign w:val="subscript"/>
                <w:lang w:val="en-US" w:eastAsia="zh-CN"/>
              </w:rPr>
              <w:t>2</w:t>
            </w:r>
          </w:p>
        </w:tc>
        <w:tc>
          <w:tcPr>
            <w:tcW w:w="7197" w:type="dxa"/>
            <w:vAlign w:val="center"/>
          </w:tcPr>
          <w:p>
            <w:pPr>
              <w:pStyle w:val="26"/>
              <w:rPr>
                <w:kern w:val="2"/>
                <w:szCs w:val="21"/>
                <w:lang w:val="en-US" w:eastAsia="zh-CN"/>
              </w:rPr>
            </w:pPr>
            <w:r>
              <w:rPr>
                <w:rFonts w:hint="eastAsia"/>
                <w:kern w:val="2"/>
                <w:szCs w:val="21"/>
                <w:lang w:val="en-US" w:eastAsia="zh-CN"/>
              </w:rPr>
              <w:t>甲醛吸收副玫瑰苯胺分光光度法（</w:t>
            </w:r>
            <w:r>
              <w:rPr>
                <w:kern w:val="2"/>
                <w:szCs w:val="21"/>
                <w:lang w:val="en-US" w:eastAsia="zh-CN"/>
              </w:rPr>
              <w:t>HJ 482-2009</w:t>
            </w: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7" w:type="dxa"/>
            <w:vAlign w:val="center"/>
          </w:tcPr>
          <w:p>
            <w:pPr>
              <w:pStyle w:val="26"/>
              <w:rPr>
                <w:kern w:val="2"/>
                <w:szCs w:val="21"/>
                <w:lang w:val="en-US" w:eastAsia="zh-CN"/>
              </w:rPr>
            </w:pPr>
            <w:r>
              <w:rPr>
                <w:kern w:val="2"/>
                <w:szCs w:val="21"/>
                <w:lang w:val="en-US" w:eastAsia="zh-CN"/>
              </w:rPr>
              <w:t>NO</w:t>
            </w:r>
            <w:r>
              <w:rPr>
                <w:kern w:val="2"/>
                <w:szCs w:val="21"/>
                <w:vertAlign w:val="subscript"/>
                <w:lang w:val="en-US" w:eastAsia="zh-CN"/>
              </w:rPr>
              <w:t>2</w:t>
            </w:r>
          </w:p>
        </w:tc>
        <w:tc>
          <w:tcPr>
            <w:tcW w:w="7197" w:type="dxa"/>
            <w:vAlign w:val="center"/>
          </w:tcPr>
          <w:p>
            <w:pPr>
              <w:pStyle w:val="26"/>
              <w:rPr>
                <w:kern w:val="2"/>
                <w:szCs w:val="21"/>
                <w:lang w:val="en-US" w:eastAsia="zh-CN"/>
              </w:rPr>
            </w:pPr>
            <w:r>
              <w:rPr>
                <w:rFonts w:hint="eastAsia"/>
                <w:kern w:val="2"/>
                <w:szCs w:val="21"/>
                <w:lang w:val="en-US" w:eastAsia="zh-CN"/>
              </w:rPr>
              <w:t>盐酸萘乙二胺分光光度法（</w:t>
            </w:r>
            <w:r>
              <w:rPr>
                <w:kern w:val="2"/>
                <w:szCs w:val="21"/>
                <w:lang w:val="en-US" w:eastAsia="zh-CN"/>
              </w:rPr>
              <w:t>HJ 479-2009</w:t>
            </w: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7" w:type="dxa"/>
            <w:vAlign w:val="center"/>
          </w:tcPr>
          <w:p>
            <w:pPr>
              <w:pStyle w:val="26"/>
              <w:rPr>
                <w:kern w:val="2"/>
                <w:szCs w:val="21"/>
                <w:lang w:val="en-US" w:eastAsia="zh-CN"/>
              </w:rPr>
            </w:pPr>
            <w:r>
              <w:rPr>
                <w:kern w:val="2"/>
                <w:szCs w:val="21"/>
                <w:lang w:val="en-US" w:eastAsia="zh-CN"/>
              </w:rPr>
              <w:t>PM</w:t>
            </w:r>
            <w:r>
              <w:rPr>
                <w:kern w:val="2"/>
                <w:szCs w:val="21"/>
                <w:vertAlign w:val="subscript"/>
                <w:lang w:val="en-US" w:eastAsia="zh-CN"/>
              </w:rPr>
              <w:t>10</w:t>
            </w:r>
          </w:p>
        </w:tc>
        <w:tc>
          <w:tcPr>
            <w:tcW w:w="7197" w:type="dxa"/>
            <w:vAlign w:val="center"/>
          </w:tcPr>
          <w:p>
            <w:pPr>
              <w:pStyle w:val="26"/>
              <w:rPr>
                <w:kern w:val="2"/>
                <w:szCs w:val="21"/>
                <w:lang w:val="en-US" w:eastAsia="zh-CN"/>
              </w:rPr>
            </w:pPr>
            <w:r>
              <w:rPr>
                <w:rFonts w:hint="eastAsia"/>
                <w:kern w:val="2"/>
                <w:szCs w:val="21"/>
                <w:lang w:val="en-US" w:eastAsia="zh-CN"/>
              </w:rPr>
              <w:t>环境空气</w:t>
            </w:r>
            <w:r>
              <w:rPr>
                <w:kern w:val="2"/>
                <w:szCs w:val="21"/>
                <w:lang w:val="en-US" w:eastAsia="zh-CN"/>
              </w:rPr>
              <w:t>PM10</w:t>
            </w:r>
            <w:r>
              <w:rPr>
                <w:rFonts w:hint="eastAsia"/>
                <w:kern w:val="2"/>
                <w:szCs w:val="21"/>
                <w:lang w:val="en-US" w:eastAsia="zh-CN"/>
              </w:rPr>
              <w:t>和</w:t>
            </w:r>
            <w:r>
              <w:rPr>
                <w:kern w:val="2"/>
                <w:szCs w:val="21"/>
                <w:lang w:val="en-US" w:eastAsia="zh-CN"/>
              </w:rPr>
              <w:t>PM2.5</w:t>
            </w:r>
            <w:r>
              <w:rPr>
                <w:rFonts w:hint="eastAsia"/>
                <w:kern w:val="2"/>
                <w:szCs w:val="21"/>
                <w:lang w:val="en-US" w:eastAsia="zh-CN"/>
              </w:rPr>
              <w:t>测定重量法</w:t>
            </w:r>
            <w:r>
              <w:rPr>
                <w:kern w:val="2"/>
                <w:szCs w:val="21"/>
                <w:lang w:val="en-US" w:eastAsia="zh-CN"/>
              </w:rPr>
              <w:t>(HJ618-2011)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7" w:type="dxa"/>
            <w:vAlign w:val="center"/>
          </w:tcPr>
          <w:p>
            <w:pPr>
              <w:pStyle w:val="26"/>
              <w:spacing w:line="240" w:lineRule="auto"/>
              <w:rPr>
                <w:kern w:val="2"/>
                <w:szCs w:val="21"/>
                <w:lang w:val="en-US" w:eastAsia="zh-CN"/>
              </w:rPr>
            </w:pPr>
            <w:r>
              <w:rPr>
                <w:kern w:val="2"/>
                <w:szCs w:val="21"/>
                <w:lang w:val="en-US" w:eastAsia="zh-CN"/>
              </w:rPr>
              <w:t>VOCs</w:t>
            </w:r>
          </w:p>
        </w:tc>
        <w:tc>
          <w:tcPr>
            <w:tcW w:w="7197" w:type="dxa"/>
            <w:vAlign w:val="center"/>
          </w:tcPr>
          <w:p>
            <w:pPr>
              <w:pStyle w:val="26"/>
              <w:spacing w:line="240" w:lineRule="auto"/>
              <w:rPr>
                <w:kern w:val="2"/>
                <w:szCs w:val="21"/>
                <w:lang w:val="en-US" w:eastAsia="zh-CN"/>
              </w:rPr>
            </w:pPr>
            <w:r>
              <w:rPr>
                <w:rFonts w:hint="eastAsia"/>
                <w:kern w:val="2"/>
                <w:szCs w:val="21"/>
                <w:lang w:val="en-US" w:eastAsia="zh-CN"/>
              </w:rPr>
              <w:t>《空气和废气监测分析方法第四版挥发性有机物的测定固体吸附热脱附气相色谱</w:t>
            </w:r>
            <w:r>
              <w:rPr>
                <w:kern w:val="2"/>
                <w:szCs w:val="21"/>
                <w:lang w:val="en-US" w:eastAsia="zh-CN"/>
              </w:rPr>
              <w:t xml:space="preserve"> -</w:t>
            </w:r>
            <w:r>
              <w:rPr>
                <w:rFonts w:hint="eastAsia"/>
                <w:kern w:val="2"/>
                <w:szCs w:val="21"/>
                <w:lang w:val="en-US" w:eastAsia="zh-CN"/>
              </w:rPr>
              <w:t>质谱法》</w:t>
            </w:r>
          </w:p>
        </w:tc>
      </w:tr>
    </w:tbl>
    <w:p>
      <w:pPr>
        <w:ind w:firstLine="480"/>
      </w:pPr>
      <w:r>
        <w:rPr>
          <w:rFonts w:hint="eastAsia"/>
        </w:rPr>
        <w:t>（</w:t>
      </w:r>
      <w:r>
        <w:t>6</w:t>
      </w:r>
      <w:r>
        <w:rPr>
          <w:rFonts w:hint="eastAsia"/>
        </w:rPr>
        <w:t>）评价方法</w:t>
      </w:r>
    </w:p>
    <w:p>
      <w:pPr>
        <w:ind w:firstLine="480"/>
      </w:pPr>
      <w:r>
        <w:rPr>
          <w:rFonts w:hint="eastAsia"/>
        </w:rPr>
        <w:t>采用单因子比值法对该区域的大气环境质量现状进行评价。</w:t>
      </w:r>
    </w:p>
    <w:p>
      <w:pPr>
        <w:ind w:firstLine="480"/>
      </w:pPr>
      <w:r>
        <w:t>I</w:t>
      </w:r>
      <w:r>
        <w:rPr>
          <w:rFonts w:hint="eastAsia"/>
        </w:rPr>
        <w:t>≥</w:t>
      </w:r>
      <w:r>
        <w:t>1</w:t>
      </w:r>
      <w:r>
        <w:rPr>
          <w:rFonts w:hint="eastAsia"/>
        </w:rPr>
        <w:t>，即为超标。</w:t>
      </w:r>
    </w:p>
    <w:p>
      <w:pPr>
        <w:ind w:firstLine="480"/>
      </w:pPr>
      <w:r>
        <w:t>I=C</w:t>
      </w:r>
      <w:r>
        <w:rPr>
          <w:vertAlign w:val="subscript"/>
        </w:rPr>
        <w:t>i</w:t>
      </w:r>
      <w:r>
        <w:t>/C</w:t>
      </w:r>
      <w:r>
        <w:rPr>
          <w:vertAlign w:val="subscript"/>
        </w:rPr>
        <w:t>i0</w:t>
      </w:r>
    </w:p>
    <w:p>
      <w:pPr>
        <w:ind w:firstLine="480"/>
      </w:pPr>
      <w:r>
        <w:rPr>
          <w:rFonts w:hint="eastAsia"/>
        </w:rPr>
        <w:t>式中</w:t>
      </w:r>
      <w:r>
        <w:t xml:space="preserve"> C</w:t>
      </w:r>
      <w:r>
        <w:rPr>
          <w:vertAlign w:val="subscript"/>
        </w:rPr>
        <w:t>i</w:t>
      </w:r>
      <w:r>
        <w:rPr>
          <w:rFonts w:hint="eastAsia"/>
        </w:rPr>
        <w:t>：第</w:t>
      </w:r>
      <w:r>
        <w:t>i</w:t>
      </w:r>
      <w:r>
        <w:rPr>
          <w:rFonts w:hint="eastAsia"/>
        </w:rPr>
        <w:t>污染物的实测浓度；</w:t>
      </w:r>
    </w:p>
    <w:p>
      <w:pPr>
        <w:ind w:firstLine="480"/>
      </w:pPr>
      <w:r>
        <w:t>C</w:t>
      </w:r>
      <w:r>
        <w:rPr>
          <w:vertAlign w:val="subscript"/>
        </w:rPr>
        <w:t>i0</w:t>
      </w:r>
      <w:r>
        <w:rPr>
          <w:rFonts w:hint="eastAsia"/>
        </w:rPr>
        <w:t>：第</w:t>
      </w:r>
      <w:r>
        <w:t>i</w:t>
      </w:r>
      <w:r>
        <w:rPr>
          <w:rFonts w:hint="eastAsia"/>
        </w:rPr>
        <w:t>污染物的空气质量标准。</w:t>
      </w:r>
    </w:p>
    <w:p>
      <w:pPr>
        <w:ind w:firstLine="480"/>
      </w:pPr>
      <w:r>
        <w:rPr>
          <w:rFonts w:hint="eastAsia"/>
        </w:rPr>
        <w:t>（</w:t>
      </w:r>
      <w:r>
        <w:t>7</w:t>
      </w:r>
      <w:r>
        <w:rPr>
          <w:rFonts w:hint="eastAsia"/>
        </w:rPr>
        <w:t>）检测结果与评价</w:t>
      </w:r>
    </w:p>
    <w:p>
      <w:pPr>
        <w:ind w:firstLine="480"/>
      </w:pPr>
      <w:r>
        <w:rPr>
          <w:rFonts w:hint="eastAsia"/>
        </w:rPr>
        <w:t>环境空气质量监测及评价结果汇总见表</w:t>
      </w:r>
      <w:r>
        <w:t>5.2-3</w:t>
      </w:r>
      <w:r>
        <w:rPr>
          <w:rFonts w:hint="eastAsia"/>
        </w:rPr>
        <w:t>。</w:t>
      </w:r>
    </w:p>
    <w:p>
      <w:pPr>
        <w:ind w:firstLine="480"/>
      </w:pPr>
    </w:p>
    <w:p>
      <w:pPr>
        <w:pStyle w:val="26"/>
        <w:rPr>
          <w:b/>
          <w:bCs/>
        </w:rPr>
      </w:pPr>
      <w:r>
        <w:rPr>
          <w:rFonts w:hint="eastAsia"/>
          <w:b/>
          <w:bCs/>
        </w:rPr>
        <w:t>表</w:t>
      </w:r>
      <w:r>
        <w:rPr>
          <w:b/>
          <w:bCs/>
        </w:rPr>
        <w:t xml:space="preserve">5.2-3    </w:t>
      </w:r>
      <w:r>
        <w:rPr>
          <w:rFonts w:hint="eastAsia"/>
          <w:b/>
          <w:bCs/>
        </w:rPr>
        <w:t>环境空气质量现状监测及评价结果汇总单位：</w:t>
      </w:r>
      <w:r>
        <w:rPr>
          <w:b/>
          <w:bCs/>
        </w:rPr>
        <w:t>mg/m</w:t>
      </w:r>
      <w:r>
        <w:rPr>
          <w:b/>
          <w:bCs/>
          <w:vertAlign w:val="superscript"/>
        </w:rPr>
        <w:t>3</w:t>
      </w:r>
    </w:p>
    <w:tbl>
      <w:tblPr>
        <w:tblStyle w:val="23"/>
        <w:tblW w:w="97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604"/>
        <w:gridCol w:w="999"/>
        <w:gridCol w:w="1231"/>
        <w:gridCol w:w="1385"/>
        <w:gridCol w:w="1072"/>
        <w:gridCol w:w="1221"/>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045" w:type="dxa"/>
            <w:tcBorders>
              <w:tl2br w:val="single" w:color="auto" w:sz="4" w:space="0"/>
            </w:tcBorders>
            <w:vAlign w:val="center"/>
          </w:tcPr>
          <w:p>
            <w:pPr>
              <w:pStyle w:val="26"/>
              <w:spacing w:line="240" w:lineRule="auto"/>
              <w:rPr>
                <w:kern w:val="2"/>
                <w:szCs w:val="21"/>
                <w:lang w:val="en-US" w:eastAsia="zh-CN"/>
              </w:rPr>
            </w:pPr>
            <w:r>
              <w:rPr>
                <w:rFonts w:hint="eastAsia"/>
                <w:kern w:val="2"/>
                <w:szCs w:val="21"/>
                <w:lang w:val="en-US" w:eastAsia="zh-CN"/>
              </w:rPr>
              <w:t>污染物</w:t>
            </w:r>
          </w:p>
          <w:p>
            <w:pPr>
              <w:pStyle w:val="26"/>
              <w:spacing w:line="240" w:lineRule="auto"/>
              <w:jc w:val="both"/>
              <w:rPr>
                <w:kern w:val="2"/>
                <w:szCs w:val="21"/>
                <w:lang w:val="en-US" w:eastAsia="zh-CN"/>
              </w:rPr>
            </w:pPr>
            <w:r>
              <w:rPr>
                <w:rFonts w:hint="eastAsia"/>
                <w:kern w:val="2"/>
                <w:szCs w:val="21"/>
                <w:lang w:val="en-US" w:eastAsia="zh-CN"/>
              </w:rPr>
              <w:t>监测点</w:t>
            </w:r>
          </w:p>
        </w:tc>
        <w:tc>
          <w:tcPr>
            <w:tcW w:w="1604" w:type="dxa"/>
            <w:vAlign w:val="center"/>
          </w:tcPr>
          <w:p>
            <w:pPr>
              <w:pStyle w:val="26"/>
              <w:spacing w:line="240" w:lineRule="auto"/>
              <w:rPr>
                <w:kern w:val="2"/>
                <w:szCs w:val="21"/>
                <w:lang w:val="en-US" w:eastAsia="zh-CN"/>
              </w:rPr>
            </w:pPr>
            <w:r>
              <w:rPr>
                <w:rFonts w:hint="eastAsia"/>
                <w:kern w:val="2"/>
                <w:szCs w:val="21"/>
                <w:lang w:val="en-US" w:eastAsia="zh-CN"/>
              </w:rPr>
              <w:t>监测点内容</w:t>
            </w:r>
          </w:p>
        </w:tc>
        <w:tc>
          <w:tcPr>
            <w:tcW w:w="999" w:type="dxa"/>
            <w:vAlign w:val="center"/>
          </w:tcPr>
          <w:p>
            <w:pPr>
              <w:pStyle w:val="26"/>
              <w:spacing w:line="240" w:lineRule="auto"/>
              <w:rPr>
                <w:kern w:val="2"/>
                <w:szCs w:val="21"/>
                <w:lang w:val="en-US" w:eastAsia="zh-CN"/>
              </w:rPr>
            </w:pPr>
            <w:r>
              <w:rPr>
                <w:kern w:val="2"/>
                <w:szCs w:val="21"/>
                <w:lang w:val="en-US" w:eastAsia="zh-CN"/>
              </w:rPr>
              <w:t>SO2</w:t>
            </w:r>
          </w:p>
        </w:tc>
        <w:tc>
          <w:tcPr>
            <w:tcW w:w="1231" w:type="dxa"/>
            <w:vAlign w:val="center"/>
          </w:tcPr>
          <w:p>
            <w:pPr>
              <w:pStyle w:val="26"/>
              <w:spacing w:line="240" w:lineRule="auto"/>
              <w:rPr>
                <w:kern w:val="2"/>
                <w:szCs w:val="21"/>
                <w:lang w:val="en-US" w:eastAsia="zh-CN"/>
              </w:rPr>
            </w:pPr>
            <w:r>
              <w:rPr>
                <w:kern w:val="2"/>
                <w:szCs w:val="21"/>
                <w:lang w:val="en-US" w:eastAsia="zh-CN"/>
              </w:rPr>
              <w:t>NO2</w:t>
            </w:r>
          </w:p>
        </w:tc>
        <w:tc>
          <w:tcPr>
            <w:tcW w:w="1385" w:type="dxa"/>
            <w:vAlign w:val="center"/>
          </w:tcPr>
          <w:p>
            <w:pPr>
              <w:pStyle w:val="26"/>
              <w:spacing w:line="240" w:lineRule="auto"/>
              <w:rPr>
                <w:kern w:val="2"/>
                <w:szCs w:val="21"/>
                <w:lang w:val="en-US" w:eastAsia="zh-CN"/>
              </w:rPr>
            </w:pPr>
            <w:r>
              <w:rPr>
                <w:kern w:val="2"/>
                <w:szCs w:val="21"/>
                <w:lang w:val="en-US" w:eastAsia="zh-CN"/>
              </w:rPr>
              <w:t>VOC</w:t>
            </w:r>
            <w:r>
              <w:rPr>
                <w:rFonts w:ascii="宋体_x0004_fal" w:hAnsi="宋体_x0004_fal" w:cs="宋体_x0004_fal"/>
                <w:color w:val="000000"/>
                <w:sz w:val="20"/>
                <w:lang w:val="en-US" w:eastAsia="zh-CN"/>
              </w:rPr>
              <w:t>s</w:t>
            </w:r>
          </w:p>
        </w:tc>
        <w:tc>
          <w:tcPr>
            <w:tcW w:w="1072" w:type="dxa"/>
            <w:vAlign w:val="center"/>
          </w:tcPr>
          <w:p>
            <w:pPr>
              <w:pStyle w:val="26"/>
              <w:rPr>
                <w:kern w:val="2"/>
                <w:szCs w:val="21"/>
                <w:lang w:val="en-US" w:eastAsia="zh-CN"/>
              </w:rPr>
            </w:pPr>
            <w:r>
              <w:rPr>
                <w:kern w:val="2"/>
                <w:szCs w:val="21"/>
                <w:lang w:val="en-US" w:eastAsia="zh-CN"/>
              </w:rPr>
              <w:t>NH</w:t>
            </w:r>
            <w:r>
              <w:rPr>
                <w:kern w:val="2"/>
                <w:szCs w:val="21"/>
                <w:vertAlign w:val="subscript"/>
                <w:lang w:val="en-US" w:eastAsia="zh-CN"/>
              </w:rPr>
              <w:t>3</w:t>
            </w:r>
          </w:p>
        </w:tc>
        <w:tc>
          <w:tcPr>
            <w:tcW w:w="1221" w:type="dxa"/>
            <w:vAlign w:val="center"/>
          </w:tcPr>
          <w:p>
            <w:pPr>
              <w:pStyle w:val="26"/>
              <w:rPr>
                <w:kern w:val="2"/>
                <w:szCs w:val="21"/>
                <w:lang w:val="en-US" w:eastAsia="zh-CN"/>
              </w:rPr>
            </w:pPr>
            <w:r>
              <w:rPr>
                <w:kern w:val="2"/>
                <w:szCs w:val="21"/>
                <w:lang w:val="en-US" w:eastAsia="zh-CN"/>
              </w:rPr>
              <w:t>H</w:t>
            </w:r>
            <w:r>
              <w:rPr>
                <w:kern w:val="2"/>
                <w:szCs w:val="21"/>
                <w:vertAlign w:val="subscript"/>
                <w:lang w:val="en-US" w:eastAsia="zh-CN"/>
              </w:rPr>
              <w:t>2</w:t>
            </w:r>
            <w:r>
              <w:rPr>
                <w:kern w:val="2"/>
                <w:szCs w:val="21"/>
                <w:lang w:val="en-US" w:eastAsia="zh-CN"/>
              </w:rPr>
              <w:t>S</w:t>
            </w:r>
          </w:p>
        </w:tc>
        <w:tc>
          <w:tcPr>
            <w:tcW w:w="1209" w:type="dxa"/>
            <w:vAlign w:val="center"/>
          </w:tcPr>
          <w:p>
            <w:pPr>
              <w:ind w:firstLine="0" w:firstLineChars="0"/>
              <w:jc w:val="center"/>
            </w:pPr>
            <w:r>
              <w:t>PM</w:t>
            </w:r>
            <w:r>
              <w:rPr>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045" w:type="dxa"/>
            <w:vMerge w:val="restart"/>
            <w:vAlign w:val="center"/>
          </w:tcPr>
          <w:p>
            <w:pPr>
              <w:pStyle w:val="26"/>
              <w:rPr>
                <w:kern w:val="2"/>
                <w:szCs w:val="21"/>
                <w:lang w:val="en-US" w:eastAsia="zh-CN"/>
              </w:rPr>
            </w:pPr>
            <w:r>
              <w:rPr>
                <w:kern w:val="2"/>
                <w:szCs w:val="21"/>
                <w:lang w:val="en-US" w:eastAsia="zh-CN"/>
              </w:rPr>
              <w:t>1#</w:t>
            </w:r>
          </w:p>
        </w:tc>
        <w:tc>
          <w:tcPr>
            <w:tcW w:w="1604" w:type="dxa"/>
            <w:vAlign w:val="center"/>
          </w:tcPr>
          <w:p>
            <w:pPr>
              <w:pStyle w:val="26"/>
              <w:rPr>
                <w:kern w:val="2"/>
                <w:szCs w:val="21"/>
                <w:lang w:val="en-US" w:eastAsia="zh-CN"/>
              </w:rPr>
            </w:pPr>
            <w:r>
              <w:rPr>
                <w:rFonts w:hint="eastAsia"/>
                <w:kern w:val="2"/>
                <w:szCs w:val="21"/>
                <w:lang w:val="en-US" w:eastAsia="zh-CN"/>
              </w:rPr>
              <w:t>一次值范围</w:t>
            </w:r>
          </w:p>
        </w:tc>
        <w:tc>
          <w:tcPr>
            <w:tcW w:w="999" w:type="dxa"/>
            <w:vAlign w:val="center"/>
          </w:tcPr>
          <w:p>
            <w:pPr>
              <w:pStyle w:val="26"/>
              <w:rPr>
                <w:kern w:val="2"/>
                <w:szCs w:val="21"/>
                <w:lang w:val="en-US" w:eastAsia="zh-CN"/>
              </w:rPr>
            </w:pPr>
            <w:r>
              <w:rPr>
                <w:color w:val="000000"/>
                <w:kern w:val="2"/>
                <w:szCs w:val="21"/>
                <w:lang w:val="en-US" w:eastAsia="zh-CN"/>
              </w:rPr>
              <w:t>0.007ND</w:t>
            </w:r>
          </w:p>
        </w:tc>
        <w:tc>
          <w:tcPr>
            <w:tcW w:w="1231" w:type="dxa"/>
            <w:vAlign w:val="center"/>
          </w:tcPr>
          <w:p>
            <w:pPr>
              <w:pStyle w:val="26"/>
              <w:rPr>
                <w:kern w:val="2"/>
                <w:szCs w:val="21"/>
                <w:lang w:val="en-US" w:eastAsia="zh-CN"/>
              </w:rPr>
            </w:pPr>
            <w:r>
              <w:rPr>
                <w:kern w:val="2"/>
                <w:szCs w:val="21"/>
                <w:lang w:val="en-US" w:eastAsia="zh-CN"/>
              </w:rPr>
              <w:t>0.005ND</w:t>
            </w:r>
          </w:p>
        </w:tc>
        <w:tc>
          <w:tcPr>
            <w:tcW w:w="1385" w:type="dxa"/>
            <w:vAlign w:val="center"/>
          </w:tcPr>
          <w:p>
            <w:pPr>
              <w:pStyle w:val="26"/>
              <w:rPr>
                <w:kern w:val="2"/>
                <w:szCs w:val="21"/>
                <w:lang w:val="en-US" w:eastAsia="zh-CN"/>
              </w:rPr>
            </w:pPr>
            <w:r>
              <w:rPr>
                <w:kern w:val="2"/>
                <w:szCs w:val="21"/>
                <w:lang w:val="en-US" w:eastAsia="zh-CN"/>
              </w:rPr>
              <w:t>0.03~0.06</w:t>
            </w:r>
          </w:p>
        </w:tc>
        <w:tc>
          <w:tcPr>
            <w:tcW w:w="1072" w:type="dxa"/>
            <w:vAlign w:val="center"/>
          </w:tcPr>
          <w:p>
            <w:pPr>
              <w:pStyle w:val="26"/>
              <w:rPr>
                <w:kern w:val="2"/>
                <w:szCs w:val="21"/>
                <w:lang w:val="en-US" w:eastAsia="zh-CN"/>
              </w:rPr>
            </w:pPr>
            <w:r>
              <w:rPr>
                <w:kern w:val="2"/>
                <w:szCs w:val="21"/>
                <w:lang w:val="en-US" w:eastAsia="zh-CN"/>
              </w:rPr>
              <w:t>0.01ND</w:t>
            </w:r>
          </w:p>
        </w:tc>
        <w:tc>
          <w:tcPr>
            <w:tcW w:w="1221" w:type="dxa"/>
            <w:vAlign w:val="center"/>
          </w:tcPr>
          <w:p>
            <w:pPr>
              <w:pStyle w:val="26"/>
              <w:rPr>
                <w:kern w:val="2"/>
                <w:szCs w:val="21"/>
                <w:lang w:val="en-US" w:eastAsia="zh-CN"/>
              </w:rPr>
            </w:pPr>
            <w:r>
              <w:rPr>
                <w:kern w:val="2"/>
                <w:szCs w:val="21"/>
                <w:lang w:val="en-US" w:eastAsia="zh-CN"/>
              </w:rPr>
              <w:t>0.001ND</w:t>
            </w:r>
          </w:p>
        </w:tc>
        <w:tc>
          <w:tcPr>
            <w:tcW w:w="1209"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045" w:type="dxa"/>
            <w:vMerge w:val="continue"/>
          </w:tcPr>
          <w:p>
            <w:pPr>
              <w:pStyle w:val="26"/>
              <w:rPr>
                <w:kern w:val="2"/>
                <w:szCs w:val="21"/>
                <w:lang w:val="en-US" w:eastAsia="zh-CN"/>
              </w:rPr>
            </w:pPr>
          </w:p>
        </w:tc>
        <w:tc>
          <w:tcPr>
            <w:tcW w:w="1604" w:type="dxa"/>
            <w:vAlign w:val="center"/>
          </w:tcPr>
          <w:p>
            <w:pPr>
              <w:pStyle w:val="26"/>
              <w:rPr>
                <w:kern w:val="2"/>
                <w:szCs w:val="21"/>
                <w:lang w:val="en-US" w:eastAsia="zh-CN"/>
              </w:rPr>
            </w:pPr>
            <w:r>
              <w:rPr>
                <w:rFonts w:hint="eastAsia"/>
                <w:kern w:val="2"/>
                <w:szCs w:val="21"/>
                <w:lang w:val="en-US" w:eastAsia="zh-CN"/>
              </w:rPr>
              <w:t>一次值超标率</w:t>
            </w:r>
          </w:p>
        </w:tc>
        <w:tc>
          <w:tcPr>
            <w:tcW w:w="999" w:type="dxa"/>
            <w:vAlign w:val="center"/>
          </w:tcPr>
          <w:p>
            <w:pPr>
              <w:pStyle w:val="26"/>
              <w:rPr>
                <w:kern w:val="2"/>
                <w:szCs w:val="21"/>
                <w:lang w:val="en-US" w:eastAsia="zh-CN"/>
              </w:rPr>
            </w:pPr>
            <w:r>
              <w:rPr>
                <w:kern w:val="2"/>
                <w:szCs w:val="21"/>
                <w:lang w:val="en-US" w:eastAsia="zh-CN"/>
              </w:rPr>
              <w:t>0</w:t>
            </w:r>
          </w:p>
        </w:tc>
        <w:tc>
          <w:tcPr>
            <w:tcW w:w="1231" w:type="dxa"/>
            <w:vAlign w:val="center"/>
          </w:tcPr>
          <w:p>
            <w:pPr>
              <w:pStyle w:val="26"/>
              <w:rPr>
                <w:kern w:val="2"/>
                <w:szCs w:val="21"/>
                <w:lang w:val="en-US" w:eastAsia="zh-CN"/>
              </w:rPr>
            </w:pPr>
            <w:r>
              <w:rPr>
                <w:kern w:val="2"/>
                <w:szCs w:val="21"/>
                <w:lang w:val="en-US" w:eastAsia="zh-CN"/>
              </w:rPr>
              <w:t>0</w:t>
            </w:r>
          </w:p>
        </w:tc>
        <w:tc>
          <w:tcPr>
            <w:tcW w:w="1385" w:type="dxa"/>
            <w:vAlign w:val="center"/>
          </w:tcPr>
          <w:p>
            <w:pPr>
              <w:pStyle w:val="26"/>
              <w:rPr>
                <w:kern w:val="2"/>
                <w:szCs w:val="21"/>
                <w:lang w:val="en-US" w:eastAsia="zh-CN"/>
              </w:rPr>
            </w:pPr>
            <w:r>
              <w:rPr>
                <w:kern w:val="2"/>
                <w:szCs w:val="21"/>
                <w:lang w:val="en-US" w:eastAsia="zh-CN"/>
              </w:rPr>
              <w:t>0</w:t>
            </w:r>
          </w:p>
        </w:tc>
        <w:tc>
          <w:tcPr>
            <w:tcW w:w="1072" w:type="dxa"/>
            <w:vAlign w:val="center"/>
          </w:tcPr>
          <w:p>
            <w:pPr>
              <w:ind w:firstLine="480"/>
            </w:pPr>
            <w:r>
              <w:t>0</w:t>
            </w:r>
          </w:p>
        </w:tc>
        <w:tc>
          <w:tcPr>
            <w:tcW w:w="1221" w:type="dxa"/>
            <w:vAlign w:val="center"/>
          </w:tcPr>
          <w:p>
            <w:pPr>
              <w:ind w:firstLine="480"/>
            </w:pPr>
            <w:r>
              <w:t>0</w:t>
            </w:r>
          </w:p>
        </w:tc>
        <w:tc>
          <w:tcPr>
            <w:tcW w:w="1209"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045" w:type="dxa"/>
            <w:vMerge w:val="continue"/>
            <w:vAlign w:val="center"/>
          </w:tcPr>
          <w:p>
            <w:pPr>
              <w:pStyle w:val="26"/>
              <w:rPr>
                <w:kern w:val="2"/>
                <w:szCs w:val="21"/>
                <w:lang w:val="en-US" w:eastAsia="zh-CN"/>
              </w:rPr>
            </w:pPr>
          </w:p>
        </w:tc>
        <w:tc>
          <w:tcPr>
            <w:tcW w:w="1604" w:type="dxa"/>
            <w:vAlign w:val="center"/>
          </w:tcPr>
          <w:p>
            <w:pPr>
              <w:pStyle w:val="26"/>
              <w:rPr>
                <w:kern w:val="2"/>
                <w:szCs w:val="21"/>
                <w:lang w:val="en-US" w:eastAsia="zh-CN"/>
              </w:rPr>
            </w:pPr>
            <w:r>
              <w:rPr>
                <w:rFonts w:hint="eastAsia"/>
                <w:kern w:val="2"/>
                <w:szCs w:val="21"/>
                <w:lang w:val="en-US" w:eastAsia="zh-CN"/>
              </w:rPr>
              <w:t>评价标准</w:t>
            </w:r>
          </w:p>
        </w:tc>
        <w:tc>
          <w:tcPr>
            <w:tcW w:w="999" w:type="dxa"/>
            <w:vAlign w:val="center"/>
          </w:tcPr>
          <w:p>
            <w:pPr>
              <w:pStyle w:val="26"/>
              <w:rPr>
                <w:kern w:val="2"/>
                <w:szCs w:val="21"/>
                <w:lang w:val="en-US" w:eastAsia="zh-CN"/>
              </w:rPr>
            </w:pPr>
            <w:r>
              <w:rPr>
                <w:kern w:val="2"/>
                <w:szCs w:val="21"/>
                <w:lang w:val="en-US" w:eastAsia="zh-CN"/>
              </w:rPr>
              <w:t>0.5</w:t>
            </w:r>
          </w:p>
        </w:tc>
        <w:tc>
          <w:tcPr>
            <w:tcW w:w="1231" w:type="dxa"/>
            <w:vAlign w:val="center"/>
          </w:tcPr>
          <w:p>
            <w:pPr>
              <w:pStyle w:val="26"/>
              <w:rPr>
                <w:kern w:val="2"/>
                <w:szCs w:val="21"/>
                <w:lang w:val="en-US" w:eastAsia="zh-CN"/>
              </w:rPr>
            </w:pPr>
            <w:r>
              <w:rPr>
                <w:kern w:val="2"/>
                <w:szCs w:val="21"/>
                <w:lang w:val="en-US" w:eastAsia="zh-CN"/>
              </w:rPr>
              <w:t>0.2</w:t>
            </w:r>
          </w:p>
        </w:tc>
        <w:tc>
          <w:tcPr>
            <w:tcW w:w="1385" w:type="dxa"/>
            <w:vAlign w:val="center"/>
          </w:tcPr>
          <w:p>
            <w:pPr>
              <w:pStyle w:val="26"/>
              <w:rPr>
                <w:kern w:val="2"/>
                <w:szCs w:val="21"/>
                <w:lang w:val="en-US" w:eastAsia="zh-CN"/>
              </w:rPr>
            </w:pPr>
            <w:r>
              <w:rPr>
                <w:rFonts w:hint="eastAsia"/>
                <w:kern w:val="2"/>
                <w:szCs w:val="21"/>
                <w:lang w:val="en-US" w:eastAsia="zh-CN"/>
              </w:rPr>
              <w:t>0.6</w:t>
            </w:r>
          </w:p>
        </w:tc>
        <w:tc>
          <w:tcPr>
            <w:tcW w:w="1072" w:type="dxa"/>
            <w:vAlign w:val="center"/>
          </w:tcPr>
          <w:p>
            <w:pPr>
              <w:pStyle w:val="26"/>
              <w:rPr>
                <w:kern w:val="2"/>
                <w:szCs w:val="21"/>
                <w:lang w:val="en-US" w:eastAsia="zh-CN"/>
              </w:rPr>
            </w:pPr>
            <w:r>
              <w:rPr>
                <w:kern w:val="2"/>
                <w:szCs w:val="21"/>
                <w:lang w:val="en-US" w:eastAsia="zh-CN"/>
              </w:rPr>
              <w:t>0.2</w:t>
            </w:r>
          </w:p>
        </w:tc>
        <w:tc>
          <w:tcPr>
            <w:tcW w:w="1221" w:type="dxa"/>
            <w:vAlign w:val="center"/>
          </w:tcPr>
          <w:p>
            <w:pPr>
              <w:pStyle w:val="26"/>
              <w:rPr>
                <w:kern w:val="2"/>
                <w:szCs w:val="21"/>
                <w:lang w:val="en-US" w:eastAsia="zh-CN"/>
              </w:rPr>
            </w:pPr>
            <w:r>
              <w:rPr>
                <w:kern w:val="2"/>
                <w:szCs w:val="21"/>
                <w:lang w:val="en-US" w:eastAsia="zh-CN"/>
              </w:rPr>
              <w:t>0.01</w:t>
            </w:r>
          </w:p>
        </w:tc>
        <w:tc>
          <w:tcPr>
            <w:tcW w:w="1209"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045" w:type="dxa"/>
            <w:vMerge w:val="continue"/>
            <w:vAlign w:val="center"/>
          </w:tcPr>
          <w:p>
            <w:pPr>
              <w:pStyle w:val="26"/>
              <w:rPr>
                <w:kern w:val="2"/>
                <w:szCs w:val="21"/>
                <w:lang w:val="en-US" w:eastAsia="zh-CN"/>
              </w:rPr>
            </w:pPr>
          </w:p>
        </w:tc>
        <w:tc>
          <w:tcPr>
            <w:tcW w:w="1604" w:type="dxa"/>
            <w:vAlign w:val="center"/>
          </w:tcPr>
          <w:p>
            <w:pPr>
              <w:pStyle w:val="26"/>
              <w:rPr>
                <w:kern w:val="2"/>
                <w:szCs w:val="21"/>
                <w:lang w:val="en-US" w:eastAsia="zh-CN"/>
              </w:rPr>
            </w:pPr>
            <w:r>
              <w:rPr>
                <w:rFonts w:hint="eastAsia"/>
                <w:kern w:val="2"/>
                <w:szCs w:val="21"/>
                <w:lang w:val="en-US" w:eastAsia="zh-CN"/>
              </w:rPr>
              <w:t>日均值范围</w:t>
            </w:r>
          </w:p>
        </w:tc>
        <w:tc>
          <w:tcPr>
            <w:tcW w:w="999" w:type="dxa"/>
            <w:vAlign w:val="center"/>
          </w:tcPr>
          <w:p>
            <w:pPr>
              <w:pStyle w:val="26"/>
              <w:rPr>
                <w:kern w:val="2"/>
                <w:szCs w:val="21"/>
                <w:lang w:val="en-US" w:eastAsia="zh-CN"/>
              </w:rPr>
            </w:pPr>
            <w:r>
              <w:rPr>
                <w:kern w:val="2"/>
                <w:szCs w:val="21"/>
                <w:lang w:val="en-US" w:eastAsia="zh-CN"/>
              </w:rPr>
              <w:t>-</w:t>
            </w:r>
          </w:p>
        </w:tc>
        <w:tc>
          <w:tcPr>
            <w:tcW w:w="1231" w:type="dxa"/>
            <w:vAlign w:val="center"/>
          </w:tcPr>
          <w:p>
            <w:pPr>
              <w:pStyle w:val="26"/>
              <w:rPr>
                <w:kern w:val="2"/>
                <w:szCs w:val="21"/>
                <w:lang w:val="en-US" w:eastAsia="zh-CN"/>
              </w:rPr>
            </w:pPr>
            <w:r>
              <w:rPr>
                <w:kern w:val="2"/>
                <w:szCs w:val="21"/>
                <w:lang w:val="en-US" w:eastAsia="zh-CN"/>
              </w:rPr>
              <w:t>-</w:t>
            </w:r>
          </w:p>
        </w:tc>
        <w:tc>
          <w:tcPr>
            <w:tcW w:w="1385" w:type="dxa"/>
            <w:vAlign w:val="center"/>
          </w:tcPr>
          <w:p>
            <w:pPr>
              <w:pStyle w:val="26"/>
              <w:rPr>
                <w:kern w:val="2"/>
                <w:szCs w:val="21"/>
                <w:lang w:val="en-US" w:eastAsia="zh-CN"/>
              </w:rPr>
            </w:pPr>
            <w:r>
              <w:rPr>
                <w:kern w:val="2"/>
                <w:szCs w:val="21"/>
                <w:lang w:val="en-US" w:eastAsia="zh-CN"/>
              </w:rPr>
              <w:t>-</w:t>
            </w:r>
          </w:p>
        </w:tc>
        <w:tc>
          <w:tcPr>
            <w:tcW w:w="1072" w:type="dxa"/>
            <w:vAlign w:val="center"/>
          </w:tcPr>
          <w:p>
            <w:pPr>
              <w:pStyle w:val="26"/>
              <w:rPr>
                <w:kern w:val="2"/>
                <w:szCs w:val="21"/>
                <w:lang w:val="en-US" w:eastAsia="zh-CN"/>
              </w:rPr>
            </w:pPr>
            <w:r>
              <w:rPr>
                <w:kern w:val="2"/>
                <w:szCs w:val="21"/>
                <w:lang w:val="en-US" w:eastAsia="zh-CN"/>
              </w:rPr>
              <w:t>-</w:t>
            </w:r>
          </w:p>
        </w:tc>
        <w:tc>
          <w:tcPr>
            <w:tcW w:w="1221" w:type="dxa"/>
            <w:vAlign w:val="center"/>
          </w:tcPr>
          <w:p>
            <w:pPr>
              <w:pStyle w:val="26"/>
              <w:rPr>
                <w:kern w:val="2"/>
                <w:szCs w:val="21"/>
                <w:lang w:val="en-US" w:eastAsia="zh-CN"/>
              </w:rPr>
            </w:pPr>
            <w:r>
              <w:rPr>
                <w:kern w:val="2"/>
                <w:szCs w:val="21"/>
                <w:lang w:val="en-US" w:eastAsia="zh-CN"/>
              </w:rPr>
              <w:t>-</w:t>
            </w:r>
          </w:p>
        </w:tc>
        <w:tc>
          <w:tcPr>
            <w:tcW w:w="1209" w:type="dxa"/>
            <w:vAlign w:val="center"/>
          </w:tcPr>
          <w:p>
            <w:pPr>
              <w:pStyle w:val="26"/>
              <w:rPr>
                <w:kern w:val="2"/>
                <w:szCs w:val="21"/>
                <w:lang w:val="en-US" w:eastAsia="zh-CN"/>
              </w:rPr>
            </w:pPr>
            <w:r>
              <w:rPr>
                <w:kern w:val="2"/>
                <w:szCs w:val="21"/>
                <w:lang w:val="en-US" w:eastAsia="zh-CN"/>
              </w:rPr>
              <w:t>0.08~0.11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045" w:type="dxa"/>
            <w:vMerge w:val="continue"/>
            <w:vAlign w:val="center"/>
          </w:tcPr>
          <w:p>
            <w:pPr>
              <w:pStyle w:val="26"/>
              <w:rPr>
                <w:kern w:val="2"/>
                <w:szCs w:val="21"/>
                <w:lang w:val="en-US" w:eastAsia="zh-CN"/>
              </w:rPr>
            </w:pPr>
          </w:p>
        </w:tc>
        <w:tc>
          <w:tcPr>
            <w:tcW w:w="1604" w:type="dxa"/>
            <w:vAlign w:val="center"/>
          </w:tcPr>
          <w:p>
            <w:pPr>
              <w:pStyle w:val="26"/>
              <w:rPr>
                <w:kern w:val="2"/>
                <w:szCs w:val="21"/>
                <w:lang w:val="en-US" w:eastAsia="zh-CN"/>
              </w:rPr>
            </w:pPr>
            <w:r>
              <w:rPr>
                <w:rFonts w:hint="eastAsia"/>
                <w:kern w:val="2"/>
                <w:szCs w:val="21"/>
                <w:lang w:val="en-US" w:eastAsia="zh-CN"/>
              </w:rPr>
              <w:t>日均值超标率</w:t>
            </w:r>
          </w:p>
        </w:tc>
        <w:tc>
          <w:tcPr>
            <w:tcW w:w="999" w:type="dxa"/>
            <w:vAlign w:val="center"/>
          </w:tcPr>
          <w:p>
            <w:pPr>
              <w:pStyle w:val="26"/>
              <w:rPr>
                <w:kern w:val="2"/>
                <w:szCs w:val="21"/>
                <w:lang w:val="en-US" w:eastAsia="zh-CN"/>
              </w:rPr>
            </w:pPr>
            <w:r>
              <w:rPr>
                <w:kern w:val="2"/>
                <w:szCs w:val="21"/>
                <w:lang w:val="en-US" w:eastAsia="zh-CN"/>
              </w:rPr>
              <w:t>-</w:t>
            </w:r>
          </w:p>
        </w:tc>
        <w:tc>
          <w:tcPr>
            <w:tcW w:w="1231" w:type="dxa"/>
            <w:vAlign w:val="center"/>
          </w:tcPr>
          <w:p>
            <w:pPr>
              <w:pStyle w:val="26"/>
              <w:rPr>
                <w:kern w:val="2"/>
                <w:szCs w:val="21"/>
                <w:lang w:val="en-US" w:eastAsia="zh-CN"/>
              </w:rPr>
            </w:pPr>
            <w:r>
              <w:rPr>
                <w:kern w:val="2"/>
                <w:szCs w:val="21"/>
                <w:lang w:val="en-US" w:eastAsia="zh-CN"/>
              </w:rPr>
              <w:t>-</w:t>
            </w:r>
          </w:p>
        </w:tc>
        <w:tc>
          <w:tcPr>
            <w:tcW w:w="1385" w:type="dxa"/>
            <w:vAlign w:val="center"/>
          </w:tcPr>
          <w:p>
            <w:pPr>
              <w:pStyle w:val="26"/>
              <w:rPr>
                <w:kern w:val="2"/>
                <w:szCs w:val="21"/>
                <w:lang w:val="en-US" w:eastAsia="zh-CN"/>
              </w:rPr>
            </w:pPr>
            <w:r>
              <w:rPr>
                <w:kern w:val="2"/>
                <w:szCs w:val="21"/>
                <w:lang w:val="en-US" w:eastAsia="zh-CN"/>
              </w:rPr>
              <w:t>-</w:t>
            </w:r>
          </w:p>
        </w:tc>
        <w:tc>
          <w:tcPr>
            <w:tcW w:w="1072" w:type="dxa"/>
            <w:vAlign w:val="center"/>
          </w:tcPr>
          <w:p>
            <w:pPr>
              <w:pStyle w:val="26"/>
              <w:rPr>
                <w:kern w:val="2"/>
                <w:szCs w:val="21"/>
                <w:lang w:val="en-US" w:eastAsia="zh-CN"/>
              </w:rPr>
            </w:pPr>
            <w:r>
              <w:rPr>
                <w:kern w:val="2"/>
                <w:szCs w:val="21"/>
                <w:lang w:val="en-US" w:eastAsia="zh-CN"/>
              </w:rPr>
              <w:t>-</w:t>
            </w:r>
          </w:p>
        </w:tc>
        <w:tc>
          <w:tcPr>
            <w:tcW w:w="1221" w:type="dxa"/>
            <w:vAlign w:val="center"/>
          </w:tcPr>
          <w:p>
            <w:pPr>
              <w:pStyle w:val="26"/>
              <w:rPr>
                <w:kern w:val="2"/>
                <w:szCs w:val="21"/>
                <w:lang w:val="en-US" w:eastAsia="zh-CN"/>
              </w:rPr>
            </w:pPr>
            <w:r>
              <w:rPr>
                <w:kern w:val="2"/>
                <w:szCs w:val="21"/>
                <w:lang w:val="en-US" w:eastAsia="zh-CN"/>
              </w:rPr>
              <w:t>-</w:t>
            </w:r>
          </w:p>
        </w:tc>
        <w:tc>
          <w:tcPr>
            <w:tcW w:w="1209" w:type="dxa"/>
            <w:vAlign w:val="center"/>
          </w:tcPr>
          <w:p>
            <w:pPr>
              <w:pStyle w:val="26"/>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045" w:type="dxa"/>
            <w:vMerge w:val="continue"/>
            <w:vAlign w:val="center"/>
          </w:tcPr>
          <w:p>
            <w:pPr>
              <w:pStyle w:val="26"/>
              <w:rPr>
                <w:kern w:val="2"/>
                <w:szCs w:val="21"/>
                <w:lang w:val="en-US" w:eastAsia="zh-CN"/>
              </w:rPr>
            </w:pPr>
          </w:p>
        </w:tc>
        <w:tc>
          <w:tcPr>
            <w:tcW w:w="1604" w:type="dxa"/>
            <w:vAlign w:val="center"/>
          </w:tcPr>
          <w:p>
            <w:pPr>
              <w:pStyle w:val="26"/>
              <w:rPr>
                <w:kern w:val="2"/>
                <w:szCs w:val="21"/>
                <w:lang w:val="en-US" w:eastAsia="zh-CN"/>
              </w:rPr>
            </w:pPr>
            <w:r>
              <w:rPr>
                <w:rFonts w:hint="eastAsia"/>
                <w:kern w:val="2"/>
                <w:szCs w:val="21"/>
                <w:lang w:val="en-US" w:eastAsia="zh-CN"/>
              </w:rPr>
              <w:t>评价标准</w:t>
            </w:r>
          </w:p>
        </w:tc>
        <w:tc>
          <w:tcPr>
            <w:tcW w:w="999" w:type="dxa"/>
            <w:vAlign w:val="center"/>
          </w:tcPr>
          <w:p>
            <w:pPr>
              <w:pStyle w:val="26"/>
              <w:rPr>
                <w:kern w:val="2"/>
                <w:szCs w:val="21"/>
                <w:lang w:val="en-US" w:eastAsia="zh-CN"/>
              </w:rPr>
            </w:pPr>
            <w:r>
              <w:rPr>
                <w:kern w:val="2"/>
                <w:szCs w:val="21"/>
                <w:lang w:val="en-US" w:eastAsia="zh-CN"/>
              </w:rPr>
              <w:t>-</w:t>
            </w:r>
          </w:p>
        </w:tc>
        <w:tc>
          <w:tcPr>
            <w:tcW w:w="1231" w:type="dxa"/>
            <w:vAlign w:val="center"/>
          </w:tcPr>
          <w:p>
            <w:pPr>
              <w:pStyle w:val="26"/>
              <w:rPr>
                <w:kern w:val="2"/>
                <w:szCs w:val="21"/>
                <w:lang w:val="en-US" w:eastAsia="zh-CN"/>
              </w:rPr>
            </w:pPr>
            <w:r>
              <w:rPr>
                <w:kern w:val="2"/>
                <w:szCs w:val="21"/>
                <w:lang w:val="en-US" w:eastAsia="zh-CN"/>
              </w:rPr>
              <w:t>-</w:t>
            </w:r>
          </w:p>
        </w:tc>
        <w:tc>
          <w:tcPr>
            <w:tcW w:w="1385" w:type="dxa"/>
            <w:vAlign w:val="center"/>
          </w:tcPr>
          <w:p>
            <w:pPr>
              <w:pStyle w:val="26"/>
              <w:rPr>
                <w:kern w:val="2"/>
                <w:szCs w:val="21"/>
                <w:lang w:val="en-US" w:eastAsia="zh-CN"/>
              </w:rPr>
            </w:pPr>
            <w:r>
              <w:rPr>
                <w:kern w:val="2"/>
                <w:szCs w:val="21"/>
                <w:lang w:val="en-US" w:eastAsia="zh-CN"/>
              </w:rPr>
              <w:t>-</w:t>
            </w:r>
          </w:p>
        </w:tc>
        <w:tc>
          <w:tcPr>
            <w:tcW w:w="1072" w:type="dxa"/>
            <w:vAlign w:val="center"/>
          </w:tcPr>
          <w:p>
            <w:pPr>
              <w:pStyle w:val="26"/>
              <w:rPr>
                <w:kern w:val="2"/>
                <w:szCs w:val="21"/>
                <w:lang w:val="en-US" w:eastAsia="zh-CN"/>
              </w:rPr>
            </w:pPr>
            <w:r>
              <w:rPr>
                <w:kern w:val="2"/>
                <w:szCs w:val="21"/>
                <w:lang w:val="en-US" w:eastAsia="zh-CN"/>
              </w:rPr>
              <w:t>-</w:t>
            </w:r>
          </w:p>
        </w:tc>
        <w:tc>
          <w:tcPr>
            <w:tcW w:w="1221" w:type="dxa"/>
            <w:vAlign w:val="center"/>
          </w:tcPr>
          <w:p>
            <w:pPr>
              <w:pStyle w:val="26"/>
              <w:rPr>
                <w:kern w:val="2"/>
                <w:szCs w:val="21"/>
                <w:lang w:val="en-US" w:eastAsia="zh-CN"/>
              </w:rPr>
            </w:pPr>
            <w:r>
              <w:rPr>
                <w:kern w:val="2"/>
                <w:szCs w:val="21"/>
                <w:lang w:val="en-US" w:eastAsia="zh-CN"/>
              </w:rPr>
              <w:t>-</w:t>
            </w:r>
          </w:p>
        </w:tc>
        <w:tc>
          <w:tcPr>
            <w:tcW w:w="1209" w:type="dxa"/>
            <w:vAlign w:val="center"/>
          </w:tcPr>
          <w:p>
            <w:pPr>
              <w:pStyle w:val="26"/>
              <w:rPr>
                <w:kern w:val="2"/>
                <w:szCs w:val="21"/>
                <w:lang w:val="en-US" w:eastAsia="zh-CN"/>
              </w:rPr>
            </w:pPr>
            <w:r>
              <w:rPr>
                <w:kern w:val="2"/>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 w:hRule="atLeast"/>
          <w:jc w:val="center"/>
        </w:trPr>
        <w:tc>
          <w:tcPr>
            <w:tcW w:w="1045" w:type="dxa"/>
            <w:vMerge w:val="restart"/>
            <w:vAlign w:val="center"/>
          </w:tcPr>
          <w:p>
            <w:pPr>
              <w:pStyle w:val="26"/>
              <w:rPr>
                <w:kern w:val="2"/>
                <w:szCs w:val="21"/>
                <w:lang w:val="en-US" w:eastAsia="zh-CN"/>
              </w:rPr>
            </w:pPr>
            <w:r>
              <w:rPr>
                <w:kern w:val="2"/>
                <w:szCs w:val="21"/>
                <w:lang w:val="en-US" w:eastAsia="zh-CN"/>
              </w:rPr>
              <w:t>2#</w:t>
            </w:r>
          </w:p>
        </w:tc>
        <w:tc>
          <w:tcPr>
            <w:tcW w:w="1604" w:type="dxa"/>
            <w:vAlign w:val="center"/>
          </w:tcPr>
          <w:p>
            <w:pPr>
              <w:pStyle w:val="26"/>
              <w:rPr>
                <w:kern w:val="2"/>
                <w:szCs w:val="21"/>
                <w:lang w:val="en-US" w:eastAsia="zh-CN"/>
              </w:rPr>
            </w:pPr>
            <w:r>
              <w:rPr>
                <w:rFonts w:hint="eastAsia"/>
                <w:kern w:val="2"/>
                <w:szCs w:val="21"/>
                <w:lang w:val="en-US" w:eastAsia="zh-CN"/>
              </w:rPr>
              <w:t>一次值范围</w:t>
            </w:r>
          </w:p>
        </w:tc>
        <w:tc>
          <w:tcPr>
            <w:tcW w:w="999" w:type="dxa"/>
            <w:vAlign w:val="center"/>
          </w:tcPr>
          <w:p>
            <w:pPr>
              <w:pStyle w:val="26"/>
              <w:rPr>
                <w:kern w:val="2"/>
                <w:szCs w:val="21"/>
                <w:lang w:val="en-US" w:eastAsia="zh-CN"/>
              </w:rPr>
            </w:pPr>
            <w:r>
              <w:rPr>
                <w:color w:val="000000"/>
                <w:kern w:val="2"/>
                <w:szCs w:val="21"/>
                <w:lang w:val="en-US" w:eastAsia="zh-CN"/>
              </w:rPr>
              <w:t>0.007ND</w:t>
            </w:r>
          </w:p>
        </w:tc>
        <w:tc>
          <w:tcPr>
            <w:tcW w:w="1231" w:type="dxa"/>
            <w:vAlign w:val="center"/>
          </w:tcPr>
          <w:p>
            <w:pPr>
              <w:pStyle w:val="26"/>
              <w:rPr>
                <w:kern w:val="2"/>
                <w:szCs w:val="21"/>
                <w:lang w:val="en-US" w:eastAsia="zh-CN"/>
              </w:rPr>
            </w:pPr>
            <w:r>
              <w:rPr>
                <w:kern w:val="2"/>
                <w:szCs w:val="21"/>
                <w:lang w:val="en-US" w:eastAsia="zh-CN"/>
              </w:rPr>
              <w:t>0.005ND</w:t>
            </w:r>
          </w:p>
        </w:tc>
        <w:tc>
          <w:tcPr>
            <w:tcW w:w="1385" w:type="dxa"/>
            <w:vAlign w:val="center"/>
          </w:tcPr>
          <w:p>
            <w:pPr>
              <w:pStyle w:val="26"/>
              <w:rPr>
                <w:kern w:val="2"/>
                <w:szCs w:val="21"/>
                <w:lang w:val="en-US" w:eastAsia="zh-CN"/>
              </w:rPr>
            </w:pPr>
            <w:r>
              <w:rPr>
                <w:kern w:val="2"/>
                <w:szCs w:val="21"/>
                <w:lang w:val="en-US" w:eastAsia="zh-CN"/>
              </w:rPr>
              <w:t>0.03~0.07</w:t>
            </w:r>
          </w:p>
        </w:tc>
        <w:tc>
          <w:tcPr>
            <w:tcW w:w="1072" w:type="dxa"/>
            <w:vAlign w:val="center"/>
          </w:tcPr>
          <w:p>
            <w:pPr>
              <w:pStyle w:val="26"/>
              <w:rPr>
                <w:kern w:val="2"/>
                <w:szCs w:val="21"/>
                <w:lang w:val="en-US" w:eastAsia="zh-CN"/>
              </w:rPr>
            </w:pPr>
            <w:r>
              <w:rPr>
                <w:kern w:val="2"/>
                <w:szCs w:val="21"/>
                <w:lang w:val="en-US" w:eastAsia="zh-CN"/>
              </w:rPr>
              <w:t>0.01ND</w:t>
            </w:r>
          </w:p>
        </w:tc>
        <w:tc>
          <w:tcPr>
            <w:tcW w:w="1221" w:type="dxa"/>
            <w:vAlign w:val="center"/>
          </w:tcPr>
          <w:p>
            <w:pPr>
              <w:pStyle w:val="26"/>
              <w:rPr>
                <w:kern w:val="2"/>
                <w:szCs w:val="21"/>
                <w:lang w:val="en-US" w:eastAsia="zh-CN"/>
              </w:rPr>
            </w:pPr>
            <w:r>
              <w:rPr>
                <w:kern w:val="2"/>
                <w:szCs w:val="21"/>
                <w:lang w:val="en-US" w:eastAsia="zh-CN"/>
              </w:rPr>
              <w:t>0.001ND</w:t>
            </w:r>
          </w:p>
        </w:tc>
        <w:tc>
          <w:tcPr>
            <w:tcW w:w="1209"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 w:hRule="atLeast"/>
          <w:jc w:val="center"/>
        </w:trPr>
        <w:tc>
          <w:tcPr>
            <w:tcW w:w="1045" w:type="dxa"/>
            <w:vMerge w:val="continue"/>
            <w:vAlign w:val="center"/>
          </w:tcPr>
          <w:p>
            <w:pPr>
              <w:pStyle w:val="26"/>
              <w:rPr>
                <w:kern w:val="2"/>
                <w:szCs w:val="21"/>
                <w:lang w:val="en-US" w:eastAsia="zh-CN"/>
              </w:rPr>
            </w:pPr>
          </w:p>
        </w:tc>
        <w:tc>
          <w:tcPr>
            <w:tcW w:w="1604" w:type="dxa"/>
            <w:vAlign w:val="center"/>
          </w:tcPr>
          <w:p>
            <w:pPr>
              <w:pStyle w:val="26"/>
              <w:rPr>
                <w:kern w:val="2"/>
                <w:szCs w:val="21"/>
                <w:lang w:val="en-US" w:eastAsia="zh-CN"/>
              </w:rPr>
            </w:pPr>
            <w:r>
              <w:rPr>
                <w:rFonts w:hint="eastAsia"/>
                <w:kern w:val="2"/>
                <w:szCs w:val="21"/>
                <w:lang w:val="en-US" w:eastAsia="zh-CN"/>
              </w:rPr>
              <w:t>一次值超标率</w:t>
            </w:r>
          </w:p>
        </w:tc>
        <w:tc>
          <w:tcPr>
            <w:tcW w:w="999" w:type="dxa"/>
            <w:vAlign w:val="center"/>
          </w:tcPr>
          <w:p>
            <w:pPr>
              <w:pStyle w:val="26"/>
              <w:rPr>
                <w:kern w:val="2"/>
                <w:szCs w:val="21"/>
                <w:lang w:val="en-US" w:eastAsia="zh-CN"/>
              </w:rPr>
            </w:pPr>
            <w:r>
              <w:rPr>
                <w:kern w:val="2"/>
                <w:szCs w:val="21"/>
                <w:lang w:val="en-US" w:eastAsia="zh-CN"/>
              </w:rPr>
              <w:t>0</w:t>
            </w:r>
          </w:p>
        </w:tc>
        <w:tc>
          <w:tcPr>
            <w:tcW w:w="1231" w:type="dxa"/>
            <w:vAlign w:val="center"/>
          </w:tcPr>
          <w:p>
            <w:pPr>
              <w:pStyle w:val="26"/>
              <w:rPr>
                <w:kern w:val="2"/>
                <w:szCs w:val="21"/>
                <w:lang w:val="en-US" w:eastAsia="zh-CN"/>
              </w:rPr>
            </w:pPr>
            <w:r>
              <w:rPr>
                <w:kern w:val="2"/>
                <w:szCs w:val="21"/>
                <w:lang w:val="en-US" w:eastAsia="zh-CN"/>
              </w:rPr>
              <w:t>0</w:t>
            </w:r>
          </w:p>
        </w:tc>
        <w:tc>
          <w:tcPr>
            <w:tcW w:w="1385" w:type="dxa"/>
            <w:vAlign w:val="center"/>
          </w:tcPr>
          <w:p>
            <w:pPr>
              <w:pStyle w:val="26"/>
              <w:rPr>
                <w:kern w:val="2"/>
                <w:szCs w:val="21"/>
                <w:lang w:val="en-US" w:eastAsia="zh-CN"/>
              </w:rPr>
            </w:pPr>
            <w:r>
              <w:rPr>
                <w:kern w:val="2"/>
                <w:szCs w:val="21"/>
                <w:lang w:val="en-US" w:eastAsia="zh-CN"/>
              </w:rPr>
              <w:t>0</w:t>
            </w:r>
          </w:p>
        </w:tc>
        <w:tc>
          <w:tcPr>
            <w:tcW w:w="1072" w:type="dxa"/>
            <w:vAlign w:val="center"/>
          </w:tcPr>
          <w:p>
            <w:pPr>
              <w:pStyle w:val="26"/>
              <w:rPr>
                <w:kern w:val="2"/>
                <w:szCs w:val="21"/>
                <w:lang w:val="en-US" w:eastAsia="zh-CN"/>
              </w:rPr>
            </w:pPr>
            <w:r>
              <w:rPr>
                <w:kern w:val="2"/>
                <w:szCs w:val="21"/>
                <w:lang w:val="en-US" w:eastAsia="zh-CN"/>
              </w:rPr>
              <w:t>0</w:t>
            </w:r>
          </w:p>
        </w:tc>
        <w:tc>
          <w:tcPr>
            <w:tcW w:w="1221" w:type="dxa"/>
            <w:vAlign w:val="center"/>
          </w:tcPr>
          <w:p>
            <w:pPr>
              <w:pStyle w:val="26"/>
              <w:rPr>
                <w:kern w:val="2"/>
                <w:szCs w:val="21"/>
                <w:lang w:val="en-US" w:eastAsia="zh-CN"/>
              </w:rPr>
            </w:pPr>
            <w:r>
              <w:rPr>
                <w:kern w:val="2"/>
                <w:szCs w:val="21"/>
                <w:lang w:val="en-US" w:eastAsia="zh-CN"/>
              </w:rPr>
              <w:t>0</w:t>
            </w:r>
          </w:p>
        </w:tc>
        <w:tc>
          <w:tcPr>
            <w:tcW w:w="1209"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 w:hRule="atLeast"/>
          <w:jc w:val="center"/>
        </w:trPr>
        <w:tc>
          <w:tcPr>
            <w:tcW w:w="1045" w:type="dxa"/>
            <w:vMerge w:val="continue"/>
            <w:vAlign w:val="center"/>
          </w:tcPr>
          <w:p>
            <w:pPr>
              <w:pStyle w:val="26"/>
              <w:rPr>
                <w:kern w:val="2"/>
                <w:szCs w:val="21"/>
                <w:lang w:val="en-US" w:eastAsia="zh-CN"/>
              </w:rPr>
            </w:pPr>
          </w:p>
        </w:tc>
        <w:tc>
          <w:tcPr>
            <w:tcW w:w="1604" w:type="dxa"/>
            <w:vAlign w:val="center"/>
          </w:tcPr>
          <w:p>
            <w:pPr>
              <w:pStyle w:val="26"/>
              <w:rPr>
                <w:kern w:val="2"/>
                <w:szCs w:val="21"/>
                <w:lang w:val="en-US" w:eastAsia="zh-CN"/>
              </w:rPr>
            </w:pPr>
            <w:r>
              <w:rPr>
                <w:rFonts w:hint="eastAsia"/>
                <w:kern w:val="2"/>
                <w:szCs w:val="21"/>
                <w:lang w:val="en-US" w:eastAsia="zh-CN"/>
              </w:rPr>
              <w:t>评价标准</w:t>
            </w:r>
          </w:p>
        </w:tc>
        <w:tc>
          <w:tcPr>
            <w:tcW w:w="999" w:type="dxa"/>
            <w:vAlign w:val="center"/>
          </w:tcPr>
          <w:p>
            <w:pPr>
              <w:pStyle w:val="26"/>
              <w:rPr>
                <w:kern w:val="2"/>
                <w:szCs w:val="21"/>
                <w:lang w:val="en-US" w:eastAsia="zh-CN"/>
              </w:rPr>
            </w:pPr>
            <w:r>
              <w:rPr>
                <w:kern w:val="2"/>
                <w:szCs w:val="21"/>
                <w:lang w:val="en-US" w:eastAsia="zh-CN"/>
              </w:rPr>
              <w:t>0.5</w:t>
            </w:r>
          </w:p>
        </w:tc>
        <w:tc>
          <w:tcPr>
            <w:tcW w:w="1231" w:type="dxa"/>
            <w:vAlign w:val="center"/>
          </w:tcPr>
          <w:p>
            <w:pPr>
              <w:pStyle w:val="26"/>
              <w:rPr>
                <w:kern w:val="2"/>
                <w:szCs w:val="21"/>
                <w:lang w:val="en-US" w:eastAsia="zh-CN"/>
              </w:rPr>
            </w:pPr>
            <w:r>
              <w:rPr>
                <w:kern w:val="2"/>
                <w:szCs w:val="21"/>
                <w:lang w:val="en-US" w:eastAsia="zh-CN"/>
              </w:rPr>
              <w:t>0.2</w:t>
            </w:r>
          </w:p>
        </w:tc>
        <w:tc>
          <w:tcPr>
            <w:tcW w:w="1385" w:type="dxa"/>
            <w:vAlign w:val="center"/>
          </w:tcPr>
          <w:p>
            <w:pPr>
              <w:pStyle w:val="26"/>
              <w:rPr>
                <w:kern w:val="2"/>
                <w:szCs w:val="21"/>
                <w:lang w:val="en-US" w:eastAsia="zh-CN"/>
              </w:rPr>
            </w:pPr>
            <w:r>
              <w:rPr>
                <w:rFonts w:hint="eastAsia"/>
                <w:kern w:val="2"/>
                <w:szCs w:val="21"/>
                <w:lang w:val="en-US" w:eastAsia="zh-CN"/>
              </w:rPr>
              <w:t>0.6</w:t>
            </w:r>
          </w:p>
        </w:tc>
        <w:tc>
          <w:tcPr>
            <w:tcW w:w="1072" w:type="dxa"/>
            <w:vAlign w:val="center"/>
          </w:tcPr>
          <w:p>
            <w:pPr>
              <w:pStyle w:val="26"/>
              <w:rPr>
                <w:kern w:val="2"/>
                <w:szCs w:val="21"/>
                <w:lang w:val="en-US" w:eastAsia="zh-CN"/>
              </w:rPr>
            </w:pPr>
            <w:r>
              <w:rPr>
                <w:kern w:val="2"/>
                <w:szCs w:val="21"/>
                <w:lang w:val="en-US" w:eastAsia="zh-CN"/>
              </w:rPr>
              <w:t>0.2</w:t>
            </w:r>
          </w:p>
        </w:tc>
        <w:tc>
          <w:tcPr>
            <w:tcW w:w="1221" w:type="dxa"/>
            <w:vAlign w:val="center"/>
          </w:tcPr>
          <w:p>
            <w:pPr>
              <w:pStyle w:val="26"/>
              <w:rPr>
                <w:kern w:val="2"/>
                <w:szCs w:val="21"/>
                <w:lang w:val="en-US" w:eastAsia="zh-CN"/>
              </w:rPr>
            </w:pPr>
            <w:r>
              <w:rPr>
                <w:kern w:val="2"/>
                <w:szCs w:val="21"/>
                <w:lang w:val="en-US" w:eastAsia="zh-CN"/>
              </w:rPr>
              <w:t>0.01</w:t>
            </w:r>
          </w:p>
        </w:tc>
        <w:tc>
          <w:tcPr>
            <w:tcW w:w="1209"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 w:hRule="atLeast"/>
          <w:jc w:val="center"/>
        </w:trPr>
        <w:tc>
          <w:tcPr>
            <w:tcW w:w="1045" w:type="dxa"/>
            <w:vMerge w:val="continue"/>
            <w:vAlign w:val="center"/>
          </w:tcPr>
          <w:p>
            <w:pPr>
              <w:pStyle w:val="26"/>
              <w:rPr>
                <w:kern w:val="2"/>
                <w:szCs w:val="21"/>
                <w:lang w:val="en-US" w:eastAsia="zh-CN"/>
              </w:rPr>
            </w:pPr>
          </w:p>
        </w:tc>
        <w:tc>
          <w:tcPr>
            <w:tcW w:w="1604" w:type="dxa"/>
            <w:vAlign w:val="center"/>
          </w:tcPr>
          <w:p>
            <w:pPr>
              <w:pStyle w:val="26"/>
              <w:rPr>
                <w:kern w:val="2"/>
                <w:szCs w:val="21"/>
                <w:lang w:val="en-US" w:eastAsia="zh-CN"/>
              </w:rPr>
            </w:pPr>
            <w:r>
              <w:rPr>
                <w:rFonts w:hint="eastAsia"/>
                <w:kern w:val="2"/>
                <w:szCs w:val="21"/>
                <w:lang w:val="en-US" w:eastAsia="zh-CN"/>
              </w:rPr>
              <w:t>日均值范围</w:t>
            </w:r>
          </w:p>
        </w:tc>
        <w:tc>
          <w:tcPr>
            <w:tcW w:w="999" w:type="dxa"/>
            <w:vAlign w:val="center"/>
          </w:tcPr>
          <w:p>
            <w:pPr>
              <w:pStyle w:val="26"/>
              <w:rPr>
                <w:kern w:val="2"/>
                <w:szCs w:val="21"/>
                <w:lang w:val="en-US" w:eastAsia="zh-CN"/>
              </w:rPr>
            </w:pPr>
            <w:r>
              <w:rPr>
                <w:kern w:val="2"/>
                <w:szCs w:val="21"/>
                <w:lang w:val="en-US" w:eastAsia="zh-CN"/>
              </w:rPr>
              <w:t>-</w:t>
            </w:r>
          </w:p>
        </w:tc>
        <w:tc>
          <w:tcPr>
            <w:tcW w:w="1231" w:type="dxa"/>
            <w:vAlign w:val="center"/>
          </w:tcPr>
          <w:p>
            <w:pPr>
              <w:pStyle w:val="26"/>
              <w:rPr>
                <w:kern w:val="2"/>
                <w:szCs w:val="21"/>
                <w:lang w:val="en-US" w:eastAsia="zh-CN"/>
              </w:rPr>
            </w:pPr>
            <w:r>
              <w:rPr>
                <w:kern w:val="2"/>
                <w:szCs w:val="21"/>
                <w:lang w:val="en-US" w:eastAsia="zh-CN"/>
              </w:rPr>
              <w:t>-</w:t>
            </w:r>
          </w:p>
        </w:tc>
        <w:tc>
          <w:tcPr>
            <w:tcW w:w="1385" w:type="dxa"/>
            <w:vAlign w:val="center"/>
          </w:tcPr>
          <w:p>
            <w:pPr>
              <w:pStyle w:val="26"/>
              <w:rPr>
                <w:kern w:val="2"/>
                <w:szCs w:val="21"/>
                <w:lang w:val="en-US" w:eastAsia="zh-CN"/>
              </w:rPr>
            </w:pPr>
            <w:r>
              <w:rPr>
                <w:kern w:val="2"/>
                <w:szCs w:val="21"/>
                <w:lang w:val="en-US" w:eastAsia="zh-CN"/>
              </w:rPr>
              <w:t>-</w:t>
            </w:r>
          </w:p>
        </w:tc>
        <w:tc>
          <w:tcPr>
            <w:tcW w:w="1072" w:type="dxa"/>
            <w:vAlign w:val="center"/>
          </w:tcPr>
          <w:p>
            <w:pPr>
              <w:pStyle w:val="26"/>
              <w:rPr>
                <w:kern w:val="2"/>
                <w:szCs w:val="21"/>
                <w:lang w:val="en-US" w:eastAsia="zh-CN"/>
              </w:rPr>
            </w:pPr>
            <w:r>
              <w:rPr>
                <w:kern w:val="2"/>
                <w:szCs w:val="21"/>
                <w:lang w:val="en-US" w:eastAsia="zh-CN"/>
              </w:rPr>
              <w:t>-</w:t>
            </w:r>
          </w:p>
        </w:tc>
        <w:tc>
          <w:tcPr>
            <w:tcW w:w="1221" w:type="dxa"/>
            <w:vAlign w:val="center"/>
          </w:tcPr>
          <w:p>
            <w:pPr>
              <w:pStyle w:val="26"/>
              <w:rPr>
                <w:kern w:val="2"/>
                <w:szCs w:val="21"/>
                <w:lang w:val="en-US" w:eastAsia="zh-CN"/>
              </w:rPr>
            </w:pPr>
            <w:r>
              <w:rPr>
                <w:kern w:val="2"/>
                <w:szCs w:val="21"/>
                <w:lang w:val="en-US" w:eastAsia="zh-CN"/>
              </w:rPr>
              <w:t>-</w:t>
            </w:r>
          </w:p>
        </w:tc>
        <w:tc>
          <w:tcPr>
            <w:tcW w:w="1209" w:type="dxa"/>
            <w:vAlign w:val="center"/>
          </w:tcPr>
          <w:p>
            <w:pPr>
              <w:pStyle w:val="26"/>
              <w:rPr>
                <w:kern w:val="2"/>
                <w:szCs w:val="21"/>
                <w:lang w:val="en-US" w:eastAsia="zh-CN"/>
              </w:rPr>
            </w:pPr>
            <w:r>
              <w:rPr>
                <w:kern w:val="2"/>
                <w:szCs w:val="21"/>
                <w:lang w:val="en-US" w:eastAsia="zh-CN"/>
              </w:rPr>
              <w:t>0.10~0.13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 w:hRule="atLeast"/>
          <w:jc w:val="center"/>
        </w:trPr>
        <w:tc>
          <w:tcPr>
            <w:tcW w:w="1045" w:type="dxa"/>
            <w:vMerge w:val="continue"/>
            <w:vAlign w:val="center"/>
          </w:tcPr>
          <w:p>
            <w:pPr>
              <w:pStyle w:val="26"/>
              <w:rPr>
                <w:kern w:val="2"/>
                <w:szCs w:val="21"/>
                <w:lang w:val="en-US" w:eastAsia="zh-CN"/>
              </w:rPr>
            </w:pPr>
          </w:p>
        </w:tc>
        <w:tc>
          <w:tcPr>
            <w:tcW w:w="1604" w:type="dxa"/>
            <w:vAlign w:val="center"/>
          </w:tcPr>
          <w:p>
            <w:pPr>
              <w:pStyle w:val="26"/>
              <w:rPr>
                <w:kern w:val="2"/>
                <w:szCs w:val="21"/>
                <w:lang w:val="en-US" w:eastAsia="zh-CN"/>
              </w:rPr>
            </w:pPr>
            <w:r>
              <w:rPr>
                <w:rFonts w:hint="eastAsia"/>
                <w:kern w:val="2"/>
                <w:szCs w:val="21"/>
                <w:lang w:val="en-US" w:eastAsia="zh-CN"/>
              </w:rPr>
              <w:t>日均值超标率</w:t>
            </w:r>
          </w:p>
        </w:tc>
        <w:tc>
          <w:tcPr>
            <w:tcW w:w="999" w:type="dxa"/>
            <w:vAlign w:val="center"/>
          </w:tcPr>
          <w:p>
            <w:pPr>
              <w:pStyle w:val="26"/>
              <w:rPr>
                <w:kern w:val="2"/>
                <w:szCs w:val="21"/>
                <w:lang w:val="en-US" w:eastAsia="zh-CN"/>
              </w:rPr>
            </w:pPr>
            <w:r>
              <w:rPr>
                <w:kern w:val="2"/>
                <w:szCs w:val="21"/>
                <w:lang w:val="en-US" w:eastAsia="zh-CN"/>
              </w:rPr>
              <w:t>-</w:t>
            </w:r>
          </w:p>
        </w:tc>
        <w:tc>
          <w:tcPr>
            <w:tcW w:w="1231" w:type="dxa"/>
            <w:vAlign w:val="center"/>
          </w:tcPr>
          <w:p>
            <w:pPr>
              <w:pStyle w:val="26"/>
              <w:rPr>
                <w:kern w:val="2"/>
                <w:szCs w:val="21"/>
                <w:lang w:val="en-US" w:eastAsia="zh-CN"/>
              </w:rPr>
            </w:pPr>
            <w:r>
              <w:rPr>
                <w:kern w:val="2"/>
                <w:szCs w:val="21"/>
                <w:lang w:val="en-US" w:eastAsia="zh-CN"/>
              </w:rPr>
              <w:t>-</w:t>
            </w:r>
          </w:p>
        </w:tc>
        <w:tc>
          <w:tcPr>
            <w:tcW w:w="1385" w:type="dxa"/>
            <w:vAlign w:val="center"/>
          </w:tcPr>
          <w:p>
            <w:pPr>
              <w:pStyle w:val="26"/>
              <w:rPr>
                <w:kern w:val="2"/>
                <w:szCs w:val="21"/>
                <w:lang w:val="en-US" w:eastAsia="zh-CN"/>
              </w:rPr>
            </w:pPr>
            <w:r>
              <w:rPr>
                <w:kern w:val="2"/>
                <w:szCs w:val="21"/>
                <w:lang w:val="en-US" w:eastAsia="zh-CN"/>
              </w:rPr>
              <w:t>-</w:t>
            </w:r>
          </w:p>
        </w:tc>
        <w:tc>
          <w:tcPr>
            <w:tcW w:w="1072" w:type="dxa"/>
            <w:vAlign w:val="center"/>
          </w:tcPr>
          <w:p>
            <w:pPr>
              <w:pStyle w:val="26"/>
              <w:rPr>
                <w:kern w:val="2"/>
                <w:szCs w:val="21"/>
                <w:lang w:val="en-US" w:eastAsia="zh-CN"/>
              </w:rPr>
            </w:pPr>
            <w:r>
              <w:rPr>
                <w:kern w:val="2"/>
                <w:szCs w:val="21"/>
                <w:lang w:val="en-US" w:eastAsia="zh-CN"/>
              </w:rPr>
              <w:t>-</w:t>
            </w:r>
          </w:p>
        </w:tc>
        <w:tc>
          <w:tcPr>
            <w:tcW w:w="1221" w:type="dxa"/>
            <w:vAlign w:val="center"/>
          </w:tcPr>
          <w:p>
            <w:pPr>
              <w:pStyle w:val="26"/>
              <w:rPr>
                <w:kern w:val="2"/>
                <w:szCs w:val="21"/>
                <w:lang w:val="en-US" w:eastAsia="zh-CN"/>
              </w:rPr>
            </w:pPr>
            <w:r>
              <w:rPr>
                <w:kern w:val="2"/>
                <w:szCs w:val="21"/>
                <w:lang w:val="en-US" w:eastAsia="zh-CN"/>
              </w:rPr>
              <w:t>-</w:t>
            </w:r>
          </w:p>
        </w:tc>
        <w:tc>
          <w:tcPr>
            <w:tcW w:w="1209" w:type="dxa"/>
            <w:vAlign w:val="center"/>
          </w:tcPr>
          <w:p>
            <w:pPr>
              <w:pStyle w:val="26"/>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 w:hRule="atLeast"/>
          <w:jc w:val="center"/>
        </w:trPr>
        <w:tc>
          <w:tcPr>
            <w:tcW w:w="1045" w:type="dxa"/>
            <w:vMerge w:val="continue"/>
            <w:vAlign w:val="center"/>
          </w:tcPr>
          <w:p>
            <w:pPr>
              <w:pStyle w:val="26"/>
              <w:rPr>
                <w:kern w:val="2"/>
                <w:szCs w:val="21"/>
                <w:lang w:val="en-US" w:eastAsia="zh-CN"/>
              </w:rPr>
            </w:pPr>
          </w:p>
        </w:tc>
        <w:tc>
          <w:tcPr>
            <w:tcW w:w="1604" w:type="dxa"/>
            <w:vAlign w:val="center"/>
          </w:tcPr>
          <w:p>
            <w:pPr>
              <w:pStyle w:val="26"/>
              <w:rPr>
                <w:kern w:val="2"/>
                <w:szCs w:val="21"/>
                <w:lang w:val="en-US" w:eastAsia="zh-CN"/>
              </w:rPr>
            </w:pPr>
            <w:r>
              <w:rPr>
                <w:rFonts w:hint="eastAsia"/>
                <w:kern w:val="2"/>
                <w:szCs w:val="21"/>
                <w:lang w:val="en-US" w:eastAsia="zh-CN"/>
              </w:rPr>
              <w:t>评价标准</w:t>
            </w:r>
          </w:p>
        </w:tc>
        <w:tc>
          <w:tcPr>
            <w:tcW w:w="999" w:type="dxa"/>
            <w:vAlign w:val="center"/>
          </w:tcPr>
          <w:p>
            <w:pPr>
              <w:pStyle w:val="26"/>
              <w:rPr>
                <w:kern w:val="2"/>
                <w:szCs w:val="21"/>
                <w:lang w:val="en-US" w:eastAsia="zh-CN"/>
              </w:rPr>
            </w:pPr>
            <w:r>
              <w:rPr>
                <w:kern w:val="2"/>
                <w:szCs w:val="21"/>
                <w:lang w:val="en-US" w:eastAsia="zh-CN"/>
              </w:rPr>
              <w:t>-</w:t>
            </w:r>
          </w:p>
        </w:tc>
        <w:tc>
          <w:tcPr>
            <w:tcW w:w="1231" w:type="dxa"/>
            <w:vAlign w:val="center"/>
          </w:tcPr>
          <w:p>
            <w:pPr>
              <w:pStyle w:val="26"/>
              <w:rPr>
                <w:kern w:val="2"/>
                <w:szCs w:val="21"/>
                <w:lang w:val="en-US" w:eastAsia="zh-CN"/>
              </w:rPr>
            </w:pPr>
            <w:r>
              <w:rPr>
                <w:kern w:val="2"/>
                <w:szCs w:val="21"/>
                <w:lang w:val="en-US" w:eastAsia="zh-CN"/>
              </w:rPr>
              <w:t>-</w:t>
            </w:r>
          </w:p>
        </w:tc>
        <w:tc>
          <w:tcPr>
            <w:tcW w:w="1385" w:type="dxa"/>
            <w:vAlign w:val="center"/>
          </w:tcPr>
          <w:p>
            <w:pPr>
              <w:pStyle w:val="26"/>
              <w:rPr>
                <w:kern w:val="2"/>
                <w:szCs w:val="21"/>
                <w:lang w:val="en-US" w:eastAsia="zh-CN"/>
              </w:rPr>
            </w:pPr>
            <w:r>
              <w:rPr>
                <w:kern w:val="2"/>
                <w:szCs w:val="21"/>
                <w:lang w:val="en-US" w:eastAsia="zh-CN"/>
              </w:rPr>
              <w:t>-</w:t>
            </w:r>
          </w:p>
        </w:tc>
        <w:tc>
          <w:tcPr>
            <w:tcW w:w="1072" w:type="dxa"/>
            <w:vAlign w:val="center"/>
          </w:tcPr>
          <w:p>
            <w:pPr>
              <w:pStyle w:val="26"/>
              <w:rPr>
                <w:kern w:val="2"/>
                <w:szCs w:val="21"/>
                <w:lang w:val="en-US" w:eastAsia="zh-CN"/>
              </w:rPr>
            </w:pPr>
            <w:r>
              <w:rPr>
                <w:kern w:val="2"/>
                <w:szCs w:val="21"/>
                <w:lang w:val="en-US" w:eastAsia="zh-CN"/>
              </w:rPr>
              <w:t>-</w:t>
            </w:r>
          </w:p>
        </w:tc>
        <w:tc>
          <w:tcPr>
            <w:tcW w:w="1221" w:type="dxa"/>
            <w:vAlign w:val="center"/>
          </w:tcPr>
          <w:p>
            <w:pPr>
              <w:pStyle w:val="26"/>
              <w:rPr>
                <w:kern w:val="2"/>
                <w:szCs w:val="21"/>
                <w:lang w:val="en-US" w:eastAsia="zh-CN"/>
              </w:rPr>
            </w:pPr>
            <w:r>
              <w:rPr>
                <w:kern w:val="2"/>
                <w:szCs w:val="21"/>
                <w:lang w:val="en-US" w:eastAsia="zh-CN"/>
              </w:rPr>
              <w:t>-</w:t>
            </w:r>
          </w:p>
        </w:tc>
        <w:tc>
          <w:tcPr>
            <w:tcW w:w="1209" w:type="dxa"/>
            <w:vAlign w:val="center"/>
          </w:tcPr>
          <w:p>
            <w:pPr>
              <w:pStyle w:val="26"/>
              <w:rPr>
                <w:kern w:val="2"/>
                <w:szCs w:val="21"/>
                <w:lang w:val="en-US" w:eastAsia="zh-CN"/>
              </w:rPr>
            </w:pPr>
            <w:r>
              <w:rPr>
                <w:kern w:val="2"/>
                <w:szCs w:val="21"/>
                <w:lang w:val="en-US" w:eastAsia="zh-CN"/>
              </w:rPr>
              <w:t>0.15</w:t>
            </w:r>
          </w:p>
        </w:tc>
      </w:tr>
    </w:tbl>
    <w:p>
      <w:pPr>
        <w:ind w:firstLine="480"/>
      </w:pPr>
      <w:r>
        <w:rPr>
          <w:rFonts w:hint="eastAsia"/>
        </w:rPr>
        <w:t>由表</w:t>
      </w:r>
      <w:r>
        <w:t>5.2-3</w:t>
      </w:r>
      <w:r>
        <w:rPr>
          <w:rFonts w:hint="eastAsia"/>
        </w:rPr>
        <w:t>的监测和评价结果统计分析可知，项目所在区域二个监测点的</w:t>
      </w:r>
      <w:r>
        <w:t>SO</w:t>
      </w:r>
      <w:r>
        <w:rPr>
          <w:vertAlign w:val="subscript"/>
        </w:rPr>
        <w:t xml:space="preserve">2 </w:t>
      </w:r>
      <w:r>
        <w:rPr>
          <w:rFonts w:hint="eastAsia"/>
        </w:rPr>
        <w:t>、</w:t>
      </w:r>
      <w:r>
        <w:t>NO</w:t>
      </w:r>
      <w:r>
        <w:rPr>
          <w:vertAlign w:val="subscript"/>
        </w:rPr>
        <w:t>2</w:t>
      </w:r>
      <w:r>
        <w:rPr>
          <w:rFonts w:hint="eastAsia"/>
        </w:rPr>
        <w:t>小时浓度和</w:t>
      </w:r>
      <w:r>
        <w:t>PM</w:t>
      </w:r>
      <w:r>
        <w:rPr>
          <w:vertAlign w:val="subscript"/>
        </w:rPr>
        <w:t>10</w:t>
      </w:r>
      <w:r>
        <w:rPr>
          <w:rFonts w:hint="eastAsia"/>
        </w:rPr>
        <w:t>日均值都能满足《环境空气质量标准》（</w:t>
      </w:r>
      <w:r>
        <w:t>GB3095-2012</w:t>
      </w:r>
      <w:r>
        <w:rPr>
          <w:rFonts w:hint="eastAsia"/>
        </w:rPr>
        <w:t>）中的二级标准；硫化氢、氨均能满足《工业企业设计卫生标准》</w:t>
      </w:r>
      <w:r>
        <w:t>TJ36-79</w:t>
      </w:r>
      <w:r>
        <w:rPr>
          <w:rFonts w:hint="eastAsia"/>
        </w:rPr>
        <w:t>中的居住区大气中有害物质的最高容许浓度，VOC满足</w:t>
      </w:r>
      <w:r>
        <w:t>《室内空气质量标准》（GB/T 18883-2002</w:t>
      </w:r>
      <w:r>
        <w:rPr>
          <w:rFonts w:hint="eastAsia"/>
        </w:rPr>
        <w:t>）中相关标准值。</w:t>
      </w:r>
    </w:p>
    <w:p>
      <w:pPr>
        <w:pStyle w:val="4"/>
      </w:pPr>
      <w:r>
        <w:rPr>
          <w:rFonts w:hint="eastAsia"/>
        </w:rPr>
        <w:t>地表水环境现状监测与评价</w:t>
      </w:r>
    </w:p>
    <w:p>
      <w:pPr>
        <w:ind w:firstLine="480"/>
      </w:pPr>
      <w:r>
        <w:rPr>
          <w:rFonts w:hint="eastAsia"/>
        </w:rPr>
        <w:t>为了解项目评价区域地表水环境质量现状，本次环评委托了岳阳市衡润检测有限公司对项目所在地地表水进行了检测。</w:t>
      </w:r>
    </w:p>
    <w:p>
      <w:pPr>
        <w:spacing w:line="520" w:lineRule="exact"/>
        <w:ind w:firstLine="480"/>
        <w:jc w:val="left"/>
      </w:pPr>
      <w:r>
        <w:rPr>
          <w:rFonts w:hint="eastAsia"/>
        </w:rPr>
        <w:t>（</w:t>
      </w:r>
      <w:r>
        <w:t>1</w:t>
      </w:r>
      <w:r>
        <w:rPr>
          <w:rFonts w:hint="eastAsia"/>
        </w:rPr>
        <w:t>）监测点位：共设</w:t>
      </w:r>
      <w:r>
        <w:t>4</w:t>
      </w:r>
      <w:r>
        <w:rPr>
          <w:rFonts w:hint="eastAsia"/>
        </w:rPr>
        <w:t>个监测断面。</w:t>
      </w:r>
    </w:p>
    <w:p>
      <w:pPr>
        <w:pStyle w:val="26"/>
      </w:pPr>
      <w:r>
        <w:rPr>
          <w:rFonts w:hint="eastAsia"/>
        </w:rPr>
        <w:t>表</w:t>
      </w:r>
      <w:r>
        <w:t xml:space="preserve">5.2-4  </w:t>
      </w:r>
      <w:r>
        <w:rPr>
          <w:rFonts w:hint="eastAsia"/>
        </w:rPr>
        <w:t>地表水监测断面</w:t>
      </w:r>
    </w:p>
    <w:tbl>
      <w:tblPr>
        <w:tblStyle w:val="23"/>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2859"/>
        <w:gridCol w:w="3060"/>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3" w:type="dxa"/>
            <w:vAlign w:val="center"/>
          </w:tcPr>
          <w:p>
            <w:pPr>
              <w:pStyle w:val="26"/>
              <w:rPr>
                <w:kern w:val="2"/>
                <w:szCs w:val="21"/>
                <w:lang w:val="en-US" w:eastAsia="zh-CN"/>
              </w:rPr>
            </w:pPr>
            <w:r>
              <w:rPr>
                <w:rFonts w:hint="eastAsia"/>
                <w:kern w:val="2"/>
                <w:szCs w:val="21"/>
                <w:lang w:val="en-US" w:eastAsia="zh-CN"/>
              </w:rPr>
              <w:t>点位编号</w:t>
            </w:r>
          </w:p>
        </w:tc>
        <w:tc>
          <w:tcPr>
            <w:tcW w:w="2859" w:type="dxa"/>
            <w:vAlign w:val="center"/>
          </w:tcPr>
          <w:p>
            <w:pPr>
              <w:pStyle w:val="26"/>
              <w:rPr>
                <w:kern w:val="2"/>
                <w:szCs w:val="21"/>
                <w:lang w:val="en-US" w:eastAsia="zh-CN"/>
              </w:rPr>
            </w:pPr>
            <w:r>
              <w:rPr>
                <w:rFonts w:hint="eastAsia"/>
                <w:kern w:val="2"/>
                <w:szCs w:val="21"/>
                <w:lang w:val="en-US" w:eastAsia="zh-CN"/>
              </w:rPr>
              <w:t>点位名称</w:t>
            </w:r>
          </w:p>
        </w:tc>
        <w:tc>
          <w:tcPr>
            <w:tcW w:w="3060" w:type="dxa"/>
            <w:vAlign w:val="center"/>
          </w:tcPr>
          <w:p>
            <w:pPr>
              <w:pStyle w:val="26"/>
              <w:rPr>
                <w:kern w:val="2"/>
                <w:szCs w:val="21"/>
                <w:lang w:val="en-US" w:eastAsia="zh-CN"/>
              </w:rPr>
            </w:pPr>
            <w:r>
              <w:rPr>
                <w:rFonts w:hint="eastAsia"/>
                <w:kern w:val="2"/>
                <w:szCs w:val="21"/>
                <w:lang w:val="en-US" w:eastAsia="zh-CN"/>
              </w:rPr>
              <w:t>监测点位置</w:t>
            </w:r>
          </w:p>
        </w:tc>
        <w:tc>
          <w:tcPr>
            <w:tcW w:w="1910" w:type="dxa"/>
            <w:vAlign w:val="center"/>
          </w:tcPr>
          <w:p>
            <w:pPr>
              <w:pStyle w:val="26"/>
              <w:rPr>
                <w:kern w:val="2"/>
                <w:szCs w:val="21"/>
                <w:lang w:val="en-US" w:eastAsia="zh-CN"/>
              </w:rPr>
            </w:pPr>
            <w:r>
              <w:rPr>
                <w:rFonts w:hint="eastAsia"/>
                <w:kern w:val="2"/>
                <w:szCs w:val="21"/>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3" w:type="dxa"/>
            <w:vAlign w:val="center"/>
          </w:tcPr>
          <w:p>
            <w:pPr>
              <w:pStyle w:val="26"/>
              <w:rPr>
                <w:kern w:val="2"/>
                <w:szCs w:val="21"/>
                <w:lang w:val="en-US" w:eastAsia="zh-CN"/>
              </w:rPr>
            </w:pPr>
            <w:r>
              <w:rPr>
                <w:kern w:val="2"/>
                <w:szCs w:val="21"/>
                <w:lang w:val="en-US" w:eastAsia="zh-CN"/>
              </w:rPr>
              <w:t>W1</w:t>
            </w:r>
          </w:p>
        </w:tc>
        <w:tc>
          <w:tcPr>
            <w:tcW w:w="2859" w:type="dxa"/>
            <w:vAlign w:val="center"/>
          </w:tcPr>
          <w:p>
            <w:pPr>
              <w:pStyle w:val="26"/>
              <w:rPr>
                <w:kern w:val="2"/>
                <w:szCs w:val="21"/>
                <w:lang w:val="en-US" w:eastAsia="zh-CN"/>
              </w:rPr>
            </w:pPr>
            <w:r>
              <w:rPr>
                <w:rFonts w:hint="eastAsia"/>
                <w:kern w:val="2"/>
                <w:szCs w:val="21"/>
                <w:lang w:val="en-US" w:eastAsia="zh-CN"/>
              </w:rPr>
              <w:t>氧化塘</w:t>
            </w:r>
          </w:p>
        </w:tc>
        <w:tc>
          <w:tcPr>
            <w:tcW w:w="3060" w:type="dxa"/>
            <w:vAlign w:val="center"/>
          </w:tcPr>
          <w:p>
            <w:pPr>
              <w:pStyle w:val="26"/>
              <w:rPr>
                <w:kern w:val="2"/>
                <w:szCs w:val="21"/>
                <w:lang w:val="en-US" w:eastAsia="zh-CN"/>
              </w:rPr>
            </w:pPr>
            <w:r>
              <w:rPr>
                <w:rFonts w:hint="eastAsia"/>
                <w:kern w:val="2"/>
                <w:szCs w:val="21"/>
                <w:lang w:val="en-US" w:eastAsia="zh-CN"/>
              </w:rPr>
              <w:t>项目原污水总排口下游</w:t>
            </w:r>
            <w:r>
              <w:rPr>
                <w:kern w:val="2"/>
                <w:szCs w:val="21"/>
                <w:lang w:val="en-US" w:eastAsia="zh-CN"/>
              </w:rPr>
              <w:t>100m</w:t>
            </w:r>
          </w:p>
        </w:tc>
        <w:tc>
          <w:tcPr>
            <w:tcW w:w="1910" w:type="dxa"/>
            <w:vAlign w:val="center"/>
          </w:tcPr>
          <w:p>
            <w:pPr>
              <w:pStyle w:val="26"/>
              <w:rPr>
                <w:kern w:val="2"/>
                <w:szCs w:val="21"/>
                <w:lang w:val="en-US" w:eastAsia="zh-CN"/>
              </w:rPr>
            </w:pPr>
            <w:r>
              <w:rPr>
                <w:rFonts w:hint="eastAsia"/>
                <w:kern w:val="2"/>
                <w:szCs w:val="21"/>
                <w:lang w:val="en-US" w:eastAsia="zh-CN"/>
              </w:rPr>
              <w:t>了解氧化塘现状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3" w:type="dxa"/>
            <w:vAlign w:val="center"/>
          </w:tcPr>
          <w:p>
            <w:pPr>
              <w:pStyle w:val="26"/>
              <w:spacing w:line="240" w:lineRule="auto"/>
              <w:rPr>
                <w:kern w:val="2"/>
                <w:szCs w:val="21"/>
                <w:lang w:val="en-US" w:eastAsia="zh-CN"/>
              </w:rPr>
            </w:pPr>
            <w:r>
              <w:rPr>
                <w:kern w:val="2"/>
                <w:szCs w:val="21"/>
                <w:lang w:val="en-US" w:eastAsia="zh-CN"/>
              </w:rPr>
              <w:t>W2</w:t>
            </w:r>
          </w:p>
        </w:tc>
        <w:tc>
          <w:tcPr>
            <w:tcW w:w="2859" w:type="dxa"/>
            <w:vAlign w:val="center"/>
          </w:tcPr>
          <w:p>
            <w:pPr>
              <w:pStyle w:val="26"/>
              <w:spacing w:line="240" w:lineRule="auto"/>
              <w:rPr>
                <w:kern w:val="2"/>
                <w:szCs w:val="21"/>
                <w:lang w:val="en-US" w:eastAsia="zh-CN"/>
              </w:rPr>
            </w:pPr>
            <w:r>
              <w:rPr>
                <w:rFonts w:hint="eastAsia"/>
                <w:kern w:val="2"/>
                <w:szCs w:val="21"/>
                <w:lang w:val="en-US" w:eastAsia="zh-CN"/>
              </w:rPr>
              <w:t>污水处理厂污水入湘江口上游</w:t>
            </w:r>
            <w:r>
              <w:rPr>
                <w:kern w:val="2"/>
                <w:szCs w:val="21"/>
                <w:lang w:val="en-US" w:eastAsia="zh-CN"/>
              </w:rPr>
              <w:t>500m</w:t>
            </w:r>
          </w:p>
        </w:tc>
        <w:tc>
          <w:tcPr>
            <w:tcW w:w="3060" w:type="dxa"/>
            <w:vAlign w:val="center"/>
          </w:tcPr>
          <w:p>
            <w:pPr>
              <w:pStyle w:val="26"/>
              <w:rPr>
                <w:kern w:val="2"/>
                <w:szCs w:val="21"/>
                <w:lang w:val="en-US" w:eastAsia="zh-CN"/>
              </w:rPr>
            </w:pPr>
            <w:r>
              <w:rPr>
                <w:kern w:val="2"/>
                <w:szCs w:val="21"/>
                <w:lang w:val="en-US" w:eastAsia="zh-CN"/>
              </w:rPr>
              <w:t>/</w:t>
            </w:r>
          </w:p>
        </w:tc>
        <w:tc>
          <w:tcPr>
            <w:tcW w:w="1910" w:type="dxa"/>
            <w:vAlign w:val="center"/>
          </w:tcPr>
          <w:p>
            <w:pPr>
              <w:pStyle w:val="26"/>
              <w:rPr>
                <w:kern w:val="2"/>
                <w:szCs w:val="21"/>
                <w:lang w:val="en-US" w:eastAsia="zh-CN"/>
              </w:rPr>
            </w:pPr>
            <w:r>
              <w:rPr>
                <w:rFonts w:hint="eastAsia"/>
                <w:kern w:val="2"/>
                <w:szCs w:val="21"/>
                <w:lang w:val="en-US" w:eastAsia="zh-CN"/>
              </w:rPr>
              <w:t>了解地表水现状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3" w:type="dxa"/>
            <w:vAlign w:val="center"/>
          </w:tcPr>
          <w:p>
            <w:pPr>
              <w:pStyle w:val="26"/>
              <w:rPr>
                <w:kern w:val="2"/>
                <w:szCs w:val="21"/>
                <w:lang w:val="en-US" w:eastAsia="zh-CN"/>
              </w:rPr>
            </w:pPr>
            <w:r>
              <w:rPr>
                <w:kern w:val="2"/>
                <w:szCs w:val="21"/>
                <w:lang w:val="en-US" w:eastAsia="zh-CN"/>
              </w:rPr>
              <w:t>W3</w:t>
            </w:r>
          </w:p>
        </w:tc>
        <w:tc>
          <w:tcPr>
            <w:tcW w:w="2859" w:type="dxa"/>
            <w:vAlign w:val="center"/>
          </w:tcPr>
          <w:p>
            <w:pPr>
              <w:pStyle w:val="26"/>
              <w:spacing w:line="240" w:lineRule="auto"/>
              <w:rPr>
                <w:kern w:val="2"/>
                <w:szCs w:val="21"/>
                <w:lang w:val="en-US" w:eastAsia="zh-CN"/>
              </w:rPr>
            </w:pPr>
            <w:r>
              <w:rPr>
                <w:rFonts w:hint="eastAsia"/>
                <w:kern w:val="2"/>
                <w:szCs w:val="21"/>
                <w:lang w:val="en-US" w:eastAsia="zh-CN"/>
              </w:rPr>
              <w:t>污水处理厂污水入湘江口下游</w:t>
            </w:r>
            <w:r>
              <w:rPr>
                <w:kern w:val="2"/>
                <w:szCs w:val="21"/>
                <w:lang w:val="en-US" w:eastAsia="zh-CN"/>
              </w:rPr>
              <w:t>1000m</w:t>
            </w:r>
          </w:p>
        </w:tc>
        <w:tc>
          <w:tcPr>
            <w:tcW w:w="3060" w:type="dxa"/>
            <w:vAlign w:val="center"/>
          </w:tcPr>
          <w:p>
            <w:pPr>
              <w:pStyle w:val="26"/>
              <w:rPr>
                <w:kern w:val="2"/>
                <w:szCs w:val="21"/>
                <w:lang w:val="en-US" w:eastAsia="zh-CN"/>
              </w:rPr>
            </w:pPr>
            <w:r>
              <w:rPr>
                <w:kern w:val="2"/>
                <w:szCs w:val="21"/>
                <w:lang w:val="en-US" w:eastAsia="zh-CN"/>
              </w:rPr>
              <w:t>/</w:t>
            </w:r>
          </w:p>
        </w:tc>
        <w:tc>
          <w:tcPr>
            <w:tcW w:w="1910" w:type="dxa"/>
            <w:vAlign w:val="center"/>
          </w:tcPr>
          <w:p>
            <w:pPr>
              <w:pStyle w:val="26"/>
              <w:rPr>
                <w:kern w:val="2"/>
                <w:szCs w:val="21"/>
                <w:lang w:val="en-US" w:eastAsia="zh-CN"/>
              </w:rPr>
            </w:pPr>
            <w:r>
              <w:rPr>
                <w:rFonts w:hint="eastAsia"/>
                <w:kern w:val="2"/>
                <w:szCs w:val="21"/>
                <w:lang w:val="en-US" w:eastAsia="zh-CN"/>
              </w:rPr>
              <w:t>了解地表水现状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3" w:type="dxa"/>
            <w:vAlign w:val="center"/>
          </w:tcPr>
          <w:p>
            <w:pPr>
              <w:pStyle w:val="26"/>
              <w:rPr>
                <w:kern w:val="2"/>
                <w:szCs w:val="21"/>
                <w:lang w:val="en-US" w:eastAsia="zh-CN"/>
              </w:rPr>
            </w:pPr>
            <w:r>
              <w:rPr>
                <w:kern w:val="2"/>
                <w:szCs w:val="21"/>
                <w:lang w:val="en-US" w:eastAsia="zh-CN"/>
              </w:rPr>
              <w:t>W4</w:t>
            </w:r>
          </w:p>
        </w:tc>
        <w:tc>
          <w:tcPr>
            <w:tcW w:w="2859" w:type="dxa"/>
            <w:vAlign w:val="center"/>
          </w:tcPr>
          <w:p>
            <w:pPr>
              <w:pStyle w:val="26"/>
              <w:spacing w:line="240" w:lineRule="auto"/>
              <w:rPr>
                <w:kern w:val="2"/>
                <w:szCs w:val="21"/>
                <w:lang w:val="en-US" w:eastAsia="zh-CN"/>
              </w:rPr>
            </w:pPr>
            <w:r>
              <w:rPr>
                <w:rFonts w:hint="eastAsia"/>
                <w:kern w:val="2"/>
                <w:szCs w:val="21"/>
                <w:lang w:val="en-US" w:eastAsia="zh-CN"/>
              </w:rPr>
              <w:t>氧化塘入湘江口上游</w:t>
            </w:r>
            <w:r>
              <w:rPr>
                <w:kern w:val="2"/>
                <w:szCs w:val="21"/>
                <w:lang w:val="en-US" w:eastAsia="zh-CN"/>
              </w:rPr>
              <w:t>500m</w:t>
            </w:r>
          </w:p>
        </w:tc>
        <w:tc>
          <w:tcPr>
            <w:tcW w:w="3060" w:type="dxa"/>
            <w:vAlign w:val="center"/>
          </w:tcPr>
          <w:p>
            <w:pPr>
              <w:pStyle w:val="26"/>
              <w:rPr>
                <w:kern w:val="2"/>
                <w:szCs w:val="21"/>
                <w:lang w:val="en-US" w:eastAsia="zh-CN"/>
              </w:rPr>
            </w:pPr>
            <w:r>
              <w:rPr>
                <w:kern w:val="2"/>
                <w:szCs w:val="21"/>
                <w:lang w:val="en-US" w:eastAsia="zh-CN"/>
              </w:rPr>
              <w:t>/</w:t>
            </w:r>
          </w:p>
        </w:tc>
        <w:tc>
          <w:tcPr>
            <w:tcW w:w="1910" w:type="dxa"/>
            <w:vAlign w:val="center"/>
          </w:tcPr>
          <w:p>
            <w:pPr>
              <w:pStyle w:val="26"/>
              <w:rPr>
                <w:kern w:val="2"/>
                <w:szCs w:val="21"/>
                <w:lang w:val="en-US" w:eastAsia="zh-CN"/>
              </w:rPr>
            </w:pPr>
            <w:r>
              <w:rPr>
                <w:rFonts w:hint="eastAsia"/>
                <w:kern w:val="2"/>
                <w:szCs w:val="21"/>
                <w:lang w:val="en-US" w:eastAsia="zh-CN"/>
              </w:rPr>
              <w:t>了解地表水现状</w:t>
            </w:r>
          </w:p>
        </w:tc>
      </w:tr>
    </w:tbl>
    <w:p>
      <w:pPr>
        <w:ind w:firstLine="480"/>
      </w:pPr>
      <w:r>
        <w:rPr>
          <w:rFonts w:hint="eastAsia"/>
        </w:rPr>
        <w:t>（</w:t>
      </w:r>
      <w:r>
        <w:t>2</w:t>
      </w:r>
      <w:r>
        <w:rPr>
          <w:rFonts w:hint="eastAsia"/>
        </w:rPr>
        <w:t>）监测项目：</w:t>
      </w:r>
      <w:r>
        <w:t>pH</w:t>
      </w:r>
      <w:r>
        <w:rPr>
          <w:rFonts w:hint="eastAsia"/>
        </w:rPr>
        <w:t>值、</w:t>
      </w:r>
      <w:r>
        <w:t>COD</w:t>
      </w:r>
      <w:r>
        <w:rPr>
          <w:rFonts w:hint="eastAsia"/>
        </w:rPr>
        <w:t>、</w:t>
      </w:r>
      <w:r>
        <w:t>BOD</w:t>
      </w:r>
      <w:r>
        <w:rPr>
          <w:vertAlign w:val="subscript"/>
        </w:rPr>
        <w:t>5</w:t>
      </w:r>
      <w:r>
        <w:rPr>
          <w:rFonts w:hint="eastAsia"/>
        </w:rPr>
        <w:t>、</w:t>
      </w:r>
      <w:r>
        <w:t>SS</w:t>
      </w:r>
      <w:r>
        <w:rPr>
          <w:rFonts w:hint="eastAsia"/>
        </w:rPr>
        <w:t>、</w:t>
      </w:r>
      <w:r>
        <w:t>NH</w:t>
      </w:r>
      <w:r>
        <w:rPr>
          <w:vertAlign w:val="subscript"/>
        </w:rPr>
        <w:t>3</w:t>
      </w:r>
      <w:r>
        <w:t>-N</w:t>
      </w:r>
      <w:r>
        <w:rPr>
          <w:rFonts w:hint="eastAsia"/>
        </w:rPr>
        <w:t>、</w:t>
      </w:r>
      <w:r>
        <w:t>TP</w:t>
      </w:r>
      <w:r>
        <w:rPr>
          <w:rFonts w:hint="eastAsia"/>
        </w:rPr>
        <w:t>、挥发酚、色度、硫化物、阴离子表面活性剂、六价铬共计</w:t>
      </w:r>
      <w:r>
        <w:t>11</w:t>
      </w:r>
      <w:r>
        <w:rPr>
          <w:rFonts w:hint="eastAsia"/>
        </w:rPr>
        <w:t>项，同时测定各断面的水温、水深、流量、流速等。</w:t>
      </w:r>
    </w:p>
    <w:p>
      <w:pPr>
        <w:ind w:firstLine="480"/>
      </w:pPr>
      <w:r>
        <w:rPr>
          <w:rFonts w:hint="eastAsia"/>
        </w:rPr>
        <w:t>（</w:t>
      </w:r>
      <w:r>
        <w:t>3</w:t>
      </w:r>
      <w:r>
        <w:rPr>
          <w:rFonts w:hint="eastAsia"/>
        </w:rPr>
        <w:t>）采样时间及频率：</w:t>
      </w:r>
      <w:r>
        <w:t>2017</w:t>
      </w:r>
      <w:r>
        <w:rPr>
          <w:rFonts w:hint="eastAsia"/>
        </w:rPr>
        <w:t>年</w:t>
      </w:r>
      <w:r>
        <w:t>7</w:t>
      </w:r>
      <w:r>
        <w:rPr>
          <w:rFonts w:hint="eastAsia"/>
        </w:rPr>
        <w:t>月</w:t>
      </w:r>
      <w:r>
        <w:t>6</w:t>
      </w:r>
      <w:r>
        <w:rPr>
          <w:rFonts w:hint="eastAsia"/>
        </w:rPr>
        <w:t>日</w:t>
      </w:r>
      <w:r>
        <w:t>~8</w:t>
      </w:r>
      <w:r>
        <w:rPr>
          <w:rFonts w:hint="eastAsia"/>
        </w:rPr>
        <w:t>日，每天监测</w:t>
      </w:r>
      <w:r>
        <w:t>1</w:t>
      </w:r>
      <w:r>
        <w:rPr>
          <w:rFonts w:hint="eastAsia"/>
        </w:rPr>
        <w:t>次。</w:t>
      </w:r>
    </w:p>
    <w:p>
      <w:pPr>
        <w:ind w:firstLine="480"/>
      </w:pPr>
      <w:r>
        <w:rPr>
          <w:rFonts w:hint="eastAsia"/>
        </w:rPr>
        <w:t>（</w:t>
      </w:r>
      <w:r>
        <w:t>4</w:t>
      </w:r>
      <w:r>
        <w:rPr>
          <w:rFonts w:hint="eastAsia"/>
        </w:rPr>
        <w:t>）检测方法及依据</w:t>
      </w:r>
    </w:p>
    <w:p>
      <w:pPr>
        <w:pStyle w:val="26"/>
        <w:rPr>
          <w:b/>
          <w:bCs/>
        </w:rPr>
      </w:pPr>
      <w:r>
        <w:rPr>
          <w:rFonts w:hint="eastAsia"/>
          <w:b/>
          <w:bCs/>
        </w:rPr>
        <w:t>表</w:t>
      </w:r>
      <w:r>
        <w:rPr>
          <w:b/>
          <w:bCs/>
        </w:rPr>
        <w:t xml:space="preserve">5.2-5   </w:t>
      </w:r>
      <w:r>
        <w:rPr>
          <w:rFonts w:hint="eastAsia"/>
          <w:b/>
          <w:bCs/>
        </w:rPr>
        <w:t>各监测项目的分析方法</w:t>
      </w:r>
    </w:p>
    <w:tbl>
      <w:tblPr>
        <w:tblStyle w:val="23"/>
        <w:tblW w:w="9074" w:type="dxa"/>
        <w:jc w:val="center"/>
        <w:tblInd w:w="3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7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7" w:type="dxa"/>
            <w:vAlign w:val="center"/>
          </w:tcPr>
          <w:p>
            <w:pPr>
              <w:pStyle w:val="26"/>
              <w:rPr>
                <w:kern w:val="2"/>
                <w:szCs w:val="21"/>
                <w:lang w:val="en-US" w:eastAsia="zh-CN"/>
              </w:rPr>
            </w:pPr>
            <w:r>
              <w:rPr>
                <w:rFonts w:hint="eastAsia"/>
                <w:kern w:val="2"/>
                <w:szCs w:val="21"/>
                <w:lang w:val="en-US" w:eastAsia="zh-CN"/>
              </w:rPr>
              <w:t>监测项目</w:t>
            </w:r>
          </w:p>
        </w:tc>
        <w:tc>
          <w:tcPr>
            <w:tcW w:w="7197" w:type="dxa"/>
            <w:vAlign w:val="center"/>
          </w:tcPr>
          <w:p>
            <w:pPr>
              <w:pStyle w:val="26"/>
              <w:rPr>
                <w:kern w:val="2"/>
                <w:szCs w:val="21"/>
                <w:lang w:val="en-US" w:eastAsia="zh-CN"/>
              </w:rPr>
            </w:pPr>
            <w:r>
              <w:rPr>
                <w:rFonts w:hint="eastAsia"/>
                <w:kern w:val="2"/>
                <w:szCs w:val="21"/>
                <w:lang w:val="en-US" w:eastAsia="zh-CN"/>
              </w:rPr>
              <w:t>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7" w:type="dxa"/>
            <w:vAlign w:val="center"/>
          </w:tcPr>
          <w:p>
            <w:pPr>
              <w:pStyle w:val="26"/>
              <w:rPr>
                <w:kern w:val="2"/>
                <w:szCs w:val="21"/>
                <w:lang w:val="en-US" w:eastAsia="zh-CN"/>
              </w:rPr>
            </w:pPr>
            <w:r>
              <w:rPr>
                <w:kern w:val="2"/>
                <w:szCs w:val="21"/>
                <w:lang w:val="en-US" w:eastAsia="zh-CN"/>
              </w:rPr>
              <w:t>pH</w:t>
            </w:r>
          </w:p>
        </w:tc>
        <w:tc>
          <w:tcPr>
            <w:tcW w:w="7197" w:type="dxa"/>
            <w:vAlign w:val="center"/>
          </w:tcPr>
          <w:p>
            <w:pPr>
              <w:pStyle w:val="26"/>
              <w:rPr>
                <w:kern w:val="2"/>
                <w:szCs w:val="21"/>
                <w:lang w:val="en-US" w:eastAsia="zh-CN"/>
              </w:rPr>
            </w:pPr>
            <w:r>
              <w:rPr>
                <w:rFonts w:hint="eastAsia"/>
                <w:kern w:val="2"/>
                <w:szCs w:val="21"/>
                <w:lang w:val="en-US" w:eastAsia="zh-CN"/>
              </w:rPr>
              <w:t>《水质</w:t>
            </w:r>
            <w:r>
              <w:rPr>
                <w:kern w:val="2"/>
                <w:szCs w:val="21"/>
                <w:lang w:val="en-US" w:eastAsia="zh-CN"/>
              </w:rPr>
              <w:t xml:space="preserve"> pH</w:t>
            </w:r>
            <w:r>
              <w:rPr>
                <w:rFonts w:hint="eastAsia"/>
                <w:kern w:val="2"/>
                <w:szCs w:val="21"/>
                <w:lang w:val="en-US" w:eastAsia="zh-CN"/>
              </w:rPr>
              <w:t>值的测定玻璃电极法》</w:t>
            </w:r>
            <w:r>
              <w:rPr>
                <w:kern w:val="2"/>
                <w:szCs w:val="21"/>
                <w:lang w:val="en-US" w:eastAsia="zh-CN"/>
              </w:rPr>
              <w:t xml:space="preserve"> GB/T 6920-86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7" w:type="dxa"/>
            <w:vAlign w:val="center"/>
          </w:tcPr>
          <w:p>
            <w:pPr>
              <w:pStyle w:val="26"/>
              <w:rPr>
                <w:kern w:val="2"/>
                <w:szCs w:val="21"/>
                <w:lang w:val="en-US" w:eastAsia="zh-CN"/>
              </w:rPr>
            </w:pPr>
            <w:r>
              <w:rPr>
                <w:kern w:val="2"/>
                <w:szCs w:val="21"/>
                <w:lang w:val="en-US" w:eastAsia="zh-CN"/>
              </w:rPr>
              <w:t>COD</w:t>
            </w:r>
            <w:r>
              <w:rPr>
                <w:kern w:val="2"/>
                <w:szCs w:val="21"/>
                <w:vertAlign w:val="subscript"/>
                <w:lang w:val="en-US" w:eastAsia="zh-CN"/>
              </w:rPr>
              <w:t>Cr</w:t>
            </w:r>
          </w:p>
        </w:tc>
        <w:tc>
          <w:tcPr>
            <w:tcW w:w="7197" w:type="dxa"/>
            <w:vAlign w:val="center"/>
          </w:tcPr>
          <w:p>
            <w:pPr>
              <w:pStyle w:val="26"/>
              <w:rPr>
                <w:kern w:val="2"/>
                <w:szCs w:val="21"/>
                <w:lang w:val="en-US" w:eastAsia="zh-CN"/>
              </w:rPr>
            </w:pPr>
            <w:r>
              <w:rPr>
                <w:rFonts w:hint="eastAsia"/>
                <w:kern w:val="2"/>
                <w:szCs w:val="21"/>
                <w:lang w:val="en-US" w:eastAsia="zh-CN"/>
              </w:rPr>
              <w:t>《水质　化学需氧量的测定　重铬酸钾法》</w:t>
            </w:r>
            <w:r>
              <w:fldChar w:fldCharType="begin"/>
            </w:r>
            <w:r>
              <w:instrText xml:space="preserve"> HYPERLINK "http://www.baidu.com/link?url=JlUgrcCjxXuT0Ge_b3YkGiU8BjGu2YPkV2c7AyWmG7SFLIX48vc-6wq4u_jBhSWHn2n39VV_a8pnGyKr8FSFXK" \t "https://www.baidu.com/_blank" </w:instrText>
            </w:r>
            <w:r>
              <w:fldChar w:fldCharType="separate"/>
            </w:r>
            <w:r>
              <w:rPr>
                <w:kern w:val="2"/>
                <w:szCs w:val="21"/>
                <w:lang w:val="en-US" w:eastAsia="zh-CN"/>
              </w:rPr>
              <w:t>HJ</w:t>
            </w:r>
            <w:r>
              <w:rPr>
                <w:rFonts w:hint="eastAsia" w:ascii="MS Gothic" w:hAnsi="MS Gothic" w:eastAsia="MS Gothic" w:cs="MS Gothic"/>
                <w:kern w:val="2"/>
                <w:szCs w:val="21"/>
                <w:lang w:val="en-US" w:eastAsia="zh-CN"/>
              </w:rPr>
              <w:t> </w:t>
            </w:r>
            <w:r>
              <w:rPr>
                <w:kern w:val="2"/>
                <w:szCs w:val="21"/>
                <w:lang w:val="en-US" w:eastAsia="zh-CN"/>
              </w:rPr>
              <w:t>828-2017</w:t>
            </w:r>
            <w:r>
              <w:rPr>
                <w:kern w:val="2"/>
                <w:szCs w:val="21"/>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7" w:type="dxa"/>
            <w:vAlign w:val="center"/>
          </w:tcPr>
          <w:p>
            <w:pPr>
              <w:pStyle w:val="26"/>
              <w:rPr>
                <w:kern w:val="2"/>
                <w:szCs w:val="21"/>
                <w:lang w:val="en-US" w:eastAsia="zh-CN"/>
              </w:rPr>
            </w:pPr>
            <w:r>
              <w:rPr>
                <w:kern w:val="2"/>
                <w:szCs w:val="21"/>
                <w:lang w:val="en-US" w:eastAsia="zh-CN"/>
              </w:rPr>
              <w:t>BOD</w:t>
            </w:r>
            <w:r>
              <w:rPr>
                <w:kern w:val="2"/>
                <w:szCs w:val="21"/>
                <w:vertAlign w:val="subscript"/>
                <w:lang w:val="en-US" w:eastAsia="zh-CN"/>
              </w:rPr>
              <w:t>5</w:t>
            </w:r>
          </w:p>
        </w:tc>
        <w:tc>
          <w:tcPr>
            <w:tcW w:w="7197" w:type="dxa"/>
            <w:vAlign w:val="center"/>
          </w:tcPr>
          <w:p>
            <w:pPr>
              <w:pStyle w:val="26"/>
              <w:rPr>
                <w:kern w:val="2"/>
                <w:szCs w:val="21"/>
                <w:lang w:val="en-US" w:eastAsia="zh-CN"/>
              </w:rPr>
            </w:pPr>
            <w:r>
              <w:rPr>
                <w:rFonts w:hint="eastAsia"/>
                <w:kern w:val="2"/>
                <w:szCs w:val="21"/>
                <w:lang w:val="en-US" w:eastAsia="zh-CN"/>
              </w:rPr>
              <w:t>《水质五日生化需氧量的测定稀释与接种法》</w:t>
            </w:r>
            <w:r>
              <w:rPr>
                <w:kern w:val="2"/>
                <w:szCs w:val="21"/>
                <w:lang w:val="en-US" w:eastAsia="zh-CN"/>
              </w:rPr>
              <w:t>HJ505-2009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7" w:type="dxa"/>
            <w:vAlign w:val="center"/>
          </w:tcPr>
          <w:p>
            <w:pPr>
              <w:pStyle w:val="26"/>
              <w:rPr>
                <w:kern w:val="2"/>
                <w:szCs w:val="21"/>
                <w:lang w:val="en-US" w:eastAsia="zh-CN"/>
              </w:rPr>
            </w:pPr>
            <w:r>
              <w:rPr>
                <w:kern w:val="2"/>
                <w:szCs w:val="21"/>
                <w:lang w:val="en-US" w:eastAsia="zh-CN"/>
              </w:rPr>
              <w:t>NH</w:t>
            </w:r>
            <w:r>
              <w:rPr>
                <w:kern w:val="2"/>
                <w:szCs w:val="21"/>
                <w:vertAlign w:val="subscript"/>
                <w:lang w:val="en-US" w:eastAsia="zh-CN"/>
              </w:rPr>
              <w:t>3</w:t>
            </w:r>
            <w:r>
              <w:rPr>
                <w:kern w:val="2"/>
                <w:szCs w:val="21"/>
                <w:lang w:val="en-US" w:eastAsia="zh-CN"/>
              </w:rPr>
              <w:t>-N</w:t>
            </w:r>
          </w:p>
        </w:tc>
        <w:tc>
          <w:tcPr>
            <w:tcW w:w="7197" w:type="dxa"/>
            <w:vAlign w:val="center"/>
          </w:tcPr>
          <w:p>
            <w:pPr>
              <w:pStyle w:val="26"/>
              <w:rPr>
                <w:kern w:val="2"/>
                <w:szCs w:val="21"/>
                <w:lang w:val="en-US" w:eastAsia="zh-CN"/>
              </w:rPr>
            </w:pPr>
            <w:r>
              <w:rPr>
                <w:rFonts w:hint="eastAsia"/>
                <w:kern w:val="2"/>
                <w:szCs w:val="21"/>
                <w:lang w:val="en-US" w:eastAsia="zh-CN"/>
              </w:rPr>
              <w:t>《水质氨氮的测定》纳氏试剂光度法</w:t>
            </w:r>
            <w:r>
              <w:rPr>
                <w:kern w:val="2"/>
                <w:szCs w:val="21"/>
                <w:lang w:val="en-US" w:eastAsia="zh-CN"/>
              </w:rPr>
              <w:t xml:space="preserve">HJ535-2009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7" w:type="dxa"/>
            <w:vAlign w:val="center"/>
          </w:tcPr>
          <w:p>
            <w:pPr>
              <w:pStyle w:val="26"/>
              <w:rPr>
                <w:kern w:val="2"/>
                <w:szCs w:val="21"/>
                <w:lang w:val="en-US" w:eastAsia="zh-CN"/>
              </w:rPr>
            </w:pPr>
            <w:r>
              <w:rPr>
                <w:kern w:val="2"/>
                <w:szCs w:val="21"/>
                <w:lang w:val="en-US" w:eastAsia="zh-CN"/>
              </w:rPr>
              <w:t>SS</w:t>
            </w:r>
          </w:p>
        </w:tc>
        <w:tc>
          <w:tcPr>
            <w:tcW w:w="7197" w:type="dxa"/>
            <w:vAlign w:val="center"/>
          </w:tcPr>
          <w:p>
            <w:pPr>
              <w:pStyle w:val="26"/>
              <w:rPr>
                <w:kern w:val="2"/>
                <w:szCs w:val="21"/>
                <w:lang w:val="en-US" w:eastAsia="zh-CN"/>
              </w:rPr>
            </w:pPr>
            <w:r>
              <w:rPr>
                <w:rFonts w:hint="eastAsia"/>
                <w:kern w:val="2"/>
                <w:szCs w:val="21"/>
                <w:lang w:val="en-US" w:eastAsia="zh-CN"/>
              </w:rPr>
              <w:t>《水质　悬浮物的测定　重量法》</w:t>
            </w:r>
            <w:r>
              <w:rPr>
                <w:kern w:val="2"/>
                <w:szCs w:val="21"/>
                <w:lang w:val="en-US" w:eastAsia="zh-CN"/>
              </w:rPr>
              <w:t>GB/T11901-1989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7" w:type="dxa"/>
            <w:vAlign w:val="center"/>
          </w:tcPr>
          <w:p>
            <w:pPr>
              <w:pStyle w:val="26"/>
              <w:rPr>
                <w:kern w:val="2"/>
                <w:szCs w:val="21"/>
                <w:lang w:val="en-US" w:eastAsia="zh-CN"/>
              </w:rPr>
            </w:pPr>
            <w:r>
              <w:rPr>
                <w:kern w:val="2"/>
                <w:szCs w:val="21"/>
                <w:lang w:val="en-US" w:eastAsia="zh-CN"/>
              </w:rPr>
              <w:t>TP</w:t>
            </w:r>
          </w:p>
        </w:tc>
        <w:tc>
          <w:tcPr>
            <w:tcW w:w="7197" w:type="dxa"/>
            <w:vAlign w:val="center"/>
          </w:tcPr>
          <w:p>
            <w:pPr>
              <w:pStyle w:val="26"/>
              <w:rPr>
                <w:kern w:val="2"/>
                <w:szCs w:val="21"/>
                <w:lang w:val="en-US" w:eastAsia="zh-CN"/>
              </w:rPr>
            </w:pPr>
            <w:r>
              <w:rPr>
                <w:rFonts w:hint="eastAsia"/>
                <w:kern w:val="2"/>
                <w:szCs w:val="21"/>
                <w:lang w:val="en-US" w:eastAsia="zh-CN"/>
              </w:rPr>
              <w:t>《水质总磷的测定钼酸铵分光光度法》</w:t>
            </w:r>
            <w:r>
              <w:rPr>
                <w:kern w:val="2"/>
                <w:szCs w:val="21"/>
                <w:lang w:val="en-US" w:eastAsia="zh-CN"/>
              </w:rPr>
              <w:t>GB/T11893-1989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7" w:type="dxa"/>
            <w:vAlign w:val="center"/>
          </w:tcPr>
          <w:p>
            <w:pPr>
              <w:pStyle w:val="26"/>
              <w:rPr>
                <w:kern w:val="2"/>
                <w:szCs w:val="21"/>
                <w:lang w:val="en-US" w:eastAsia="zh-CN"/>
              </w:rPr>
            </w:pPr>
            <w:r>
              <w:rPr>
                <w:rFonts w:hint="eastAsia"/>
                <w:kern w:val="2"/>
                <w:szCs w:val="21"/>
                <w:lang w:val="en-US" w:eastAsia="zh-CN"/>
              </w:rPr>
              <w:t>挥发酚</w:t>
            </w:r>
          </w:p>
        </w:tc>
        <w:tc>
          <w:tcPr>
            <w:tcW w:w="7197" w:type="dxa"/>
            <w:vAlign w:val="center"/>
          </w:tcPr>
          <w:p>
            <w:pPr>
              <w:pStyle w:val="26"/>
              <w:rPr>
                <w:kern w:val="2"/>
                <w:szCs w:val="21"/>
                <w:lang w:val="en-US" w:eastAsia="zh-CN"/>
              </w:rPr>
            </w:pPr>
            <w:r>
              <w:rPr>
                <w:rFonts w:hint="eastAsia"/>
                <w:kern w:val="2"/>
                <w:szCs w:val="21"/>
                <w:lang w:val="en-US" w:eastAsia="zh-CN"/>
              </w:rPr>
              <w:t>《水质挥发酚的测定</w:t>
            </w:r>
            <w:r>
              <w:rPr>
                <w:kern w:val="2"/>
                <w:szCs w:val="21"/>
                <w:lang w:val="en-US" w:eastAsia="zh-CN"/>
              </w:rPr>
              <w:t xml:space="preserve"> 4-</w:t>
            </w:r>
            <w:r>
              <w:rPr>
                <w:rFonts w:hint="eastAsia"/>
                <w:kern w:val="2"/>
                <w:szCs w:val="21"/>
                <w:lang w:val="en-US" w:eastAsia="zh-CN"/>
              </w:rPr>
              <w:t>氨基安替比林萃取分光光度法》</w:t>
            </w:r>
            <w:r>
              <w:rPr>
                <w:kern w:val="2"/>
                <w:szCs w:val="21"/>
                <w:lang w:val="en-US" w:eastAsia="zh-CN"/>
              </w:rPr>
              <w:t>HJ503-2009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7" w:type="dxa"/>
            <w:vAlign w:val="center"/>
          </w:tcPr>
          <w:p>
            <w:pPr>
              <w:pStyle w:val="26"/>
              <w:rPr>
                <w:kern w:val="2"/>
                <w:szCs w:val="21"/>
                <w:lang w:val="en-US" w:eastAsia="zh-CN"/>
              </w:rPr>
            </w:pPr>
            <w:r>
              <w:rPr>
                <w:rFonts w:hint="eastAsia"/>
                <w:kern w:val="2"/>
                <w:szCs w:val="21"/>
                <w:lang w:val="en-US" w:eastAsia="zh-CN"/>
              </w:rPr>
              <w:t>硫化物</w:t>
            </w:r>
          </w:p>
        </w:tc>
        <w:tc>
          <w:tcPr>
            <w:tcW w:w="7197" w:type="dxa"/>
            <w:vAlign w:val="center"/>
          </w:tcPr>
          <w:p>
            <w:pPr>
              <w:pStyle w:val="26"/>
              <w:rPr>
                <w:kern w:val="2"/>
                <w:szCs w:val="21"/>
                <w:lang w:val="en-US" w:eastAsia="zh-CN"/>
              </w:rPr>
            </w:pPr>
            <w:r>
              <w:rPr>
                <w:rFonts w:hint="eastAsia"/>
                <w:kern w:val="2"/>
                <w:szCs w:val="21"/>
                <w:lang w:val="en-US" w:eastAsia="zh-CN"/>
              </w:rPr>
              <w:t>《</w:t>
            </w:r>
            <w:r>
              <w:fldChar w:fldCharType="begin"/>
            </w:r>
            <w:r>
              <w:instrText xml:space="preserve"> HYPERLINK "http://datacenter.mep.gov.cn:8099/ths-report/javascript:void(0)" </w:instrText>
            </w:r>
            <w:r>
              <w:fldChar w:fldCharType="separate"/>
            </w:r>
            <w:r>
              <w:rPr>
                <w:rFonts w:hint="eastAsia"/>
                <w:kern w:val="2"/>
                <w:szCs w:val="21"/>
                <w:lang w:val="en-US" w:eastAsia="zh-CN"/>
              </w:rPr>
              <w:t>水质硫化物的测定亚甲基蓝分光光度法</w:t>
            </w:r>
            <w:r>
              <w:rPr>
                <w:rFonts w:hint="eastAsia"/>
                <w:kern w:val="2"/>
                <w:szCs w:val="21"/>
                <w:lang w:val="en-US" w:eastAsia="zh-CN"/>
              </w:rPr>
              <w:fldChar w:fldCharType="end"/>
            </w:r>
            <w:r>
              <w:rPr>
                <w:rFonts w:hint="eastAsia"/>
                <w:kern w:val="2"/>
                <w:szCs w:val="21"/>
                <w:lang w:val="en-US" w:eastAsia="zh-CN"/>
              </w:rPr>
              <w:t>》</w:t>
            </w:r>
            <w:r>
              <w:rPr>
                <w:kern w:val="2"/>
                <w:szCs w:val="21"/>
                <w:lang w:val="en-US" w:eastAsia="zh-CN"/>
              </w:rPr>
              <w:t>GB/T 16489-1996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7" w:type="dxa"/>
            <w:vAlign w:val="center"/>
          </w:tcPr>
          <w:p>
            <w:pPr>
              <w:pStyle w:val="26"/>
              <w:rPr>
                <w:kern w:val="2"/>
                <w:szCs w:val="21"/>
                <w:lang w:val="en-US" w:eastAsia="zh-CN"/>
              </w:rPr>
            </w:pPr>
            <w:r>
              <w:rPr>
                <w:kern w:val="2"/>
                <w:szCs w:val="21"/>
                <w:lang w:val="en-US" w:eastAsia="zh-CN"/>
              </w:rPr>
              <w:t>LAS</w:t>
            </w:r>
          </w:p>
        </w:tc>
        <w:tc>
          <w:tcPr>
            <w:tcW w:w="7197" w:type="dxa"/>
            <w:vAlign w:val="center"/>
          </w:tcPr>
          <w:p>
            <w:pPr>
              <w:pStyle w:val="26"/>
              <w:rPr>
                <w:kern w:val="2"/>
                <w:szCs w:val="21"/>
                <w:lang w:val="en-US" w:eastAsia="zh-CN"/>
              </w:rPr>
            </w:pPr>
            <w:r>
              <w:rPr>
                <w:rFonts w:hint="eastAsia"/>
                <w:kern w:val="2"/>
                <w:szCs w:val="21"/>
                <w:lang w:val="en-US" w:eastAsia="zh-CN"/>
              </w:rPr>
              <w:t>《</w:t>
            </w:r>
            <w:r>
              <w:fldChar w:fldCharType="begin"/>
            </w:r>
            <w:r>
              <w:instrText xml:space="preserve"> HYPERLINK "http://datacenter.mep.gov.cn:8099/ths-report/javascript:void(0)" </w:instrText>
            </w:r>
            <w:r>
              <w:fldChar w:fldCharType="separate"/>
            </w:r>
            <w:r>
              <w:rPr>
                <w:rFonts w:hint="eastAsia"/>
                <w:kern w:val="2"/>
                <w:szCs w:val="21"/>
                <w:lang w:val="en-US" w:eastAsia="zh-CN"/>
              </w:rPr>
              <w:t>水质阴离子表面活性剂的测定亚甲蓝分光光度法</w:t>
            </w:r>
            <w:r>
              <w:rPr>
                <w:rFonts w:hint="eastAsia"/>
                <w:kern w:val="2"/>
                <w:szCs w:val="21"/>
                <w:lang w:val="en-US" w:eastAsia="zh-CN"/>
              </w:rPr>
              <w:fldChar w:fldCharType="end"/>
            </w:r>
            <w:r>
              <w:rPr>
                <w:rFonts w:hint="eastAsia"/>
                <w:kern w:val="2"/>
                <w:szCs w:val="21"/>
                <w:lang w:val="en-US" w:eastAsia="zh-CN"/>
              </w:rPr>
              <w:t>》</w:t>
            </w:r>
            <w:r>
              <w:rPr>
                <w:kern w:val="2"/>
                <w:szCs w:val="21"/>
                <w:lang w:val="en-US" w:eastAsia="zh-CN"/>
              </w:rPr>
              <w:t>GB 7494-87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7" w:type="dxa"/>
            <w:vAlign w:val="center"/>
          </w:tcPr>
          <w:p>
            <w:pPr>
              <w:pStyle w:val="26"/>
              <w:rPr>
                <w:kern w:val="2"/>
                <w:szCs w:val="21"/>
                <w:lang w:val="en-US" w:eastAsia="zh-CN"/>
              </w:rPr>
            </w:pPr>
            <w:r>
              <w:rPr>
                <w:rFonts w:hint="eastAsia"/>
                <w:kern w:val="2"/>
                <w:szCs w:val="21"/>
                <w:lang w:val="en-US" w:eastAsia="zh-CN"/>
              </w:rPr>
              <w:t>六价铬</w:t>
            </w:r>
          </w:p>
        </w:tc>
        <w:tc>
          <w:tcPr>
            <w:tcW w:w="7197" w:type="dxa"/>
            <w:vAlign w:val="center"/>
          </w:tcPr>
          <w:p>
            <w:pPr>
              <w:pStyle w:val="26"/>
              <w:rPr>
                <w:kern w:val="2"/>
                <w:szCs w:val="21"/>
                <w:lang w:val="en-US" w:eastAsia="zh-CN"/>
              </w:rPr>
            </w:pPr>
            <w:r>
              <w:rPr>
                <w:rFonts w:hint="eastAsia"/>
                <w:kern w:val="2"/>
                <w:szCs w:val="21"/>
                <w:lang w:val="en-US" w:eastAsia="zh-CN"/>
              </w:rPr>
              <w:t>《水质六价铬的测定二苯碳酰二肼分光光度法》</w:t>
            </w:r>
            <w:r>
              <w:rPr>
                <w:kern w:val="2"/>
                <w:szCs w:val="21"/>
                <w:lang w:val="en-US" w:eastAsia="zh-CN"/>
              </w:rPr>
              <w:t>GB/T7467-1987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7" w:type="dxa"/>
            <w:vAlign w:val="center"/>
          </w:tcPr>
          <w:p>
            <w:pPr>
              <w:pStyle w:val="26"/>
              <w:rPr>
                <w:kern w:val="2"/>
                <w:szCs w:val="21"/>
                <w:lang w:val="en-US" w:eastAsia="zh-CN"/>
              </w:rPr>
            </w:pPr>
            <w:r>
              <w:rPr>
                <w:rFonts w:hint="eastAsia"/>
                <w:kern w:val="2"/>
                <w:szCs w:val="21"/>
                <w:lang w:val="en-US" w:eastAsia="zh-CN"/>
              </w:rPr>
              <w:t>色度</w:t>
            </w:r>
          </w:p>
        </w:tc>
        <w:tc>
          <w:tcPr>
            <w:tcW w:w="7197" w:type="dxa"/>
            <w:vAlign w:val="center"/>
          </w:tcPr>
          <w:p>
            <w:pPr>
              <w:pStyle w:val="26"/>
              <w:rPr>
                <w:kern w:val="2"/>
                <w:szCs w:val="21"/>
                <w:lang w:val="en-US" w:eastAsia="zh-CN"/>
              </w:rPr>
            </w:pPr>
            <w:r>
              <w:rPr>
                <w:rFonts w:hint="eastAsia"/>
                <w:kern w:val="2"/>
                <w:szCs w:val="21"/>
                <w:lang w:val="en-US" w:eastAsia="zh-CN"/>
              </w:rPr>
              <w:t>《水质　色度的测定目视比色法》</w:t>
            </w:r>
            <w:r>
              <w:rPr>
                <w:kern w:val="2"/>
                <w:szCs w:val="21"/>
                <w:lang w:val="en-US" w:eastAsia="zh-CN"/>
              </w:rPr>
              <w:t xml:space="preserve"> GB/T11903-1989</w:t>
            </w:r>
          </w:p>
        </w:tc>
      </w:tr>
    </w:tbl>
    <w:p>
      <w:pPr>
        <w:ind w:firstLine="480"/>
      </w:pPr>
      <w:r>
        <w:rPr>
          <w:rFonts w:hint="eastAsia"/>
        </w:rPr>
        <w:t>（</w:t>
      </w:r>
      <w:r>
        <w:t>5</w:t>
      </w:r>
      <w:r>
        <w:rPr>
          <w:rFonts w:hint="eastAsia"/>
        </w:rPr>
        <w:t>）检测结果与评价</w:t>
      </w:r>
    </w:p>
    <w:p>
      <w:pPr>
        <w:ind w:firstLine="480"/>
      </w:pPr>
      <w:r>
        <w:rPr>
          <w:rFonts w:hint="eastAsia"/>
        </w:rPr>
        <w:t>监测结果详见表</w:t>
      </w:r>
      <w:r>
        <w:t>5.2-6</w:t>
      </w:r>
      <w:r>
        <w:rPr>
          <w:rFonts w:hint="eastAsia"/>
        </w:rPr>
        <w:t>。</w:t>
      </w:r>
    </w:p>
    <w:p>
      <w:pPr>
        <w:pStyle w:val="26"/>
        <w:rPr>
          <w:b/>
          <w:bCs/>
        </w:rPr>
      </w:pPr>
      <w:r>
        <w:rPr>
          <w:rFonts w:hint="eastAsia"/>
          <w:b/>
          <w:bCs/>
        </w:rPr>
        <w:t>表</w:t>
      </w:r>
      <w:r>
        <w:rPr>
          <w:b/>
          <w:bCs/>
        </w:rPr>
        <w:t xml:space="preserve">5.2-6  </w:t>
      </w:r>
      <w:r>
        <w:rPr>
          <w:rFonts w:hint="eastAsia"/>
          <w:b/>
          <w:bCs/>
        </w:rPr>
        <w:t>地表水环境质量现状监测结果</w:t>
      </w:r>
    </w:p>
    <w:tbl>
      <w:tblPr>
        <w:tblStyle w:val="23"/>
        <w:tblW w:w="9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1628"/>
        <w:gridCol w:w="1628"/>
        <w:gridCol w:w="1628"/>
        <w:gridCol w:w="1628"/>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Merge w:val="restart"/>
            <w:vAlign w:val="center"/>
          </w:tcPr>
          <w:p>
            <w:pPr>
              <w:pStyle w:val="26"/>
              <w:rPr>
                <w:kern w:val="2"/>
                <w:szCs w:val="21"/>
                <w:lang w:val="en-US" w:eastAsia="zh-CN"/>
              </w:rPr>
            </w:pPr>
            <w:r>
              <w:rPr>
                <w:rFonts w:hint="eastAsia"/>
                <w:kern w:val="2"/>
                <w:szCs w:val="21"/>
                <w:lang w:val="en-US" w:eastAsia="zh-CN"/>
              </w:rPr>
              <w:t>检测因子</w:t>
            </w:r>
          </w:p>
        </w:tc>
        <w:tc>
          <w:tcPr>
            <w:tcW w:w="6512" w:type="dxa"/>
            <w:gridSpan w:val="4"/>
            <w:vAlign w:val="center"/>
          </w:tcPr>
          <w:p>
            <w:pPr>
              <w:pStyle w:val="26"/>
              <w:rPr>
                <w:kern w:val="2"/>
                <w:szCs w:val="21"/>
                <w:lang w:val="en-US" w:eastAsia="zh-CN"/>
              </w:rPr>
            </w:pPr>
            <w:r>
              <w:rPr>
                <w:rFonts w:hint="eastAsia"/>
                <w:kern w:val="2"/>
                <w:szCs w:val="21"/>
                <w:lang w:val="en-US" w:eastAsia="zh-CN"/>
              </w:rPr>
              <w:t>检测结果（单位：</w:t>
            </w:r>
            <w:r>
              <w:rPr>
                <w:kern w:val="2"/>
                <w:szCs w:val="21"/>
                <w:lang w:val="en-US" w:eastAsia="zh-CN"/>
              </w:rPr>
              <w:t>mg/L</w:t>
            </w:r>
            <w:r>
              <w:rPr>
                <w:rFonts w:hint="eastAsia"/>
                <w:kern w:val="2"/>
                <w:szCs w:val="21"/>
                <w:lang w:val="en-US" w:eastAsia="zh-CN"/>
              </w:rPr>
              <w:t>，</w:t>
            </w:r>
            <w:r>
              <w:rPr>
                <w:kern w:val="2"/>
                <w:szCs w:val="21"/>
                <w:lang w:val="en-US" w:eastAsia="zh-CN"/>
              </w:rPr>
              <w:t>pH</w:t>
            </w:r>
            <w:r>
              <w:rPr>
                <w:rFonts w:hint="eastAsia"/>
                <w:kern w:val="2"/>
                <w:szCs w:val="21"/>
                <w:lang w:val="en-US" w:eastAsia="zh-CN"/>
              </w:rPr>
              <w:t>无量纲）</w:t>
            </w:r>
          </w:p>
        </w:tc>
        <w:tc>
          <w:tcPr>
            <w:tcW w:w="1628" w:type="dxa"/>
            <w:vMerge w:val="restart"/>
            <w:vAlign w:val="center"/>
          </w:tcPr>
          <w:p>
            <w:pPr>
              <w:pStyle w:val="26"/>
              <w:rPr>
                <w:kern w:val="2"/>
                <w:szCs w:val="21"/>
                <w:lang w:val="en-US" w:eastAsia="zh-CN"/>
              </w:rPr>
            </w:pPr>
            <w:r>
              <w:rPr>
                <w:rFonts w:hint="eastAsia"/>
                <w:kern w:val="2"/>
                <w:szCs w:val="21"/>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Merge w:val="continue"/>
            <w:vAlign w:val="center"/>
          </w:tcPr>
          <w:p>
            <w:pPr>
              <w:pStyle w:val="26"/>
              <w:rPr>
                <w:kern w:val="2"/>
                <w:szCs w:val="21"/>
                <w:lang w:val="en-US" w:eastAsia="zh-CN"/>
              </w:rPr>
            </w:pPr>
          </w:p>
        </w:tc>
        <w:tc>
          <w:tcPr>
            <w:tcW w:w="1628" w:type="dxa"/>
            <w:vAlign w:val="center"/>
          </w:tcPr>
          <w:p>
            <w:pPr>
              <w:pStyle w:val="26"/>
              <w:rPr>
                <w:kern w:val="2"/>
                <w:szCs w:val="21"/>
                <w:lang w:val="en-US" w:eastAsia="zh-CN"/>
              </w:rPr>
            </w:pPr>
            <w:r>
              <w:rPr>
                <w:kern w:val="2"/>
                <w:szCs w:val="21"/>
                <w:lang w:val="en-US" w:eastAsia="zh-CN"/>
              </w:rPr>
              <w:t>W1</w:t>
            </w:r>
          </w:p>
        </w:tc>
        <w:tc>
          <w:tcPr>
            <w:tcW w:w="1628" w:type="dxa"/>
            <w:vAlign w:val="center"/>
          </w:tcPr>
          <w:p>
            <w:pPr>
              <w:pStyle w:val="26"/>
              <w:rPr>
                <w:kern w:val="2"/>
                <w:szCs w:val="21"/>
                <w:lang w:val="en-US" w:eastAsia="zh-CN"/>
              </w:rPr>
            </w:pPr>
            <w:r>
              <w:rPr>
                <w:kern w:val="2"/>
                <w:szCs w:val="21"/>
                <w:lang w:val="en-US" w:eastAsia="zh-CN"/>
              </w:rPr>
              <w:t>W2</w:t>
            </w:r>
          </w:p>
        </w:tc>
        <w:tc>
          <w:tcPr>
            <w:tcW w:w="1628" w:type="dxa"/>
            <w:vAlign w:val="center"/>
          </w:tcPr>
          <w:p>
            <w:pPr>
              <w:pStyle w:val="26"/>
              <w:rPr>
                <w:kern w:val="2"/>
                <w:szCs w:val="21"/>
                <w:lang w:val="en-US" w:eastAsia="zh-CN"/>
              </w:rPr>
            </w:pPr>
            <w:r>
              <w:rPr>
                <w:kern w:val="2"/>
                <w:szCs w:val="21"/>
                <w:lang w:val="en-US" w:eastAsia="zh-CN"/>
              </w:rPr>
              <w:t>W3</w:t>
            </w:r>
          </w:p>
        </w:tc>
        <w:tc>
          <w:tcPr>
            <w:tcW w:w="1628" w:type="dxa"/>
            <w:vAlign w:val="center"/>
          </w:tcPr>
          <w:p>
            <w:pPr>
              <w:pStyle w:val="26"/>
              <w:rPr>
                <w:kern w:val="2"/>
                <w:szCs w:val="21"/>
                <w:lang w:val="en-US" w:eastAsia="zh-CN"/>
              </w:rPr>
            </w:pPr>
            <w:r>
              <w:rPr>
                <w:kern w:val="2"/>
                <w:szCs w:val="21"/>
                <w:lang w:val="en-US" w:eastAsia="zh-CN"/>
              </w:rPr>
              <w:t>W4</w:t>
            </w:r>
          </w:p>
        </w:tc>
        <w:tc>
          <w:tcPr>
            <w:tcW w:w="1628"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26"/>
              <w:rPr>
                <w:kern w:val="2"/>
                <w:szCs w:val="21"/>
                <w:lang w:val="en-US" w:eastAsia="zh-CN"/>
              </w:rPr>
            </w:pPr>
            <w:r>
              <w:rPr>
                <w:kern w:val="2"/>
                <w:szCs w:val="21"/>
                <w:lang w:val="en-US" w:eastAsia="zh-CN"/>
              </w:rPr>
              <w:t>pH</w:t>
            </w:r>
          </w:p>
        </w:tc>
        <w:tc>
          <w:tcPr>
            <w:tcW w:w="1628" w:type="dxa"/>
            <w:vAlign w:val="center"/>
          </w:tcPr>
          <w:p>
            <w:pPr>
              <w:pStyle w:val="26"/>
              <w:rPr>
                <w:kern w:val="2"/>
                <w:szCs w:val="21"/>
                <w:lang w:val="en-US" w:eastAsia="zh-CN"/>
              </w:rPr>
            </w:pPr>
            <w:r>
              <w:rPr>
                <w:kern w:val="2"/>
                <w:szCs w:val="21"/>
                <w:lang w:val="en-US" w:eastAsia="zh-CN"/>
              </w:rPr>
              <w:t>7.22~7.27</w:t>
            </w:r>
          </w:p>
        </w:tc>
        <w:tc>
          <w:tcPr>
            <w:tcW w:w="1628" w:type="dxa"/>
            <w:vAlign w:val="center"/>
          </w:tcPr>
          <w:p>
            <w:pPr>
              <w:pStyle w:val="26"/>
              <w:rPr>
                <w:kern w:val="2"/>
                <w:szCs w:val="21"/>
                <w:lang w:val="en-US" w:eastAsia="zh-CN"/>
              </w:rPr>
            </w:pPr>
            <w:r>
              <w:rPr>
                <w:kern w:val="2"/>
                <w:szCs w:val="21"/>
                <w:lang w:val="en-US" w:eastAsia="zh-CN"/>
              </w:rPr>
              <w:t>6.79~6.94</w:t>
            </w:r>
          </w:p>
        </w:tc>
        <w:tc>
          <w:tcPr>
            <w:tcW w:w="1628" w:type="dxa"/>
            <w:vAlign w:val="center"/>
          </w:tcPr>
          <w:p>
            <w:pPr>
              <w:pStyle w:val="26"/>
              <w:rPr>
                <w:kern w:val="2"/>
                <w:szCs w:val="21"/>
                <w:lang w:val="en-US" w:eastAsia="zh-CN"/>
              </w:rPr>
            </w:pPr>
            <w:r>
              <w:rPr>
                <w:kern w:val="2"/>
                <w:szCs w:val="21"/>
                <w:lang w:val="en-US" w:eastAsia="zh-CN"/>
              </w:rPr>
              <w:t>6.62~6.82</w:t>
            </w:r>
          </w:p>
        </w:tc>
        <w:tc>
          <w:tcPr>
            <w:tcW w:w="1628" w:type="dxa"/>
            <w:vAlign w:val="center"/>
          </w:tcPr>
          <w:p>
            <w:pPr>
              <w:pStyle w:val="26"/>
              <w:rPr>
                <w:kern w:val="2"/>
                <w:szCs w:val="21"/>
                <w:lang w:val="en-US" w:eastAsia="zh-CN"/>
              </w:rPr>
            </w:pPr>
            <w:r>
              <w:rPr>
                <w:kern w:val="2"/>
                <w:szCs w:val="21"/>
                <w:lang w:val="en-US" w:eastAsia="zh-CN"/>
              </w:rPr>
              <w:t>6.67~6.75</w:t>
            </w:r>
          </w:p>
        </w:tc>
        <w:tc>
          <w:tcPr>
            <w:tcW w:w="1628" w:type="dxa"/>
            <w:vAlign w:val="center"/>
          </w:tcPr>
          <w:p>
            <w:pPr>
              <w:pStyle w:val="26"/>
              <w:rPr>
                <w:kern w:val="2"/>
                <w:szCs w:val="21"/>
                <w:lang w:val="en-US" w:eastAsia="zh-CN"/>
              </w:rPr>
            </w:pPr>
            <w:r>
              <w:rPr>
                <w:kern w:val="2"/>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26"/>
              <w:rPr>
                <w:kern w:val="2"/>
                <w:szCs w:val="21"/>
                <w:lang w:val="en-US" w:eastAsia="zh-CN"/>
              </w:rPr>
            </w:pPr>
            <w:r>
              <w:rPr>
                <w:kern w:val="2"/>
                <w:szCs w:val="21"/>
                <w:lang w:val="en-US" w:eastAsia="zh-CN"/>
              </w:rPr>
              <w:t>COD</w:t>
            </w:r>
            <w:r>
              <w:rPr>
                <w:kern w:val="2"/>
                <w:szCs w:val="21"/>
                <w:vertAlign w:val="subscript"/>
                <w:lang w:val="en-US" w:eastAsia="zh-CN"/>
              </w:rPr>
              <w:t>Cr</w:t>
            </w:r>
          </w:p>
        </w:tc>
        <w:tc>
          <w:tcPr>
            <w:tcW w:w="1628" w:type="dxa"/>
            <w:vAlign w:val="center"/>
          </w:tcPr>
          <w:p>
            <w:pPr>
              <w:pStyle w:val="26"/>
              <w:rPr>
                <w:kern w:val="2"/>
                <w:szCs w:val="21"/>
                <w:lang w:val="en-US" w:eastAsia="zh-CN"/>
              </w:rPr>
            </w:pPr>
            <w:r>
              <w:rPr>
                <w:kern w:val="2"/>
                <w:szCs w:val="21"/>
                <w:lang w:val="en-US" w:eastAsia="zh-CN"/>
              </w:rPr>
              <w:t>11~12</w:t>
            </w:r>
          </w:p>
        </w:tc>
        <w:tc>
          <w:tcPr>
            <w:tcW w:w="1628" w:type="dxa"/>
            <w:vAlign w:val="center"/>
          </w:tcPr>
          <w:p>
            <w:pPr>
              <w:pStyle w:val="26"/>
              <w:rPr>
                <w:kern w:val="2"/>
                <w:szCs w:val="21"/>
                <w:lang w:val="en-US" w:eastAsia="zh-CN"/>
              </w:rPr>
            </w:pPr>
            <w:r>
              <w:rPr>
                <w:kern w:val="2"/>
                <w:szCs w:val="21"/>
                <w:lang w:val="en-US" w:eastAsia="zh-CN"/>
              </w:rPr>
              <w:t>6~7</w:t>
            </w:r>
          </w:p>
        </w:tc>
        <w:tc>
          <w:tcPr>
            <w:tcW w:w="1628" w:type="dxa"/>
            <w:vAlign w:val="center"/>
          </w:tcPr>
          <w:p>
            <w:pPr>
              <w:pStyle w:val="26"/>
              <w:rPr>
                <w:kern w:val="2"/>
                <w:szCs w:val="21"/>
                <w:lang w:val="en-US" w:eastAsia="zh-CN"/>
              </w:rPr>
            </w:pPr>
            <w:r>
              <w:rPr>
                <w:kern w:val="2"/>
                <w:szCs w:val="21"/>
                <w:lang w:val="en-US" w:eastAsia="zh-CN"/>
              </w:rPr>
              <w:t>4ND~5</w:t>
            </w:r>
          </w:p>
        </w:tc>
        <w:tc>
          <w:tcPr>
            <w:tcW w:w="1628" w:type="dxa"/>
            <w:vAlign w:val="center"/>
          </w:tcPr>
          <w:p>
            <w:pPr>
              <w:pStyle w:val="26"/>
              <w:rPr>
                <w:kern w:val="2"/>
                <w:szCs w:val="21"/>
                <w:lang w:val="en-US" w:eastAsia="zh-CN"/>
              </w:rPr>
            </w:pPr>
            <w:r>
              <w:rPr>
                <w:kern w:val="2"/>
                <w:szCs w:val="21"/>
                <w:lang w:val="en-US" w:eastAsia="zh-CN"/>
              </w:rPr>
              <w:t>5~5</w:t>
            </w:r>
          </w:p>
        </w:tc>
        <w:tc>
          <w:tcPr>
            <w:tcW w:w="1628" w:type="dxa"/>
            <w:vAlign w:val="center"/>
          </w:tcPr>
          <w:p>
            <w:pPr>
              <w:pStyle w:val="26"/>
              <w:rPr>
                <w:kern w:val="2"/>
                <w:szCs w:val="21"/>
                <w:lang w:val="en-US" w:eastAsia="zh-CN"/>
              </w:rPr>
            </w:pPr>
            <w:r>
              <w:rPr>
                <w:kern w:val="2"/>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26"/>
              <w:rPr>
                <w:kern w:val="2"/>
                <w:szCs w:val="21"/>
                <w:lang w:val="en-US" w:eastAsia="zh-CN"/>
              </w:rPr>
            </w:pPr>
            <w:r>
              <w:rPr>
                <w:kern w:val="2"/>
                <w:szCs w:val="21"/>
                <w:lang w:val="en-US" w:eastAsia="zh-CN"/>
              </w:rPr>
              <w:t>BOD</w:t>
            </w:r>
            <w:r>
              <w:rPr>
                <w:kern w:val="2"/>
                <w:szCs w:val="21"/>
                <w:vertAlign w:val="subscript"/>
                <w:lang w:val="en-US" w:eastAsia="zh-CN"/>
              </w:rPr>
              <w:t>5</w:t>
            </w:r>
          </w:p>
        </w:tc>
        <w:tc>
          <w:tcPr>
            <w:tcW w:w="1628" w:type="dxa"/>
            <w:vAlign w:val="center"/>
          </w:tcPr>
          <w:p>
            <w:pPr>
              <w:pStyle w:val="26"/>
              <w:rPr>
                <w:kern w:val="2"/>
                <w:szCs w:val="21"/>
                <w:lang w:val="en-US" w:eastAsia="zh-CN"/>
              </w:rPr>
            </w:pPr>
            <w:r>
              <w:rPr>
                <w:kern w:val="2"/>
                <w:szCs w:val="21"/>
                <w:lang w:val="en-US" w:eastAsia="zh-CN"/>
              </w:rPr>
              <w:t>4.3~4.6</w:t>
            </w:r>
          </w:p>
        </w:tc>
        <w:tc>
          <w:tcPr>
            <w:tcW w:w="1628" w:type="dxa"/>
            <w:vAlign w:val="center"/>
          </w:tcPr>
          <w:p>
            <w:pPr>
              <w:pStyle w:val="26"/>
              <w:rPr>
                <w:kern w:val="2"/>
                <w:szCs w:val="21"/>
                <w:lang w:val="en-US" w:eastAsia="zh-CN"/>
              </w:rPr>
            </w:pPr>
            <w:r>
              <w:rPr>
                <w:kern w:val="2"/>
                <w:szCs w:val="21"/>
                <w:lang w:val="en-US" w:eastAsia="zh-CN"/>
              </w:rPr>
              <w:t>3.2~3.6</w:t>
            </w:r>
          </w:p>
        </w:tc>
        <w:tc>
          <w:tcPr>
            <w:tcW w:w="1628" w:type="dxa"/>
            <w:vAlign w:val="center"/>
          </w:tcPr>
          <w:p>
            <w:pPr>
              <w:pStyle w:val="26"/>
              <w:rPr>
                <w:kern w:val="2"/>
                <w:szCs w:val="21"/>
                <w:lang w:val="en-US" w:eastAsia="zh-CN"/>
              </w:rPr>
            </w:pPr>
            <w:r>
              <w:rPr>
                <w:kern w:val="2"/>
                <w:szCs w:val="21"/>
                <w:lang w:val="en-US" w:eastAsia="zh-CN"/>
              </w:rPr>
              <w:t>1.2~1.4</w:t>
            </w:r>
          </w:p>
        </w:tc>
        <w:tc>
          <w:tcPr>
            <w:tcW w:w="1628" w:type="dxa"/>
            <w:vAlign w:val="center"/>
          </w:tcPr>
          <w:p>
            <w:pPr>
              <w:pStyle w:val="26"/>
              <w:rPr>
                <w:kern w:val="2"/>
                <w:szCs w:val="21"/>
                <w:lang w:val="en-US" w:eastAsia="zh-CN"/>
              </w:rPr>
            </w:pPr>
            <w:r>
              <w:rPr>
                <w:kern w:val="2"/>
                <w:szCs w:val="21"/>
                <w:lang w:val="en-US" w:eastAsia="zh-CN"/>
              </w:rPr>
              <w:t>3.0~3.6</w:t>
            </w:r>
          </w:p>
        </w:tc>
        <w:tc>
          <w:tcPr>
            <w:tcW w:w="1628" w:type="dxa"/>
            <w:vAlign w:val="center"/>
          </w:tcPr>
          <w:p>
            <w:pPr>
              <w:pStyle w:val="26"/>
              <w:rPr>
                <w:kern w:val="2"/>
                <w:szCs w:val="21"/>
                <w:lang w:val="en-US" w:eastAsia="zh-CN"/>
              </w:rPr>
            </w:pPr>
            <w:r>
              <w:rPr>
                <w:kern w:val="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26"/>
              <w:rPr>
                <w:kern w:val="2"/>
                <w:szCs w:val="21"/>
                <w:lang w:val="en-US" w:eastAsia="zh-CN"/>
              </w:rPr>
            </w:pPr>
            <w:r>
              <w:rPr>
                <w:kern w:val="2"/>
                <w:szCs w:val="21"/>
                <w:lang w:val="en-US" w:eastAsia="zh-CN"/>
              </w:rPr>
              <w:t>NH3-N</w:t>
            </w:r>
          </w:p>
        </w:tc>
        <w:tc>
          <w:tcPr>
            <w:tcW w:w="1628" w:type="dxa"/>
            <w:vAlign w:val="center"/>
          </w:tcPr>
          <w:p>
            <w:pPr>
              <w:pStyle w:val="26"/>
              <w:rPr>
                <w:kern w:val="2"/>
                <w:szCs w:val="21"/>
                <w:lang w:val="en-US" w:eastAsia="zh-CN"/>
              </w:rPr>
            </w:pPr>
            <w:r>
              <w:rPr>
                <w:kern w:val="2"/>
                <w:szCs w:val="21"/>
                <w:lang w:val="en-US" w:eastAsia="zh-CN"/>
              </w:rPr>
              <w:t>0.18~0.19</w:t>
            </w:r>
          </w:p>
        </w:tc>
        <w:tc>
          <w:tcPr>
            <w:tcW w:w="1628" w:type="dxa"/>
            <w:vAlign w:val="center"/>
          </w:tcPr>
          <w:p>
            <w:pPr>
              <w:pStyle w:val="26"/>
              <w:rPr>
                <w:kern w:val="2"/>
                <w:szCs w:val="21"/>
                <w:lang w:val="en-US" w:eastAsia="zh-CN"/>
              </w:rPr>
            </w:pPr>
            <w:r>
              <w:rPr>
                <w:kern w:val="2"/>
                <w:szCs w:val="21"/>
                <w:lang w:val="en-US" w:eastAsia="zh-CN"/>
              </w:rPr>
              <w:t>0.17~0.21</w:t>
            </w:r>
          </w:p>
        </w:tc>
        <w:tc>
          <w:tcPr>
            <w:tcW w:w="1628" w:type="dxa"/>
            <w:vAlign w:val="center"/>
          </w:tcPr>
          <w:p>
            <w:pPr>
              <w:pStyle w:val="26"/>
              <w:rPr>
                <w:kern w:val="2"/>
                <w:szCs w:val="21"/>
                <w:lang w:val="en-US" w:eastAsia="zh-CN"/>
              </w:rPr>
            </w:pPr>
            <w:r>
              <w:rPr>
                <w:kern w:val="2"/>
                <w:szCs w:val="21"/>
                <w:lang w:val="en-US" w:eastAsia="zh-CN"/>
              </w:rPr>
              <w:t>0.15~0.24</w:t>
            </w:r>
          </w:p>
        </w:tc>
        <w:tc>
          <w:tcPr>
            <w:tcW w:w="1628" w:type="dxa"/>
            <w:vAlign w:val="center"/>
          </w:tcPr>
          <w:p>
            <w:pPr>
              <w:pStyle w:val="26"/>
              <w:rPr>
                <w:kern w:val="2"/>
                <w:szCs w:val="21"/>
                <w:lang w:val="en-US" w:eastAsia="zh-CN"/>
              </w:rPr>
            </w:pPr>
            <w:r>
              <w:rPr>
                <w:kern w:val="2"/>
                <w:szCs w:val="21"/>
                <w:lang w:val="en-US" w:eastAsia="zh-CN"/>
              </w:rPr>
              <w:t>0.18~0.24</w:t>
            </w:r>
          </w:p>
        </w:tc>
        <w:tc>
          <w:tcPr>
            <w:tcW w:w="1628" w:type="dxa"/>
            <w:vAlign w:val="center"/>
          </w:tcPr>
          <w:p>
            <w:pPr>
              <w:pStyle w:val="26"/>
              <w:rPr>
                <w:kern w:val="2"/>
                <w:szCs w:val="21"/>
                <w:lang w:val="en-US" w:eastAsia="zh-CN"/>
              </w:rPr>
            </w:pPr>
            <w:r>
              <w:rPr>
                <w:kern w:val="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26"/>
              <w:rPr>
                <w:kern w:val="2"/>
                <w:szCs w:val="21"/>
                <w:lang w:val="en-US" w:eastAsia="zh-CN"/>
              </w:rPr>
            </w:pPr>
            <w:r>
              <w:rPr>
                <w:kern w:val="2"/>
                <w:szCs w:val="21"/>
                <w:lang w:val="en-US" w:eastAsia="zh-CN"/>
              </w:rPr>
              <w:t>TP</w:t>
            </w:r>
          </w:p>
        </w:tc>
        <w:tc>
          <w:tcPr>
            <w:tcW w:w="1628" w:type="dxa"/>
            <w:vAlign w:val="center"/>
          </w:tcPr>
          <w:p>
            <w:pPr>
              <w:pStyle w:val="26"/>
              <w:rPr>
                <w:kern w:val="2"/>
                <w:szCs w:val="21"/>
                <w:lang w:val="en-US" w:eastAsia="zh-CN"/>
              </w:rPr>
            </w:pPr>
            <w:r>
              <w:rPr>
                <w:kern w:val="2"/>
                <w:szCs w:val="21"/>
                <w:lang w:val="en-US" w:eastAsia="zh-CN"/>
              </w:rPr>
              <w:t>0.11~0.15</w:t>
            </w:r>
          </w:p>
        </w:tc>
        <w:tc>
          <w:tcPr>
            <w:tcW w:w="1628" w:type="dxa"/>
            <w:vAlign w:val="center"/>
          </w:tcPr>
          <w:p>
            <w:pPr>
              <w:pStyle w:val="26"/>
              <w:rPr>
                <w:kern w:val="2"/>
                <w:szCs w:val="21"/>
                <w:lang w:val="en-US" w:eastAsia="zh-CN"/>
              </w:rPr>
            </w:pPr>
            <w:r>
              <w:rPr>
                <w:kern w:val="2"/>
                <w:szCs w:val="21"/>
                <w:lang w:val="en-US" w:eastAsia="zh-CN"/>
              </w:rPr>
              <w:t>0.</w:t>
            </w:r>
            <w:r>
              <w:rPr>
                <w:rFonts w:hint="eastAsia"/>
                <w:kern w:val="2"/>
                <w:szCs w:val="21"/>
                <w:lang w:val="en-US" w:eastAsia="zh-CN"/>
              </w:rPr>
              <w:t>1</w:t>
            </w:r>
            <w:r>
              <w:rPr>
                <w:kern w:val="2"/>
                <w:szCs w:val="21"/>
                <w:lang w:val="en-US" w:eastAsia="zh-CN"/>
              </w:rPr>
              <w:t>3~0.</w:t>
            </w:r>
            <w:r>
              <w:rPr>
                <w:rFonts w:hint="eastAsia"/>
                <w:kern w:val="2"/>
                <w:szCs w:val="21"/>
                <w:lang w:val="en-US" w:eastAsia="zh-CN"/>
              </w:rPr>
              <w:t>1</w:t>
            </w:r>
            <w:r>
              <w:rPr>
                <w:kern w:val="2"/>
                <w:szCs w:val="21"/>
                <w:lang w:val="en-US" w:eastAsia="zh-CN"/>
              </w:rPr>
              <w:t>5</w:t>
            </w:r>
          </w:p>
        </w:tc>
        <w:tc>
          <w:tcPr>
            <w:tcW w:w="1628" w:type="dxa"/>
            <w:vAlign w:val="center"/>
          </w:tcPr>
          <w:p>
            <w:pPr>
              <w:pStyle w:val="26"/>
              <w:rPr>
                <w:kern w:val="2"/>
                <w:szCs w:val="21"/>
                <w:lang w:val="en-US" w:eastAsia="zh-CN"/>
              </w:rPr>
            </w:pPr>
            <w:r>
              <w:rPr>
                <w:kern w:val="2"/>
                <w:szCs w:val="21"/>
                <w:lang w:val="en-US" w:eastAsia="zh-CN"/>
              </w:rPr>
              <w:t>0.</w:t>
            </w:r>
            <w:r>
              <w:rPr>
                <w:rFonts w:hint="eastAsia"/>
                <w:kern w:val="2"/>
                <w:szCs w:val="21"/>
                <w:lang w:val="en-US" w:eastAsia="zh-CN"/>
              </w:rPr>
              <w:t>1</w:t>
            </w:r>
            <w:r>
              <w:rPr>
                <w:kern w:val="2"/>
                <w:szCs w:val="21"/>
                <w:lang w:val="en-US" w:eastAsia="zh-CN"/>
              </w:rPr>
              <w:t>8~0.</w:t>
            </w:r>
            <w:r>
              <w:rPr>
                <w:rFonts w:hint="eastAsia"/>
                <w:kern w:val="2"/>
                <w:szCs w:val="21"/>
                <w:lang w:val="en-US" w:eastAsia="zh-CN"/>
              </w:rPr>
              <w:t>19</w:t>
            </w:r>
          </w:p>
        </w:tc>
        <w:tc>
          <w:tcPr>
            <w:tcW w:w="1628" w:type="dxa"/>
            <w:vAlign w:val="center"/>
          </w:tcPr>
          <w:p>
            <w:pPr>
              <w:pStyle w:val="26"/>
              <w:rPr>
                <w:kern w:val="2"/>
                <w:szCs w:val="21"/>
                <w:lang w:val="en-US" w:eastAsia="zh-CN"/>
              </w:rPr>
            </w:pPr>
            <w:r>
              <w:rPr>
                <w:kern w:val="2"/>
                <w:szCs w:val="21"/>
                <w:lang w:val="en-US" w:eastAsia="zh-CN"/>
              </w:rPr>
              <w:t>0.16~0.18</w:t>
            </w:r>
          </w:p>
        </w:tc>
        <w:tc>
          <w:tcPr>
            <w:tcW w:w="1628" w:type="dxa"/>
            <w:vAlign w:val="center"/>
          </w:tcPr>
          <w:p>
            <w:pPr>
              <w:pStyle w:val="26"/>
              <w:rPr>
                <w:kern w:val="2"/>
                <w:szCs w:val="21"/>
                <w:lang w:val="en-US" w:eastAsia="zh-CN"/>
              </w:rPr>
            </w:pPr>
            <w:r>
              <w:rPr>
                <w:kern w:val="2"/>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26"/>
              <w:rPr>
                <w:kern w:val="2"/>
                <w:szCs w:val="21"/>
                <w:lang w:val="en-US" w:eastAsia="zh-CN"/>
              </w:rPr>
            </w:pPr>
            <w:r>
              <w:rPr>
                <w:kern w:val="2"/>
                <w:szCs w:val="21"/>
                <w:lang w:val="en-US" w:eastAsia="zh-CN"/>
              </w:rPr>
              <w:t>SS</w:t>
            </w:r>
          </w:p>
        </w:tc>
        <w:tc>
          <w:tcPr>
            <w:tcW w:w="1628" w:type="dxa"/>
            <w:vAlign w:val="center"/>
          </w:tcPr>
          <w:p>
            <w:pPr>
              <w:pStyle w:val="26"/>
              <w:rPr>
                <w:kern w:val="2"/>
                <w:szCs w:val="21"/>
                <w:lang w:val="en-US" w:eastAsia="zh-CN"/>
              </w:rPr>
            </w:pPr>
            <w:r>
              <w:rPr>
                <w:kern w:val="2"/>
                <w:szCs w:val="21"/>
                <w:lang w:val="en-US" w:eastAsia="zh-CN"/>
              </w:rPr>
              <w:t>9.5~10.0</w:t>
            </w:r>
          </w:p>
        </w:tc>
        <w:tc>
          <w:tcPr>
            <w:tcW w:w="1628" w:type="dxa"/>
            <w:vAlign w:val="center"/>
          </w:tcPr>
          <w:p>
            <w:pPr>
              <w:pStyle w:val="26"/>
              <w:rPr>
                <w:kern w:val="2"/>
                <w:szCs w:val="21"/>
                <w:lang w:val="en-US" w:eastAsia="zh-CN"/>
              </w:rPr>
            </w:pPr>
            <w:r>
              <w:rPr>
                <w:kern w:val="2"/>
                <w:szCs w:val="21"/>
                <w:lang w:val="en-US" w:eastAsia="zh-CN"/>
              </w:rPr>
              <w:t>68~75</w:t>
            </w:r>
          </w:p>
        </w:tc>
        <w:tc>
          <w:tcPr>
            <w:tcW w:w="1628" w:type="dxa"/>
            <w:vAlign w:val="center"/>
          </w:tcPr>
          <w:p>
            <w:pPr>
              <w:pStyle w:val="26"/>
              <w:rPr>
                <w:kern w:val="2"/>
                <w:szCs w:val="21"/>
                <w:lang w:val="en-US" w:eastAsia="zh-CN"/>
              </w:rPr>
            </w:pPr>
            <w:r>
              <w:rPr>
                <w:kern w:val="2"/>
                <w:szCs w:val="21"/>
                <w:lang w:val="en-US" w:eastAsia="zh-CN"/>
              </w:rPr>
              <w:t>70.0~76.4</w:t>
            </w:r>
          </w:p>
        </w:tc>
        <w:tc>
          <w:tcPr>
            <w:tcW w:w="1628" w:type="dxa"/>
            <w:vAlign w:val="center"/>
          </w:tcPr>
          <w:p>
            <w:pPr>
              <w:pStyle w:val="26"/>
              <w:rPr>
                <w:kern w:val="2"/>
                <w:szCs w:val="21"/>
                <w:lang w:val="en-US" w:eastAsia="zh-CN"/>
              </w:rPr>
            </w:pPr>
            <w:r>
              <w:rPr>
                <w:kern w:val="2"/>
                <w:szCs w:val="21"/>
                <w:lang w:val="en-US" w:eastAsia="zh-CN"/>
              </w:rPr>
              <w:t>61~66</w:t>
            </w:r>
          </w:p>
        </w:tc>
        <w:tc>
          <w:tcPr>
            <w:tcW w:w="1628"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26"/>
              <w:rPr>
                <w:kern w:val="2"/>
                <w:szCs w:val="21"/>
                <w:lang w:val="en-US" w:eastAsia="zh-CN"/>
              </w:rPr>
            </w:pPr>
            <w:r>
              <w:rPr>
                <w:rFonts w:hint="eastAsia"/>
                <w:kern w:val="2"/>
                <w:szCs w:val="21"/>
                <w:lang w:val="en-US" w:eastAsia="zh-CN"/>
              </w:rPr>
              <w:t>挥发酚</w:t>
            </w:r>
          </w:p>
        </w:tc>
        <w:tc>
          <w:tcPr>
            <w:tcW w:w="1628" w:type="dxa"/>
            <w:vAlign w:val="center"/>
          </w:tcPr>
          <w:p>
            <w:pPr>
              <w:pStyle w:val="26"/>
              <w:rPr>
                <w:kern w:val="2"/>
                <w:szCs w:val="21"/>
                <w:lang w:val="en-US" w:eastAsia="zh-CN"/>
              </w:rPr>
            </w:pPr>
            <w:r>
              <w:rPr>
                <w:kern w:val="2"/>
                <w:szCs w:val="21"/>
                <w:lang w:val="en-US" w:eastAsia="zh-CN"/>
              </w:rPr>
              <w:t>0.0009~0.0010</w:t>
            </w:r>
          </w:p>
        </w:tc>
        <w:tc>
          <w:tcPr>
            <w:tcW w:w="1628" w:type="dxa"/>
            <w:vAlign w:val="center"/>
          </w:tcPr>
          <w:p>
            <w:pPr>
              <w:pStyle w:val="26"/>
              <w:rPr>
                <w:kern w:val="2"/>
                <w:szCs w:val="21"/>
                <w:lang w:val="en-US" w:eastAsia="zh-CN"/>
              </w:rPr>
            </w:pPr>
            <w:r>
              <w:rPr>
                <w:kern w:val="2"/>
                <w:szCs w:val="21"/>
                <w:lang w:val="en-US" w:eastAsia="zh-CN"/>
              </w:rPr>
              <w:t>0.0005~0.0007</w:t>
            </w:r>
          </w:p>
        </w:tc>
        <w:tc>
          <w:tcPr>
            <w:tcW w:w="1628" w:type="dxa"/>
            <w:vAlign w:val="center"/>
          </w:tcPr>
          <w:p>
            <w:pPr>
              <w:pStyle w:val="26"/>
              <w:rPr>
                <w:kern w:val="2"/>
                <w:szCs w:val="21"/>
                <w:lang w:val="en-US" w:eastAsia="zh-CN"/>
              </w:rPr>
            </w:pPr>
            <w:r>
              <w:rPr>
                <w:kern w:val="2"/>
                <w:szCs w:val="21"/>
                <w:lang w:val="en-US" w:eastAsia="zh-CN"/>
              </w:rPr>
              <w:t>0.0003~0.0004</w:t>
            </w:r>
          </w:p>
        </w:tc>
        <w:tc>
          <w:tcPr>
            <w:tcW w:w="1628" w:type="dxa"/>
            <w:vAlign w:val="center"/>
          </w:tcPr>
          <w:p>
            <w:pPr>
              <w:pStyle w:val="26"/>
              <w:rPr>
                <w:kern w:val="2"/>
                <w:szCs w:val="21"/>
                <w:lang w:val="en-US" w:eastAsia="zh-CN"/>
              </w:rPr>
            </w:pPr>
            <w:r>
              <w:rPr>
                <w:kern w:val="2"/>
                <w:szCs w:val="21"/>
                <w:lang w:val="en-US" w:eastAsia="zh-CN"/>
              </w:rPr>
              <w:t>0.0005~0.0006</w:t>
            </w:r>
          </w:p>
        </w:tc>
        <w:tc>
          <w:tcPr>
            <w:tcW w:w="1628" w:type="dxa"/>
            <w:vAlign w:val="center"/>
          </w:tcPr>
          <w:p>
            <w:pPr>
              <w:pStyle w:val="26"/>
              <w:rPr>
                <w:kern w:val="2"/>
                <w:szCs w:val="21"/>
                <w:lang w:val="en-US" w:eastAsia="zh-CN"/>
              </w:rPr>
            </w:pPr>
            <w:r>
              <w:rPr>
                <w:kern w:val="2"/>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26"/>
              <w:rPr>
                <w:kern w:val="2"/>
                <w:szCs w:val="21"/>
                <w:lang w:val="en-US" w:eastAsia="zh-CN"/>
              </w:rPr>
            </w:pPr>
            <w:r>
              <w:rPr>
                <w:rFonts w:hint="eastAsia"/>
                <w:kern w:val="2"/>
                <w:szCs w:val="21"/>
                <w:lang w:val="en-US" w:eastAsia="zh-CN"/>
              </w:rPr>
              <w:t>硫化物</w:t>
            </w:r>
          </w:p>
        </w:tc>
        <w:tc>
          <w:tcPr>
            <w:tcW w:w="1628" w:type="dxa"/>
            <w:vAlign w:val="center"/>
          </w:tcPr>
          <w:p>
            <w:pPr>
              <w:pStyle w:val="26"/>
              <w:rPr>
                <w:kern w:val="2"/>
                <w:szCs w:val="21"/>
                <w:lang w:val="en-US" w:eastAsia="zh-CN"/>
              </w:rPr>
            </w:pPr>
            <w:r>
              <w:rPr>
                <w:kern w:val="2"/>
                <w:szCs w:val="21"/>
                <w:lang w:val="en-US" w:eastAsia="zh-CN"/>
              </w:rPr>
              <w:t>0.19~0.22</w:t>
            </w:r>
          </w:p>
        </w:tc>
        <w:tc>
          <w:tcPr>
            <w:tcW w:w="1628" w:type="dxa"/>
            <w:vAlign w:val="center"/>
          </w:tcPr>
          <w:p>
            <w:pPr>
              <w:pStyle w:val="26"/>
              <w:rPr>
                <w:kern w:val="2"/>
                <w:szCs w:val="21"/>
                <w:lang w:val="en-US" w:eastAsia="zh-CN"/>
              </w:rPr>
            </w:pPr>
            <w:r>
              <w:rPr>
                <w:kern w:val="2"/>
                <w:szCs w:val="21"/>
                <w:lang w:val="en-US" w:eastAsia="zh-CN"/>
              </w:rPr>
              <w:t>0.005ND</w:t>
            </w:r>
          </w:p>
        </w:tc>
        <w:tc>
          <w:tcPr>
            <w:tcW w:w="1628" w:type="dxa"/>
            <w:vAlign w:val="center"/>
          </w:tcPr>
          <w:p>
            <w:pPr>
              <w:pStyle w:val="26"/>
              <w:rPr>
                <w:kern w:val="2"/>
                <w:szCs w:val="21"/>
                <w:lang w:val="en-US" w:eastAsia="zh-CN"/>
              </w:rPr>
            </w:pPr>
            <w:r>
              <w:rPr>
                <w:kern w:val="2"/>
                <w:szCs w:val="21"/>
                <w:lang w:val="en-US" w:eastAsia="zh-CN"/>
              </w:rPr>
              <w:t>0.005ND</w:t>
            </w:r>
          </w:p>
        </w:tc>
        <w:tc>
          <w:tcPr>
            <w:tcW w:w="1628" w:type="dxa"/>
            <w:vAlign w:val="center"/>
          </w:tcPr>
          <w:p>
            <w:pPr>
              <w:pStyle w:val="26"/>
              <w:rPr>
                <w:kern w:val="2"/>
                <w:szCs w:val="21"/>
                <w:lang w:val="en-US" w:eastAsia="zh-CN"/>
              </w:rPr>
            </w:pPr>
            <w:r>
              <w:rPr>
                <w:kern w:val="2"/>
                <w:szCs w:val="21"/>
                <w:lang w:val="en-US" w:eastAsia="zh-CN"/>
              </w:rPr>
              <w:t>0.005ND</w:t>
            </w:r>
          </w:p>
        </w:tc>
        <w:tc>
          <w:tcPr>
            <w:tcW w:w="1628" w:type="dxa"/>
            <w:vAlign w:val="center"/>
          </w:tcPr>
          <w:p>
            <w:pPr>
              <w:pStyle w:val="26"/>
              <w:rPr>
                <w:kern w:val="2"/>
                <w:szCs w:val="21"/>
                <w:lang w:val="en-US" w:eastAsia="zh-CN"/>
              </w:rPr>
            </w:pPr>
            <w:r>
              <w:rPr>
                <w:kern w:val="2"/>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26"/>
              <w:rPr>
                <w:kern w:val="2"/>
                <w:szCs w:val="21"/>
                <w:lang w:val="en-US" w:eastAsia="zh-CN"/>
              </w:rPr>
            </w:pPr>
            <w:r>
              <w:rPr>
                <w:kern w:val="2"/>
                <w:szCs w:val="21"/>
                <w:lang w:val="en-US" w:eastAsia="zh-CN"/>
              </w:rPr>
              <w:t>LAS</w:t>
            </w:r>
          </w:p>
        </w:tc>
        <w:tc>
          <w:tcPr>
            <w:tcW w:w="1628" w:type="dxa"/>
          </w:tcPr>
          <w:p>
            <w:pPr>
              <w:pStyle w:val="26"/>
              <w:rPr>
                <w:kern w:val="2"/>
                <w:szCs w:val="21"/>
                <w:lang w:val="en-US" w:eastAsia="zh-CN"/>
              </w:rPr>
            </w:pPr>
            <w:r>
              <w:rPr>
                <w:kern w:val="2"/>
                <w:szCs w:val="21"/>
                <w:lang w:val="en-US" w:eastAsia="zh-CN"/>
              </w:rPr>
              <w:t>0.19~0.22</w:t>
            </w:r>
          </w:p>
        </w:tc>
        <w:tc>
          <w:tcPr>
            <w:tcW w:w="1628" w:type="dxa"/>
          </w:tcPr>
          <w:p>
            <w:pPr>
              <w:pStyle w:val="26"/>
              <w:rPr>
                <w:kern w:val="2"/>
                <w:szCs w:val="21"/>
                <w:lang w:val="en-US" w:eastAsia="zh-CN"/>
              </w:rPr>
            </w:pPr>
            <w:r>
              <w:rPr>
                <w:kern w:val="2"/>
                <w:szCs w:val="21"/>
                <w:lang w:val="en-US" w:eastAsia="zh-CN"/>
              </w:rPr>
              <w:t>0.17~0.19</w:t>
            </w:r>
          </w:p>
        </w:tc>
        <w:tc>
          <w:tcPr>
            <w:tcW w:w="1628" w:type="dxa"/>
          </w:tcPr>
          <w:p>
            <w:pPr>
              <w:pStyle w:val="26"/>
              <w:rPr>
                <w:kern w:val="2"/>
                <w:szCs w:val="21"/>
                <w:lang w:val="en-US" w:eastAsia="zh-CN"/>
              </w:rPr>
            </w:pPr>
            <w:r>
              <w:rPr>
                <w:kern w:val="2"/>
                <w:szCs w:val="21"/>
                <w:lang w:val="en-US" w:eastAsia="zh-CN"/>
              </w:rPr>
              <w:t>0.17~0.18</w:t>
            </w:r>
          </w:p>
        </w:tc>
        <w:tc>
          <w:tcPr>
            <w:tcW w:w="1628" w:type="dxa"/>
          </w:tcPr>
          <w:p>
            <w:pPr>
              <w:pStyle w:val="26"/>
              <w:rPr>
                <w:kern w:val="2"/>
                <w:szCs w:val="21"/>
                <w:lang w:val="en-US" w:eastAsia="zh-CN"/>
              </w:rPr>
            </w:pPr>
            <w:r>
              <w:rPr>
                <w:kern w:val="2"/>
                <w:szCs w:val="21"/>
                <w:lang w:val="en-US" w:eastAsia="zh-CN"/>
              </w:rPr>
              <w:t>0.16~0.18</w:t>
            </w:r>
          </w:p>
        </w:tc>
        <w:tc>
          <w:tcPr>
            <w:tcW w:w="1628" w:type="dxa"/>
          </w:tcPr>
          <w:p>
            <w:pPr>
              <w:pStyle w:val="26"/>
              <w:rPr>
                <w:kern w:val="2"/>
                <w:szCs w:val="21"/>
                <w:lang w:val="en-US" w:eastAsia="zh-CN"/>
              </w:rPr>
            </w:pPr>
            <w:r>
              <w:rPr>
                <w:kern w:val="2"/>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26"/>
              <w:rPr>
                <w:kern w:val="2"/>
                <w:szCs w:val="21"/>
                <w:lang w:val="en-US" w:eastAsia="zh-CN"/>
              </w:rPr>
            </w:pPr>
            <w:r>
              <w:rPr>
                <w:rFonts w:hint="eastAsia"/>
                <w:kern w:val="2"/>
                <w:szCs w:val="21"/>
                <w:lang w:val="en-US" w:eastAsia="zh-CN"/>
              </w:rPr>
              <w:t>六价铬</w:t>
            </w:r>
          </w:p>
        </w:tc>
        <w:tc>
          <w:tcPr>
            <w:tcW w:w="1628" w:type="dxa"/>
          </w:tcPr>
          <w:p>
            <w:pPr>
              <w:pStyle w:val="26"/>
              <w:rPr>
                <w:kern w:val="2"/>
                <w:szCs w:val="21"/>
                <w:lang w:val="en-US" w:eastAsia="zh-CN"/>
              </w:rPr>
            </w:pPr>
            <w:r>
              <w:rPr>
                <w:kern w:val="2"/>
                <w:szCs w:val="21"/>
                <w:lang w:val="en-US" w:eastAsia="zh-CN"/>
              </w:rPr>
              <w:t>0.028~0.037</w:t>
            </w:r>
          </w:p>
        </w:tc>
        <w:tc>
          <w:tcPr>
            <w:tcW w:w="1628" w:type="dxa"/>
          </w:tcPr>
          <w:p>
            <w:pPr>
              <w:pStyle w:val="26"/>
              <w:rPr>
                <w:kern w:val="2"/>
                <w:szCs w:val="21"/>
                <w:lang w:val="en-US" w:eastAsia="zh-CN"/>
              </w:rPr>
            </w:pPr>
            <w:r>
              <w:rPr>
                <w:kern w:val="2"/>
                <w:szCs w:val="21"/>
                <w:lang w:val="en-US" w:eastAsia="zh-CN"/>
              </w:rPr>
              <w:t>0.033~0.041</w:t>
            </w:r>
          </w:p>
        </w:tc>
        <w:tc>
          <w:tcPr>
            <w:tcW w:w="1628" w:type="dxa"/>
          </w:tcPr>
          <w:p>
            <w:pPr>
              <w:pStyle w:val="26"/>
              <w:rPr>
                <w:kern w:val="2"/>
                <w:szCs w:val="21"/>
                <w:lang w:val="en-US" w:eastAsia="zh-CN"/>
              </w:rPr>
            </w:pPr>
            <w:r>
              <w:rPr>
                <w:kern w:val="2"/>
                <w:szCs w:val="21"/>
                <w:lang w:val="en-US" w:eastAsia="zh-CN"/>
              </w:rPr>
              <w:t>0.044~0.083</w:t>
            </w:r>
          </w:p>
        </w:tc>
        <w:tc>
          <w:tcPr>
            <w:tcW w:w="1628" w:type="dxa"/>
          </w:tcPr>
          <w:p>
            <w:pPr>
              <w:pStyle w:val="26"/>
              <w:rPr>
                <w:kern w:val="2"/>
                <w:szCs w:val="21"/>
                <w:lang w:val="en-US" w:eastAsia="zh-CN"/>
              </w:rPr>
            </w:pPr>
            <w:r>
              <w:rPr>
                <w:kern w:val="2"/>
                <w:szCs w:val="21"/>
                <w:lang w:val="en-US" w:eastAsia="zh-CN"/>
              </w:rPr>
              <w:t>0.031~0.037</w:t>
            </w:r>
          </w:p>
        </w:tc>
        <w:tc>
          <w:tcPr>
            <w:tcW w:w="1628" w:type="dxa"/>
          </w:tcPr>
          <w:p>
            <w:pPr>
              <w:pStyle w:val="26"/>
              <w:rPr>
                <w:kern w:val="2"/>
                <w:szCs w:val="21"/>
                <w:lang w:val="en-US" w:eastAsia="zh-CN"/>
              </w:rPr>
            </w:pPr>
            <w:r>
              <w:rPr>
                <w:kern w:val="2"/>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26"/>
              <w:rPr>
                <w:kern w:val="2"/>
                <w:szCs w:val="21"/>
                <w:lang w:val="en-US" w:eastAsia="zh-CN"/>
              </w:rPr>
            </w:pPr>
            <w:r>
              <w:rPr>
                <w:rFonts w:hint="eastAsia"/>
                <w:kern w:val="2"/>
                <w:szCs w:val="21"/>
                <w:lang w:val="en-US" w:eastAsia="zh-CN"/>
              </w:rPr>
              <w:t>色度</w:t>
            </w:r>
          </w:p>
        </w:tc>
        <w:tc>
          <w:tcPr>
            <w:tcW w:w="1628" w:type="dxa"/>
          </w:tcPr>
          <w:p>
            <w:pPr>
              <w:pStyle w:val="26"/>
              <w:rPr>
                <w:kern w:val="2"/>
                <w:szCs w:val="21"/>
                <w:lang w:val="en-US" w:eastAsia="zh-CN"/>
              </w:rPr>
            </w:pPr>
            <w:r>
              <w:rPr>
                <w:kern w:val="2"/>
                <w:szCs w:val="21"/>
                <w:lang w:val="en-US" w:eastAsia="zh-CN"/>
              </w:rPr>
              <w:t>15~15</w:t>
            </w:r>
          </w:p>
        </w:tc>
        <w:tc>
          <w:tcPr>
            <w:tcW w:w="1628" w:type="dxa"/>
          </w:tcPr>
          <w:p>
            <w:pPr>
              <w:pStyle w:val="26"/>
              <w:rPr>
                <w:kern w:val="2"/>
                <w:szCs w:val="21"/>
                <w:lang w:val="en-US" w:eastAsia="zh-CN"/>
              </w:rPr>
            </w:pPr>
            <w:r>
              <w:rPr>
                <w:kern w:val="2"/>
                <w:szCs w:val="21"/>
                <w:lang w:val="en-US" w:eastAsia="zh-CN"/>
              </w:rPr>
              <w:t>5~5</w:t>
            </w:r>
          </w:p>
        </w:tc>
        <w:tc>
          <w:tcPr>
            <w:tcW w:w="1628" w:type="dxa"/>
          </w:tcPr>
          <w:p>
            <w:pPr>
              <w:pStyle w:val="26"/>
              <w:rPr>
                <w:kern w:val="2"/>
                <w:szCs w:val="21"/>
                <w:lang w:val="en-US" w:eastAsia="zh-CN"/>
              </w:rPr>
            </w:pPr>
            <w:r>
              <w:rPr>
                <w:kern w:val="2"/>
                <w:szCs w:val="21"/>
                <w:lang w:val="en-US" w:eastAsia="zh-CN"/>
              </w:rPr>
              <w:t>5~5</w:t>
            </w:r>
          </w:p>
        </w:tc>
        <w:tc>
          <w:tcPr>
            <w:tcW w:w="1628" w:type="dxa"/>
          </w:tcPr>
          <w:p>
            <w:pPr>
              <w:pStyle w:val="26"/>
              <w:rPr>
                <w:kern w:val="2"/>
                <w:szCs w:val="21"/>
                <w:lang w:val="en-US" w:eastAsia="zh-CN"/>
              </w:rPr>
            </w:pPr>
            <w:r>
              <w:rPr>
                <w:kern w:val="2"/>
                <w:szCs w:val="21"/>
                <w:lang w:val="en-US" w:eastAsia="zh-CN"/>
              </w:rPr>
              <w:t>5~5</w:t>
            </w:r>
          </w:p>
        </w:tc>
        <w:tc>
          <w:tcPr>
            <w:tcW w:w="1628" w:type="dxa"/>
          </w:tcPr>
          <w:p>
            <w:pPr>
              <w:pStyle w:val="26"/>
              <w:rPr>
                <w:kern w:val="2"/>
                <w:szCs w:val="21"/>
                <w:lang w:val="en-US" w:eastAsia="zh-CN"/>
              </w:rPr>
            </w:pPr>
            <w:r>
              <w:rPr>
                <w:kern w:val="2"/>
                <w:szCs w:val="21"/>
                <w:lang w:val="en-US" w:eastAsia="zh-CN"/>
              </w:rPr>
              <w:t>/</w:t>
            </w:r>
          </w:p>
        </w:tc>
      </w:tr>
    </w:tbl>
    <w:p>
      <w:pPr>
        <w:ind w:firstLine="480"/>
      </w:pPr>
      <w:r>
        <w:rPr>
          <w:rFonts w:hint="eastAsia"/>
        </w:rPr>
        <w:t>由上表可知，除</w:t>
      </w:r>
      <w:r>
        <w:t>W1</w:t>
      </w:r>
      <w:r>
        <w:rPr>
          <w:rFonts w:hint="eastAsia"/>
        </w:rPr>
        <w:t>监测点</w:t>
      </w:r>
      <w:r>
        <w:t>BOD</w:t>
      </w:r>
      <w:r>
        <w:rPr>
          <w:vertAlign w:val="subscript"/>
        </w:rPr>
        <w:t>5</w:t>
      </w:r>
      <w:r>
        <w:rPr>
          <w:rFonts w:hint="eastAsia"/>
        </w:rPr>
        <w:t>外，</w:t>
      </w:r>
      <w:r>
        <w:t>4</w:t>
      </w:r>
      <w:r>
        <w:rPr>
          <w:rFonts w:hint="eastAsia"/>
        </w:rPr>
        <w:t>个监测点的其他监测因子均达到了《地表水环境质量标准》（</w:t>
      </w:r>
      <w:r>
        <w:t>GB3838-2002</w:t>
      </w:r>
      <w:r>
        <w:rPr>
          <w:rFonts w:hint="eastAsia"/>
        </w:rPr>
        <w:t>）中Ⅲ类标准限值。</w:t>
      </w:r>
    </w:p>
    <w:p>
      <w:pPr>
        <w:pStyle w:val="4"/>
      </w:pPr>
      <w:r>
        <w:rPr>
          <w:rFonts w:hint="eastAsia"/>
        </w:rPr>
        <w:t>地下水环境质量现状及评价</w:t>
      </w:r>
    </w:p>
    <w:p>
      <w:pPr>
        <w:ind w:firstLine="480"/>
      </w:pPr>
      <w:r>
        <w:rPr>
          <w:rFonts w:hint="eastAsia"/>
        </w:rPr>
        <w:t>为了解项目评价区域地下水环境质量现状，本次环评委托了岳阳市衡润检测有限公司对项目所在地地下水进行了检测。</w:t>
      </w:r>
    </w:p>
    <w:p>
      <w:pPr>
        <w:spacing w:line="520" w:lineRule="exact"/>
        <w:ind w:firstLine="480"/>
        <w:jc w:val="left"/>
      </w:pPr>
      <w:r>
        <w:rPr>
          <w:rFonts w:hint="eastAsia"/>
        </w:rPr>
        <w:t>（</w:t>
      </w:r>
      <w:r>
        <w:t>1</w:t>
      </w:r>
      <w:r>
        <w:rPr>
          <w:rFonts w:hint="eastAsia"/>
        </w:rPr>
        <w:t>）监测点位：共设</w:t>
      </w:r>
      <w:r>
        <w:t>5</w:t>
      </w:r>
      <w:r>
        <w:rPr>
          <w:rFonts w:hint="eastAsia"/>
        </w:rPr>
        <w:t>个监测点，相关监测点见表</w:t>
      </w:r>
      <w:r>
        <w:t>5.2-7</w:t>
      </w:r>
      <w:r>
        <w:rPr>
          <w:rFonts w:hint="eastAsia"/>
        </w:rPr>
        <w:t>。</w:t>
      </w:r>
    </w:p>
    <w:p>
      <w:pPr>
        <w:pStyle w:val="26"/>
      </w:pPr>
      <w:r>
        <w:rPr>
          <w:rFonts w:hint="eastAsia"/>
        </w:rPr>
        <w:t>表</w:t>
      </w:r>
      <w:r>
        <w:t xml:space="preserve">5.2-7 </w:t>
      </w:r>
      <w:r>
        <w:rPr>
          <w:rFonts w:hint="eastAsia"/>
        </w:rPr>
        <w:t>地下水监测点</w:t>
      </w:r>
    </w:p>
    <w:tbl>
      <w:tblPr>
        <w:tblStyle w:val="23"/>
        <w:tblW w:w="907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2445"/>
        <w:gridCol w:w="2734"/>
        <w:gridCol w:w="22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624" w:type="dxa"/>
            <w:tcBorders>
              <w:top w:val="single" w:color="auto" w:sz="12" w:space="0"/>
            </w:tcBorders>
            <w:vAlign w:val="center"/>
          </w:tcPr>
          <w:p>
            <w:pPr>
              <w:pStyle w:val="26"/>
              <w:rPr>
                <w:kern w:val="2"/>
                <w:szCs w:val="21"/>
                <w:lang w:val="en-US" w:eastAsia="zh-CN"/>
              </w:rPr>
            </w:pPr>
            <w:r>
              <w:rPr>
                <w:rFonts w:hint="eastAsia"/>
                <w:kern w:val="2"/>
                <w:szCs w:val="21"/>
                <w:lang w:val="en-US" w:eastAsia="zh-CN"/>
              </w:rPr>
              <w:t>编号</w:t>
            </w:r>
          </w:p>
        </w:tc>
        <w:tc>
          <w:tcPr>
            <w:tcW w:w="2445" w:type="dxa"/>
            <w:tcBorders>
              <w:top w:val="single" w:color="auto" w:sz="12" w:space="0"/>
            </w:tcBorders>
            <w:vAlign w:val="center"/>
          </w:tcPr>
          <w:p>
            <w:pPr>
              <w:pStyle w:val="26"/>
              <w:rPr>
                <w:kern w:val="2"/>
                <w:szCs w:val="21"/>
                <w:lang w:val="en-US" w:eastAsia="zh-CN"/>
              </w:rPr>
            </w:pPr>
            <w:r>
              <w:rPr>
                <w:rFonts w:hint="eastAsia"/>
                <w:kern w:val="2"/>
                <w:szCs w:val="21"/>
                <w:lang w:val="en-US" w:eastAsia="zh-CN"/>
              </w:rPr>
              <w:t>采样点</w:t>
            </w:r>
          </w:p>
        </w:tc>
        <w:tc>
          <w:tcPr>
            <w:tcW w:w="2734" w:type="dxa"/>
            <w:tcBorders>
              <w:top w:val="single" w:color="auto" w:sz="12" w:space="0"/>
            </w:tcBorders>
            <w:vAlign w:val="center"/>
          </w:tcPr>
          <w:p>
            <w:pPr>
              <w:pStyle w:val="26"/>
              <w:rPr>
                <w:kern w:val="2"/>
                <w:szCs w:val="21"/>
                <w:lang w:val="en-US" w:eastAsia="zh-CN"/>
              </w:rPr>
            </w:pPr>
            <w:r>
              <w:rPr>
                <w:rFonts w:hint="eastAsia"/>
                <w:kern w:val="2"/>
                <w:szCs w:val="21"/>
                <w:lang w:val="en-US" w:eastAsia="zh-CN"/>
              </w:rPr>
              <w:t>方位</w:t>
            </w:r>
          </w:p>
        </w:tc>
        <w:tc>
          <w:tcPr>
            <w:tcW w:w="2269" w:type="dxa"/>
            <w:tcBorders>
              <w:top w:val="single" w:color="auto" w:sz="12" w:space="0"/>
            </w:tcBorders>
            <w:vAlign w:val="center"/>
          </w:tcPr>
          <w:p>
            <w:pPr>
              <w:pStyle w:val="26"/>
              <w:rPr>
                <w:kern w:val="2"/>
                <w:szCs w:val="21"/>
                <w:lang w:val="en-US" w:eastAsia="zh-CN"/>
              </w:rPr>
            </w:pPr>
            <w:r>
              <w:rPr>
                <w:rFonts w:hint="eastAsia"/>
                <w:kern w:val="2"/>
                <w:szCs w:val="21"/>
                <w:lang w:val="en-US" w:eastAsia="zh-CN"/>
              </w:rPr>
              <w:t>距项目地距离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4" w:type="dxa"/>
            <w:vAlign w:val="center"/>
          </w:tcPr>
          <w:p>
            <w:pPr>
              <w:pStyle w:val="26"/>
              <w:rPr>
                <w:kern w:val="2"/>
                <w:szCs w:val="21"/>
                <w:lang w:val="en-US" w:eastAsia="zh-CN"/>
              </w:rPr>
            </w:pPr>
            <w:r>
              <w:rPr>
                <w:kern w:val="2"/>
                <w:szCs w:val="21"/>
                <w:lang w:val="en-US" w:eastAsia="zh-CN"/>
              </w:rPr>
              <w:t>D1</w:t>
            </w:r>
          </w:p>
        </w:tc>
        <w:tc>
          <w:tcPr>
            <w:tcW w:w="2445" w:type="dxa"/>
            <w:vAlign w:val="center"/>
          </w:tcPr>
          <w:p>
            <w:pPr>
              <w:pStyle w:val="26"/>
              <w:rPr>
                <w:kern w:val="2"/>
                <w:szCs w:val="21"/>
                <w:lang w:val="en-US" w:eastAsia="zh-CN"/>
              </w:rPr>
            </w:pPr>
            <w:r>
              <w:rPr>
                <w:rFonts w:hint="eastAsia"/>
                <w:kern w:val="2"/>
                <w:szCs w:val="21"/>
                <w:lang w:val="en-US" w:eastAsia="zh-CN"/>
              </w:rPr>
              <w:t>青山寺社区居民点</w:t>
            </w:r>
          </w:p>
        </w:tc>
        <w:tc>
          <w:tcPr>
            <w:tcW w:w="2734" w:type="dxa"/>
            <w:vAlign w:val="center"/>
          </w:tcPr>
          <w:p>
            <w:pPr>
              <w:pStyle w:val="26"/>
              <w:rPr>
                <w:kern w:val="2"/>
                <w:szCs w:val="21"/>
                <w:lang w:val="en-US" w:eastAsia="zh-CN"/>
              </w:rPr>
            </w:pPr>
            <w:r>
              <w:rPr>
                <w:kern w:val="2"/>
                <w:szCs w:val="21"/>
                <w:lang w:val="en-US" w:eastAsia="zh-CN"/>
              </w:rPr>
              <w:t>N</w:t>
            </w:r>
          </w:p>
        </w:tc>
        <w:tc>
          <w:tcPr>
            <w:tcW w:w="2269" w:type="dxa"/>
            <w:vAlign w:val="center"/>
          </w:tcPr>
          <w:p>
            <w:pPr>
              <w:pStyle w:val="26"/>
              <w:rPr>
                <w:kern w:val="2"/>
                <w:szCs w:val="21"/>
                <w:lang w:val="en-US" w:eastAsia="zh-CN"/>
              </w:rPr>
            </w:pPr>
            <w:r>
              <w:rPr>
                <w:kern w:val="2"/>
                <w:szCs w:val="21"/>
                <w:lang w:val="en-US" w:eastAsia="zh-CN"/>
              </w:rPr>
              <w:t>500m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4" w:type="dxa"/>
            <w:vAlign w:val="center"/>
          </w:tcPr>
          <w:p>
            <w:pPr>
              <w:pStyle w:val="26"/>
              <w:rPr>
                <w:kern w:val="2"/>
                <w:szCs w:val="21"/>
                <w:lang w:val="en-US" w:eastAsia="zh-CN"/>
              </w:rPr>
            </w:pPr>
            <w:r>
              <w:rPr>
                <w:kern w:val="2"/>
                <w:szCs w:val="21"/>
                <w:lang w:val="en-US" w:eastAsia="zh-CN"/>
              </w:rPr>
              <w:t>D2</w:t>
            </w:r>
          </w:p>
        </w:tc>
        <w:tc>
          <w:tcPr>
            <w:tcW w:w="2445" w:type="dxa"/>
            <w:vAlign w:val="center"/>
          </w:tcPr>
          <w:p>
            <w:pPr>
              <w:pStyle w:val="26"/>
              <w:rPr>
                <w:kern w:val="2"/>
                <w:szCs w:val="21"/>
                <w:lang w:val="en-US" w:eastAsia="zh-CN"/>
              </w:rPr>
            </w:pPr>
            <w:r>
              <w:rPr>
                <w:rFonts w:hint="eastAsia"/>
                <w:kern w:val="2"/>
                <w:szCs w:val="21"/>
                <w:lang w:val="en-US" w:eastAsia="zh-CN"/>
              </w:rPr>
              <w:t>项目场地内</w:t>
            </w:r>
          </w:p>
        </w:tc>
        <w:tc>
          <w:tcPr>
            <w:tcW w:w="2734" w:type="dxa"/>
            <w:vAlign w:val="center"/>
          </w:tcPr>
          <w:p>
            <w:pPr>
              <w:pStyle w:val="26"/>
              <w:rPr>
                <w:kern w:val="2"/>
                <w:szCs w:val="21"/>
                <w:lang w:val="en-US" w:eastAsia="zh-CN"/>
              </w:rPr>
            </w:pPr>
            <w:r>
              <w:rPr>
                <w:kern w:val="2"/>
                <w:szCs w:val="21"/>
                <w:lang w:val="en-US" w:eastAsia="zh-CN"/>
              </w:rPr>
              <w:t>--</w:t>
            </w:r>
          </w:p>
        </w:tc>
        <w:tc>
          <w:tcPr>
            <w:tcW w:w="2269" w:type="dxa"/>
            <w:vAlign w:val="center"/>
          </w:tcPr>
          <w:p>
            <w:pPr>
              <w:pStyle w:val="26"/>
              <w:rPr>
                <w:kern w:val="2"/>
                <w:szCs w:val="21"/>
                <w:lang w:val="en-US" w:eastAsia="zh-CN"/>
              </w:rPr>
            </w:pPr>
            <w:r>
              <w:rPr>
                <w:kern w:val="2"/>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4" w:type="dxa"/>
            <w:vAlign w:val="center"/>
          </w:tcPr>
          <w:p>
            <w:pPr>
              <w:pStyle w:val="26"/>
              <w:rPr>
                <w:kern w:val="2"/>
                <w:szCs w:val="21"/>
                <w:lang w:val="en-US" w:eastAsia="zh-CN"/>
              </w:rPr>
            </w:pPr>
            <w:r>
              <w:rPr>
                <w:kern w:val="2"/>
                <w:szCs w:val="21"/>
                <w:lang w:val="en-US" w:eastAsia="zh-CN"/>
              </w:rPr>
              <w:t>D3</w:t>
            </w:r>
          </w:p>
        </w:tc>
        <w:tc>
          <w:tcPr>
            <w:tcW w:w="2445" w:type="dxa"/>
            <w:vAlign w:val="center"/>
          </w:tcPr>
          <w:p>
            <w:pPr>
              <w:pStyle w:val="26"/>
              <w:rPr>
                <w:kern w:val="2"/>
                <w:szCs w:val="21"/>
                <w:lang w:val="en-US" w:eastAsia="zh-CN"/>
              </w:rPr>
            </w:pPr>
            <w:r>
              <w:rPr>
                <w:rFonts w:hint="eastAsia"/>
                <w:kern w:val="2"/>
                <w:szCs w:val="21"/>
                <w:lang w:val="en-US" w:eastAsia="zh-CN"/>
              </w:rPr>
              <w:t>小边山社区居民点</w:t>
            </w:r>
          </w:p>
        </w:tc>
        <w:tc>
          <w:tcPr>
            <w:tcW w:w="2734" w:type="dxa"/>
            <w:vAlign w:val="center"/>
          </w:tcPr>
          <w:p>
            <w:pPr>
              <w:pStyle w:val="26"/>
              <w:rPr>
                <w:kern w:val="2"/>
                <w:szCs w:val="21"/>
                <w:lang w:val="en-US" w:eastAsia="zh-CN"/>
              </w:rPr>
            </w:pPr>
            <w:r>
              <w:rPr>
                <w:kern w:val="2"/>
                <w:szCs w:val="21"/>
                <w:lang w:val="en-US" w:eastAsia="zh-CN"/>
              </w:rPr>
              <w:t>W</w:t>
            </w:r>
          </w:p>
        </w:tc>
        <w:tc>
          <w:tcPr>
            <w:tcW w:w="2269" w:type="dxa"/>
            <w:vAlign w:val="center"/>
          </w:tcPr>
          <w:p>
            <w:pPr>
              <w:pStyle w:val="26"/>
              <w:rPr>
                <w:kern w:val="2"/>
                <w:szCs w:val="21"/>
                <w:lang w:val="en-US" w:eastAsia="zh-CN"/>
              </w:rPr>
            </w:pPr>
            <w:r>
              <w:rPr>
                <w:kern w:val="2"/>
                <w:szCs w:val="21"/>
                <w:lang w:val="en-US" w:eastAsia="zh-CN"/>
              </w:rPr>
              <w:t>500m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4" w:type="dxa"/>
            <w:vAlign w:val="center"/>
          </w:tcPr>
          <w:p>
            <w:pPr>
              <w:pStyle w:val="26"/>
              <w:rPr>
                <w:kern w:val="2"/>
                <w:szCs w:val="21"/>
                <w:lang w:val="en-US" w:eastAsia="zh-CN"/>
              </w:rPr>
            </w:pPr>
            <w:r>
              <w:rPr>
                <w:kern w:val="2"/>
                <w:szCs w:val="21"/>
                <w:lang w:val="en-US" w:eastAsia="zh-CN"/>
              </w:rPr>
              <w:t>D4</w:t>
            </w:r>
          </w:p>
        </w:tc>
        <w:tc>
          <w:tcPr>
            <w:tcW w:w="2445" w:type="dxa"/>
            <w:vAlign w:val="center"/>
          </w:tcPr>
          <w:p>
            <w:pPr>
              <w:pStyle w:val="26"/>
              <w:rPr>
                <w:kern w:val="2"/>
                <w:szCs w:val="21"/>
                <w:lang w:val="en-US" w:eastAsia="zh-CN"/>
              </w:rPr>
            </w:pPr>
            <w:r>
              <w:rPr>
                <w:rFonts w:hint="eastAsia"/>
                <w:kern w:val="2"/>
                <w:szCs w:val="21"/>
                <w:lang w:val="en-US" w:eastAsia="zh-CN"/>
              </w:rPr>
              <w:t>项目场地西侧</w:t>
            </w:r>
            <w:r>
              <w:rPr>
                <w:kern w:val="2"/>
                <w:szCs w:val="21"/>
                <w:lang w:val="en-US" w:eastAsia="zh-CN"/>
              </w:rPr>
              <w:t>500m</w:t>
            </w:r>
          </w:p>
        </w:tc>
        <w:tc>
          <w:tcPr>
            <w:tcW w:w="2734" w:type="dxa"/>
            <w:vAlign w:val="center"/>
          </w:tcPr>
          <w:p>
            <w:pPr>
              <w:pStyle w:val="26"/>
              <w:rPr>
                <w:kern w:val="2"/>
                <w:szCs w:val="21"/>
                <w:lang w:val="en-US" w:eastAsia="zh-CN"/>
              </w:rPr>
            </w:pPr>
            <w:r>
              <w:rPr>
                <w:kern w:val="2"/>
                <w:szCs w:val="21"/>
                <w:lang w:val="en-US" w:eastAsia="zh-CN"/>
              </w:rPr>
              <w:t>W</w:t>
            </w:r>
          </w:p>
        </w:tc>
        <w:tc>
          <w:tcPr>
            <w:tcW w:w="2269" w:type="dxa"/>
            <w:vAlign w:val="center"/>
          </w:tcPr>
          <w:p>
            <w:pPr>
              <w:pStyle w:val="26"/>
              <w:rPr>
                <w:kern w:val="2"/>
                <w:szCs w:val="21"/>
                <w:lang w:val="en-US" w:eastAsia="zh-CN"/>
              </w:rPr>
            </w:pPr>
            <w:r>
              <w:rPr>
                <w:kern w:val="2"/>
                <w:szCs w:val="21"/>
                <w:lang w:val="en-US" w:eastAsia="zh-CN"/>
              </w:rPr>
              <w:t>500m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4" w:type="dxa"/>
            <w:tcBorders>
              <w:bottom w:val="single" w:color="auto" w:sz="12" w:space="0"/>
            </w:tcBorders>
            <w:vAlign w:val="center"/>
          </w:tcPr>
          <w:p>
            <w:pPr>
              <w:pStyle w:val="26"/>
              <w:rPr>
                <w:kern w:val="2"/>
                <w:szCs w:val="21"/>
                <w:lang w:val="en-US" w:eastAsia="zh-CN"/>
              </w:rPr>
            </w:pPr>
            <w:r>
              <w:rPr>
                <w:kern w:val="2"/>
                <w:szCs w:val="21"/>
                <w:lang w:val="en-US" w:eastAsia="zh-CN"/>
              </w:rPr>
              <w:t>D5</w:t>
            </w:r>
          </w:p>
        </w:tc>
        <w:tc>
          <w:tcPr>
            <w:tcW w:w="2445" w:type="dxa"/>
            <w:tcBorders>
              <w:bottom w:val="single" w:color="auto" w:sz="12" w:space="0"/>
            </w:tcBorders>
            <w:vAlign w:val="center"/>
          </w:tcPr>
          <w:p>
            <w:pPr>
              <w:pStyle w:val="26"/>
              <w:rPr>
                <w:kern w:val="2"/>
                <w:szCs w:val="21"/>
                <w:lang w:val="en-US" w:eastAsia="zh-CN"/>
              </w:rPr>
            </w:pPr>
            <w:r>
              <w:rPr>
                <w:rFonts w:hint="eastAsia"/>
                <w:kern w:val="2"/>
                <w:szCs w:val="21"/>
                <w:lang w:val="en-US" w:eastAsia="zh-CN"/>
              </w:rPr>
              <w:t>项目场地东侧</w:t>
            </w:r>
            <w:r>
              <w:rPr>
                <w:kern w:val="2"/>
                <w:szCs w:val="21"/>
                <w:lang w:val="en-US" w:eastAsia="zh-CN"/>
              </w:rPr>
              <w:t>500m</w:t>
            </w:r>
          </w:p>
        </w:tc>
        <w:tc>
          <w:tcPr>
            <w:tcW w:w="2734" w:type="dxa"/>
            <w:tcBorders>
              <w:bottom w:val="single" w:color="auto" w:sz="12" w:space="0"/>
            </w:tcBorders>
            <w:vAlign w:val="center"/>
          </w:tcPr>
          <w:p>
            <w:pPr>
              <w:pStyle w:val="26"/>
              <w:rPr>
                <w:kern w:val="2"/>
                <w:szCs w:val="21"/>
                <w:lang w:val="en-US" w:eastAsia="zh-CN"/>
              </w:rPr>
            </w:pPr>
            <w:r>
              <w:rPr>
                <w:kern w:val="2"/>
                <w:szCs w:val="21"/>
                <w:lang w:val="en-US" w:eastAsia="zh-CN"/>
              </w:rPr>
              <w:t>E</w:t>
            </w:r>
          </w:p>
        </w:tc>
        <w:tc>
          <w:tcPr>
            <w:tcW w:w="2269" w:type="dxa"/>
            <w:tcBorders>
              <w:bottom w:val="single" w:color="auto" w:sz="12" w:space="0"/>
            </w:tcBorders>
            <w:vAlign w:val="center"/>
          </w:tcPr>
          <w:p>
            <w:pPr>
              <w:pStyle w:val="26"/>
              <w:rPr>
                <w:kern w:val="2"/>
                <w:szCs w:val="21"/>
                <w:lang w:val="en-US" w:eastAsia="zh-CN"/>
              </w:rPr>
            </w:pPr>
            <w:r>
              <w:rPr>
                <w:kern w:val="2"/>
                <w:szCs w:val="21"/>
                <w:lang w:val="en-US" w:eastAsia="zh-CN"/>
              </w:rPr>
              <w:t>500m</w:t>
            </w:r>
          </w:p>
        </w:tc>
      </w:tr>
    </w:tbl>
    <w:p>
      <w:pPr>
        <w:ind w:firstLine="480"/>
      </w:pPr>
      <w:r>
        <w:rPr>
          <w:rFonts w:hint="eastAsia"/>
        </w:rPr>
        <w:t>（</w:t>
      </w:r>
      <w:r>
        <w:t>2</w:t>
      </w:r>
      <w:r>
        <w:rPr>
          <w:rFonts w:hint="eastAsia"/>
        </w:rPr>
        <w:t>）监测项目：</w:t>
      </w:r>
      <w:r>
        <w:t>pH</w:t>
      </w:r>
      <w:r>
        <w:rPr>
          <w:rFonts w:hint="eastAsia"/>
        </w:rPr>
        <w:t>、总硬度、氨氮、高锰酸盐指数、色度、六价铬、挥发酚，共</w:t>
      </w:r>
      <w:r>
        <w:t>7</w:t>
      </w:r>
      <w:r>
        <w:rPr>
          <w:rFonts w:hint="eastAsia"/>
        </w:rPr>
        <w:t>项。</w:t>
      </w:r>
    </w:p>
    <w:p>
      <w:pPr>
        <w:ind w:firstLine="480"/>
      </w:pPr>
      <w:r>
        <w:rPr>
          <w:rFonts w:hint="eastAsia"/>
        </w:rPr>
        <w:t>（</w:t>
      </w:r>
      <w:r>
        <w:t>3</w:t>
      </w:r>
      <w:r>
        <w:rPr>
          <w:rFonts w:hint="eastAsia"/>
        </w:rPr>
        <w:t>）采样时间及频率：</w:t>
      </w:r>
      <w:r>
        <w:t>2017</w:t>
      </w:r>
      <w:r>
        <w:rPr>
          <w:rFonts w:hint="eastAsia"/>
        </w:rPr>
        <w:t>年</w:t>
      </w:r>
      <w:r>
        <w:t>7</w:t>
      </w:r>
      <w:r>
        <w:rPr>
          <w:rFonts w:hint="eastAsia"/>
        </w:rPr>
        <w:t>月</w:t>
      </w:r>
      <w:r>
        <w:t>6</w:t>
      </w:r>
      <w:r>
        <w:rPr>
          <w:rFonts w:hint="eastAsia"/>
        </w:rPr>
        <w:t>日</w:t>
      </w:r>
      <w:r>
        <w:t>~7</w:t>
      </w:r>
      <w:r>
        <w:rPr>
          <w:rFonts w:hint="eastAsia"/>
        </w:rPr>
        <w:t>日，每天监测</w:t>
      </w:r>
      <w:r>
        <w:t>1</w:t>
      </w:r>
      <w:r>
        <w:rPr>
          <w:rFonts w:hint="eastAsia"/>
        </w:rPr>
        <w:t>次。</w:t>
      </w:r>
    </w:p>
    <w:p>
      <w:pPr>
        <w:ind w:firstLine="480"/>
      </w:pPr>
      <w:r>
        <w:rPr>
          <w:rFonts w:hint="eastAsia"/>
        </w:rPr>
        <w:t>（</w:t>
      </w:r>
      <w:r>
        <w:t>4</w:t>
      </w:r>
      <w:r>
        <w:rPr>
          <w:rFonts w:hint="eastAsia"/>
        </w:rPr>
        <w:t>）检测方法及依据</w:t>
      </w:r>
    </w:p>
    <w:p>
      <w:pPr>
        <w:pStyle w:val="26"/>
        <w:rPr>
          <w:b/>
          <w:bCs/>
        </w:rPr>
      </w:pPr>
      <w:r>
        <w:rPr>
          <w:rFonts w:hint="eastAsia"/>
          <w:b/>
          <w:bCs/>
        </w:rPr>
        <w:t>表</w:t>
      </w:r>
      <w:r>
        <w:rPr>
          <w:b/>
          <w:bCs/>
        </w:rPr>
        <w:t xml:space="preserve">5.2-8   </w:t>
      </w:r>
      <w:r>
        <w:rPr>
          <w:rFonts w:hint="eastAsia"/>
          <w:b/>
          <w:bCs/>
        </w:rPr>
        <w:t>各监测项目的分析方法</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8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rFonts w:hint="eastAsia"/>
                <w:kern w:val="2"/>
                <w:szCs w:val="21"/>
                <w:lang w:val="en-US" w:eastAsia="zh-CN"/>
              </w:rPr>
              <w:t>监测项目</w:t>
            </w:r>
          </w:p>
        </w:tc>
        <w:tc>
          <w:tcPr>
            <w:tcW w:w="8373" w:type="dxa"/>
            <w:vAlign w:val="center"/>
          </w:tcPr>
          <w:p>
            <w:pPr>
              <w:pStyle w:val="26"/>
              <w:rPr>
                <w:kern w:val="2"/>
                <w:szCs w:val="21"/>
                <w:lang w:val="en-US" w:eastAsia="zh-CN"/>
              </w:rPr>
            </w:pPr>
            <w:r>
              <w:rPr>
                <w:rFonts w:hint="eastAsia"/>
                <w:kern w:val="2"/>
                <w:szCs w:val="21"/>
                <w:lang w:val="en-US" w:eastAsia="zh-CN"/>
              </w:rPr>
              <w:t>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kern w:val="2"/>
                <w:szCs w:val="21"/>
                <w:lang w:val="en-US" w:eastAsia="zh-CN"/>
              </w:rPr>
              <w:t>pH</w:t>
            </w:r>
          </w:p>
        </w:tc>
        <w:tc>
          <w:tcPr>
            <w:tcW w:w="8373" w:type="dxa"/>
            <w:vAlign w:val="center"/>
          </w:tcPr>
          <w:p>
            <w:pPr>
              <w:pStyle w:val="26"/>
              <w:rPr>
                <w:kern w:val="2"/>
                <w:szCs w:val="21"/>
                <w:lang w:val="en-US" w:eastAsia="zh-CN"/>
              </w:rPr>
            </w:pPr>
            <w:r>
              <w:rPr>
                <w:rFonts w:hint="eastAsia"/>
                <w:kern w:val="2"/>
                <w:szCs w:val="21"/>
                <w:lang w:val="en-US" w:eastAsia="zh-CN"/>
              </w:rPr>
              <w:t>《水质</w:t>
            </w:r>
            <w:r>
              <w:rPr>
                <w:kern w:val="2"/>
                <w:szCs w:val="21"/>
                <w:lang w:val="en-US" w:eastAsia="zh-CN"/>
              </w:rPr>
              <w:t xml:space="preserve"> pH</w:t>
            </w:r>
            <w:r>
              <w:rPr>
                <w:rFonts w:hint="eastAsia"/>
                <w:kern w:val="2"/>
                <w:szCs w:val="21"/>
                <w:lang w:val="en-US" w:eastAsia="zh-CN"/>
              </w:rPr>
              <w:t>值的测定玻璃电极法》</w:t>
            </w:r>
            <w:r>
              <w:rPr>
                <w:kern w:val="2"/>
                <w:szCs w:val="21"/>
                <w:lang w:val="en-US" w:eastAsia="zh-CN"/>
              </w:rPr>
              <w:t xml:space="preserve"> GB/T 6920-86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kern w:val="2"/>
                <w:szCs w:val="21"/>
                <w:lang w:val="en-US" w:eastAsia="zh-CN"/>
              </w:rPr>
              <w:t>COD</w:t>
            </w:r>
            <w:r>
              <w:rPr>
                <w:kern w:val="2"/>
                <w:szCs w:val="21"/>
                <w:vertAlign w:val="subscript"/>
                <w:lang w:val="en-US" w:eastAsia="zh-CN"/>
              </w:rPr>
              <w:t>Mn</w:t>
            </w:r>
          </w:p>
        </w:tc>
        <w:tc>
          <w:tcPr>
            <w:tcW w:w="8373" w:type="dxa"/>
            <w:vAlign w:val="center"/>
          </w:tcPr>
          <w:p>
            <w:pPr>
              <w:pStyle w:val="26"/>
              <w:rPr>
                <w:kern w:val="2"/>
                <w:szCs w:val="21"/>
                <w:lang w:val="en-US" w:eastAsia="zh-CN"/>
              </w:rPr>
            </w:pPr>
            <w:r>
              <w:rPr>
                <w:rFonts w:hint="eastAsia"/>
                <w:kern w:val="2"/>
                <w:szCs w:val="21"/>
                <w:lang w:val="en-US" w:eastAsia="zh-CN"/>
              </w:rPr>
              <w:t>《水质　高锰酸盐指数的测定》</w:t>
            </w:r>
            <w:r>
              <w:rPr>
                <w:kern w:val="2"/>
                <w:szCs w:val="21"/>
                <w:lang w:val="en-US" w:eastAsia="zh-CN"/>
              </w:rPr>
              <w:t>GB 11892-1989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kern w:val="2"/>
                <w:szCs w:val="21"/>
                <w:lang w:val="en-US" w:eastAsia="zh-CN"/>
              </w:rPr>
              <w:t>NH</w:t>
            </w:r>
            <w:r>
              <w:rPr>
                <w:kern w:val="2"/>
                <w:szCs w:val="21"/>
                <w:vertAlign w:val="subscript"/>
                <w:lang w:val="en-US" w:eastAsia="zh-CN"/>
              </w:rPr>
              <w:t>3</w:t>
            </w:r>
            <w:r>
              <w:rPr>
                <w:kern w:val="2"/>
                <w:szCs w:val="21"/>
                <w:lang w:val="en-US" w:eastAsia="zh-CN"/>
              </w:rPr>
              <w:t>-N</w:t>
            </w:r>
          </w:p>
        </w:tc>
        <w:tc>
          <w:tcPr>
            <w:tcW w:w="8373" w:type="dxa"/>
            <w:vAlign w:val="center"/>
          </w:tcPr>
          <w:p>
            <w:pPr>
              <w:pStyle w:val="26"/>
              <w:rPr>
                <w:kern w:val="2"/>
                <w:szCs w:val="21"/>
                <w:lang w:val="en-US" w:eastAsia="zh-CN"/>
              </w:rPr>
            </w:pPr>
            <w:r>
              <w:rPr>
                <w:rFonts w:hint="eastAsia"/>
                <w:kern w:val="2"/>
                <w:szCs w:val="21"/>
                <w:lang w:val="en-US" w:eastAsia="zh-CN"/>
              </w:rPr>
              <w:t>《水质氨氮的测定》纳氏试剂光度法</w:t>
            </w:r>
            <w:r>
              <w:rPr>
                <w:kern w:val="2"/>
                <w:szCs w:val="21"/>
                <w:lang w:val="en-US" w:eastAsia="zh-CN"/>
              </w:rPr>
              <w:t xml:space="preserve">HJ535-2009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rFonts w:hint="eastAsia"/>
                <w:kern w:val="2"/>
                <w:szCs w:val="21"/>
                <w:lang w:val="en-US" w:eastAsia="zh-CN"/>
              </w:rPr>
              <w:t>总硬度</w:t>
            </w:r>
          </w:p>
        </w:tc>
        <w:tc>
          <w:tcPr>
            <w:tcW w:w="8373" w:type="dxa"/>
            <w:vAlign w:val="center"/>
          </w:tcPr>
          <w:p>
            <w:pPr>
              <w:pStyle w:val="26"/>
              <w:spacing w:line="240" w:lineRule="auto"/>
              <w:rPr>
                <w:kern w:val="2"/>
                <w:szCs w:val="21"/>
                <w:lang w:val="en-US" w:eastAsia="zh-CN"/>
              </w:rPr>
            </w:pPr>
            <w:r>
              <w:rPr>
                <w:rFonts w:hint="eastAsia"/>
                <w:kern w:val="2"/>
                <w:szCs w:val="21"/>
                <w:lang w:val="en-US" w:eastAsia="zh-CN"/>
              </w:rPr>
              <w:t>《生活饮用水标准检验方法感官和物理性质指标》（</w:t>
            </w:r>
            <w:r>
              <w:rPr>
                <w:kern w:val="2"/>
                <w:szCs w:val="21"/>
                <w:lang w:val="en-US" w:eastAsia="zh-CN"/>
              </w:rPr>
              <w:t>GB/T5750.4-2006 7.1</w:t>
            </w:r>
            <w:r>
              <w:rPr>
                <w:rFonts w:hint="eastAsia"/>
                <w:kern w:val="2"/>
                <w:szCs w:val="21"/>
                <w:lang w:val="en-US" w:eastAsia="zh-CN"/>
              </w:rPr>
              <w:t>）</w:t>
            </w:r>
            <w:r>
              <w:rPr>
                <w:kern w:val="2"/>
                <w:szCs w:val="21"/>
                <w:lang w:val="en-US" w:eastAsia="zh-CN"/>
              </w:rPr>
              <w:t>EDTA</w:t>
            </w:r>
            <w:r>
              <w:rPr>
                <w:rFonts w:hint="eastAsia"/>
                <w:kern w:val="2"/>
                <w:szCs w:val="21"/>
                <w:lang w:val="en-US" w:eastAsia="zh-CN"/>
              </w:rPr>
              <w:t>滴定法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rFonts w:hint="eastAsia"/>
                <w:kern w:val="2"/>
                <w:szCs w:val="21"/>
                <w:lang w:val="en-US" w:eastAsia="zh-CN"/>
              </w:rPr>
              <w:t>挥发酚</w:t>
            </w:r>
          </w:p>
        </w:tc>
        <w:tc>
          <w:tcPr>
            <w:tcW w:w="8373" w:type="dxa"/>
            <w:vAlign w:val="center"/>
          </w:tcPr>
          <w:p>
            <w:pPr>
              <w:pStyle w:val="26"/>
              <w:rPr>
                <w:kern w:val="2"/>
                <w:szCs w:val="21"/>
                <w:lang w:val="en-US" w:eastAsia="zh-CN"/>
              </w:rPr>
            </w:pPr>
            <w:r>
              <w:rPr>
                <w:rFonts w:hint="eastAsia"/>
                <w:kern w:val="2"/>
                <w:szCs w:val="21"/>
                <w:lang w:val="en-US" w:eastAsia="zh-CN"/>
              </w:rPr>
              <w:t>《水质挥发酚的测定</w:t>
            </w:r>
            <w:r>
              <w:rPr>
                <w:kern w:val="2"/>
                <w:szCs w:val="21"/>
                <w:lang w:val="en-US" w:eastAsia="zh-CN"/>
              </w:rPr>
              <w:t xml:space="preserve"> 4-</w:t>
            </w:r>
            <w:r>
              <w:rPr>
                <w:rFonts w:hint="eastAsia"/>
                <w:kern w:val="2"/>
                <w:szCs w:val="21"/>
                <w:lang w:val="en-US" w:eastAsia="zh-CN"/>
              </w:rPr>
              <w:t>氨基安替比林萃取分光光度法》</w:t>
            </w:r>
            <w:r>
              <w:rPr>
                <w:kern w:val="2"/>
                <w:szCs w:val="21"/>
                <w:lang w:val="en-US" w:eastAsia="zh-CN"/>
              </w:rPr>
              <w:t>HJ503-2009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rFonts w:hint="eastAsia"/>
                <w:kern w:val="2"/>
                <w:szCs w:val="21"/>
                <w:lang w:val="en-US" w:eastAsia="zh-CN"/>
              </w:rPr>
              <w:t>六价铬</w:t>
            </w:r>
          </w:p>
        </w:tc>
        <w:tc>
          <w:tcPr>
            <w:tcW w:w="8373" w:type="dxa"/>
            <w:vAlign w:val="center"/>
          </w:tcPr>
          <w:p>
            <w:pPr>
              <w:pStyle w:val="26"/>
              <w:rPr>
                <w:kern w:val="2"/>
                <w:szCs w:val="21"/>
                <w:lang w:val="en-US" w:eastAsia="zh-CN"/>
              </w:rPr>
            </w:pPr>
            <w:r>
              <w:rPr>
                <w:rFonts w:hint="eastAsia"/>
                <w:kern w:val="2"/>
                <w:szCs w:val="21"/>
                <w:lang w:val="en-US" w:eastAsia="zh-CN"/>
              </w:rPr>
              <w:t>《水质六价铬的测定二苯碳酰二肼分光光度法》</w:t>
            </w:r>
            <w:r>
              <w:rPr>
                <w:kern w:val="2"/>
                <w:szCs w:val="21"/>
                <w:lang w:val="en-US" w:eastAsia="zh-CN"/>
              </w:rPr>
              <w:t>GB/T7467-1987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rFonts w:hint="eastAsia"/>
                <w:kern w:val="2"/>
                <w:szCs w:val="21"/>
                <w:lang w:val="en-US" w:eastAsia="zh-CN"/>
              </w:rPr>
              <w:t>色度</w:t>
            </w:r>
          </w:p>
        </w:tc>
        <w:tc>
          <w:tcPr>
            <w:tcW w:w="8373" w:type="dxa"/>
            <w:vAlign w:val="center"/>
          </w:tcPr>
          <w:p>
            <w:pPr>
              <w:pStyle w:val="26"/>
              <w:rPr>
                <w:kern w:val="2"/>
                <w:szCs w:val="21"/>
                <w:lang w:val="en-US" w:eastAsia="zh-CN"/>
              </w:rPr>
            </w:pPr>
            <w:r>
              <w:rPr>
                <w:rFonts w:hint="eastAsia"/>
                <w:kern w:val="2"/>
                <w:szCs w:val="21"/>
                <w:lang w:val="en-US" w:eastAsia="zh-CN"/>
              </w:rPr>
              <w:t>《水质　色度的测定目视比色法》</w:t>
            </w:r>
            <w:r>
              <w:rPr>
                <w:kern w:val="2"/>
                <w:szCs w:val="21"/>
                <w:lang w:val="en-US" w:eastAsia="zh-CN"/>
              </w:rPr>
              <w:t xml:space="preserve"> GB/T11903-1989</w:t>
            </w:r>
          </w:p>
        </w:tc>
      </w:tr>
    </w:tbl>
    <w:p>
      <w:pPr>
        <w:ind w:firstLine="480"/>
      </w:pPr>
      <w:r>
        <w:rPr>
          <w:rFonts w:hint="eastAsia"/>
        </w:rPr>
        <w:t>（</w:t>
      </w:r>
      <w:r>
        <w:t>5</w:t>
      </w:r>
      <w:r>
        <w:rPr>
          <w:rFonts w:hint="eastAsia"/>
        </w:rPr>
        <w:t>）检测结果与评价</w:t>
      </w:r>
    </w:p>
    <w:p>
      <w:pPr>
        <w:ind w:firstLine="480"/>
      </w:pPr>
      <w:r>
        <w:rPr>
          <w:rFonts w:hint="eastAsia"/>
        </w:rPr>
        <w:t>监测结果详见表</w:t>
      </w:r>
      <w:r>
        <w:t>5.2-9</w:t>
      </w:r>
      <w:r>
        <w:rPr>
          <w:rFonts w:hint="eastAsia"/>
        </w:rPr>
        <w:t>。</w:t>
      </w:r>
    </w:p>
    <w:p>
      <w:pPr>
        <w:pStyle w:val="26"/>
        <w:rPr>
          <w:b/>
          <w:bCs/>
        </w:rPr>
      </w:pPr>
      <w:r>
        <w:rPr>
          <w:rFonts w:hint="eastAsia"/>
          <w:b/>
          <w:bCs/>
        </w:rPr>
        <w:t>表</w:t>
      </w:r>
      <w:r>
        <w:rPr>
          <w:b/>
          <w:bCs/>
        </w:rPr>
        <w:t xml:space="preserve">5.2-9  </w:t>
      </w:r>
      <w:r>
        <w:rPr>
          <w:rFonts w:hint="eastAsia"/>
          <w:b/>
          <w:bCs/>
        </w:rPr>
        <w:t>地下水环境质量现状监测结果</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525"/>
        <w:gridCol w:w="1525"/>
        <w:gridCol w:w="1525"/>
        <w:gridCol w:w="1525"/>
        <w:gridCol w:w="1525"/>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101" w:type="dxa"/>
            <w:vMerge w:val="restart"/>
            <w:vAlign w:val="center"/>
          </w:tcPr>
          <w:p>
            <w:pPr>
              <w:pStyle w:val="26"/>
              <w:rPr>
                <w:kern w:val="2"/>
                <w:szCs w:val="21"/>
                <w:lang w:val="en-US" w:eastAsia="zh-CN"/>
              </w:rPr>
            </w:pPr>
            <w:r>
              <w:rPr>
                <w:rFonts w:hint="eastAsia"/>
                <w:kern w:val="2"/>
                <w:szCs w:val="21"/>
                <w:lang w:val="en-US" w:eastAsia="zh-CN"/>
              </w:rPr>
              <w:t>检测因子</w:t>
            </w:r>
          </w:p>
        </w:tc>
        <w:tc>
          <w:tcPr>
            <w:tcW w:w="7625" w:type="dxa"/>
            <w:gridSpan w:val="5"/>
            <w:vAlign w:val="center"/>
          </w:tcPr>
          <w:p>
            <w:pPr>
              <w:pStyle w:val="26"/>
              <w:rPr>
                <w:kern w:val="2"/>
                <w:szCs w:val="21"/>
                <w:lang w:val="en-US" w:eastAsia="zh-CN"/>
              </w:rPr>
            </w:pPr>
            <w:r>
              <w:rPr>
                <w:rFonts w:hint="eastAsia"/>
                <w:kern w:val="2"/>
                <w:szCs w:val="21"/>
                <w:lang w:val="en-US" w:eastAsia="zh-CN"/>
              </w:rPr>
              <w:t>检测结果（单位：</w:t>
            </w:r>
            <w:r>
              <w:rPr>
                <w:kern w:val="2"/>
                <w:szCs w:val="21"/>
                <w:lang w:val="en-US" w:eastAsia="zh-CN"/>
              </w:rPr>
              <w:t>mg/L</w:t>
            </w:r>
            <w:r>
              <w:rPr>
                <w:rFonts w:hint="eastAsia"/>
                <w:kern w:val="2"/>
                <w:szCs w:val="21"/>
                <w:lang w:val="en-US" w:eastAsia="zh-CN"/>
              </w:rPr>
              <w:t>，</w:t>
            </w:r>
            <w:r>
              <w:rPr>
                <w:kern w:val="2"/>
                <w:szCs w:val="21"/>
                <w:lang w:val="en-US" w:eastAsia="zh-CN"/>
              </w:rPr>
              <w:t>pH</w:t>
            </w:r>
            <w:r>
              <w:rPr>
                <w:rFonts w:hint="eastAsia"/>
                <w:kern w:val="2"/>
                <w:szCs w:val="21"/>
                <w:lang w:val="en-US" w:eastAsia="zh-CN"/>
              </w:rPr>
              <w:t>无量纲）</w:t>
            </w:r>
          </w:p>
        </w:tc>
        <w:tc>
          <w:tcPr>
            <w:tcW w:w="1128" w:type="dxa"/>
            <w:vMerge w:val="restart"/>
            <w:vAlign w:val="center"/>
          </w:tcPr>
          <w:p>
            <w:pPr>
              <w:pStyle w:val="26"/>
              <w:rPr>
                <w:kern w:val="2"/>
                <w:szCs w:val="21"/>
                <w:lang w:val="en-US" w:eastAsia="zh-CN"/>
              </w:rPr>
            </w:pPr>
            <w:r>
              <w:rPr>
                <w:rFonts w:hint="eastAsia"/>
                <w:kern w:val="2"/>
                <w:szCs w:val="21"/>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101" w:type="dxa"/>
            <w:vMerge w:val="continue"/>
            <w:vAlign w:val="center"/>
          </w:tcPr>
          <w:p>
            <w:pPr>
              <w:pStyle w:val="26"/>
              <w:rPr>
                <w:kern w:val="2"/>
                <w:szCs w:val="21"/>
                <w:lang w:val="en-US" w:eastAsia="zh-CN"/>
              </w:rPr>
            </w:pPr>
          </w:p>
        </w:tc>
        <w:tc>
          <w:tcPr>
            <w:tcW w:w="1525" w:type="dxa"/>
            <w:vAlign w:val="center"/>
          </w:tcPr>
          <w:p>
            <w:pPr>
              <w:pStyle w:val="26"/>
              <w:rPr>
                <w:kern w:val="2"/>
                <w:szCs w:val="21"/>
                <w:lang w:val="en-US" w:eastAsia="zh-CN"/>
              </w:rPr>
            </w:pPr>
            <w:r>
              <w:rPr>
                <w:kern w:val="2"/>
                <w:szCs w:val="21"/>
                <w:lang w:val="en-US" w:eastAsia="zh-CN"/>
              </w:rPr>
              <w:t>D1</w:t>
            </w:r>
          </w:p>
        </w:tc>
        <w:tc>
          <w:tcPr>
            <w:tcW w:w="1525" w:type="dxa"/>
            <w:vAlign w:val="center"/>
          </w:tcPr>
          <w:p>
            <w:pPr>
              <w:pStyle w:val="26"/>
              <w:rPr>
                <w:kern w:val="2"/>
                <w:szCs w:val="21"/>
                <w:lang w:val="en-US" w:eastAsia="zh-CN"/>
              </w:rPr>
            </w:pPr>
            <w:r>
              <w:rPr>
                <w:kern w:val="2"/>
                <w:szCs w:val="21"/>
                <w:lang w:val="en-US" w:eastAsia="zh-CN"/>
              </w:rPr>
              <w:t>D2</w:t>
            </w:r>
          </w:p>
        </w:tc>
        <w:tc>
          <w:tcPr>
            <w:tcW w:w="1525" w:type="dxa"/>
            <w:vAlign w:val="center"/>
          </w:tcPr>
          <w:p>
            <w:pPr>
              <w:pStyle w:val="26"/>
              <w:rPr>
                <w:kern w:val="2"/>
                <w:szCs w:val="21"/>
                <w:lang w:val="en-US" w:eastAsia="zh-CN"/>
              </w:rPr>
            </w:pPr>
            <w:r>
              <w:rPr>
                <w:kern w:val="2"/>
                <w:szCs w:val="21"/>
                <w:lang w:val="en-US" w:eastAsia="zh-CN"/>
              </w:rPr>
              <w:t>D3</w:t>
            </w:r>
          </w:p>
        </w:tc>
        <w:tc>
          <w:tcPr>
            <w:tcW w:w="1525" w:type="dxa"/>
            <w:vAlign w:val="center"/>
          </w:tcPr>
          <w:p>
            <w:pPr>
              <w:pStyle w:val="26"/>
              <w:rPr>
                <w:kern w:val="2"/>
                <w:szCs w:val="21"/>
                <w:lang w:val="en-US" w:eastAsia="zh-CN"/>
              </w:rPr>
            </w:pPr>
            <w:r>
              <w:rPr>
                <w:kern w:val="2"/>
                <w:szCs w:val="21"/>
                <w:lang w:val="en-US" w:eastAsia="zh-CN"/>
              </w:rPr>
              <w:t>D4</w:t>
            </w:r>
          </w:p>
        </w:tc>
        <w:tc>
          <w:tcPr>
            <w:tcW w:w="1525" w:type="dxa"/>
            <w:vAlign w:val="center"/>
          </w:tcPr>
          <w:p>
            <w:pPr>
              <w:pStyle w:val="26"/>
              <w:rPr>
                <w:kern w:val="2"/>
                <w:szCs w:val="21"/>
                <w:lang w:val="en-US" w:eastAsia="zh-CN"/>
              </w:rPr>
            </w:pPr>
            <w:r>
              <w:rPr>
                <w:kern w:val="2"/>
                <w:szCs w:val="21"/>
                <w:lang w:val="en-US" w:eastAsia="zh-CN"/>
              </w:rPr>
              <w:t>D5</w:t>
            </w:r>
          </w:p>
        </w:tc>
        <w:tc>
          <w:tcPr>
            <w:tcW w:w="1128"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spacing w:line="240" w:lineRule="auto"/>
              <w:ind w:firstLine="0" w:firstLineChars="0"/>
              <w:jc w:val="center"/>
            </w:pPr>
            <w:r>
              <w:t>pH</w:t>
            </w:r>
          </w:p>
        </w:tc>
        <w:tc>
          <w:tcPr>
            <w:tcW w:w="1525" w:type="dxa"/>
            <w:vAlign w:val="center"/>
          </w:tcPr>
          <w:p>
            <w:pPr>
              <w:pStyle w:val="26"/>
              <w:rPr>
                <w:kern w:val="2"/>
                <w:szCs w:val="21"/>
                <w:lang w:val="en-US" w:eastAsia="zh-CN"/>
              </w:rPr>
            </w:pPr>
            <w:r>
              <w:rPr>
                <w:kern w:val="2"/>
                <w:szCs w:val="21"/>
                <w:lang w:val="en-US" w:eastAsia="zh-CN"/>
              </w:rPr>
              <w:t>6.87~6.95</w:t>
            </w:r>
          </w:p>
        </w:tc>
        <w:tc>
          <w:tcPr>
            <w:tcW w:w="1525" w:type="dxa"/>
            <w:vAlign w:val="center"/>
          </w:tcPr>
          <w:p>
            <w:pPr>
              <w:pStyle w:val="26"/>
              <w:rPr>
                <w:kern w:val="2"/>
                <w:szCs w:val="21"/>
                <w:lang w:val="en-US" w:eastAsia="zh-CN"/>
              </w:rPr>
            </w:pPr>
            <w:r>
              <w:rPr>
                <w:kern w:val="2"/>
                <w:szCs w:val="21"/>
                <w:lang w:val="en-US" w:eastAsia="zh-CN"/>
              </w:rPr>
              <w:t>6.52~6.57</w:t>
            </w:r>
          </w:p>
        </w:tc>
        <w:tc>
          <w:tcPr>
            <w:tcW w:w="1525" w:type="dxa"/>
            <w:vAlign w:val="center"/>
          </w:tcPr>
          <w:p>
            <w:pPr>
              <w:pStyle w:val="26"/>
              <w:rPr>
                <w:kern w:val="2"/>
                <w:szCs w:val="21"/>
                <w:lang w:val="en-US" w:eastAsia="zh-CN"/>
              </w:rPr>
            </w:pPr>
            <w:r>
              <w:rPr>
                <w:kern w:val="2"/>
                <w:szCs w:val="21"/>
                <w:lang w:val="en-US" w:eastAsia="zh-CN"/>
              </w:rPr>
              <w:t>6.56~6.61</w:t>
            </w:r>
          </w:p>
        </w:tc>
        <w:tc>
          <w:tcPr>
            <w:tcW w:w="1525" w:type="dxa"/>
            <w:vAlign w:val="center"/>
          </w:tcPr>
          <w:p>
            <w:pPr>
              <w:pStyle w:val="26"/>
              <w:rPr>
                <w:kern w:val="2"/>
                <w:szCs w:val="21"/>
                <w:lang w:val="en-US" w:eastAsia="zh-CN"/>
              </w:rPr>
            </w:pPr>
            <w:r>
              <w:rPr>
                <w:kern w:val="2"/>
                <w:szCs w:val="21"/>
                <w:lang w:val="en-US" w:eastAsia="zh-CN"/>
              </w:rPr>
              <w:t>6.83~6.98</w:t>
            </w:r>
          </w:p>
        </w:tc>
        <w:tc>
          <w:tcPr>
            <w:tcW w:w="1525" w:type="dxa"/>
            <w:vAlign w:val="center"/>
          </w:tcPr>
          <w:p>
            <w:pPr>
              <w:pStyle w:val="26"/>
              <w:rPr>
                <w:kern w:val="2"/>
                <w:szCs w:val="21"/>
                <w:lang w:val="en-US" w:eastAsia="zh-CN"/>
              </w:rPr>
            </w:pPr>
            <w:r>
              <w:rPr>
                <w:kern w:val="2"/>
                <w:szCs w:val="21"/>
                <w:lang w:val="en-US" w:eastAsia="zh-CN"/>
              </w:rPr>
              <w:t>7.12~7.22</w:t>
            </w:r>
          </w:p>
        </w:tc>
        <w:tc>
          <w:tcPr>
            <w:tcW w:w="1128" w:type="dxa"/>
            <w:vAlign w:val="center"/>
          </w:tcPr>
          <w:p>
            <w:pPr>
              <w:pStyle w:val="26"/>
              <w:rPr>
                <w:kern w:val="2"/>
                <w:szCs w:val="21"/>
                <w:lang w:val="en-US" w:eastAsia="zh-CN"/>
              </w:rPr>
            </w:pPr>
            <w:r>
              <w:rPr>
                <w:kern w:val="2"/>
                <w:szCs w:val="21"/>
                <w:lang w:val="en-US" w:eastAsia="zh-CN"/>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spacing w:line="240" w:lineRule="auto"/>
              <w:ind w:firstLine="0" w:firstLineChars="0"/>
              <w:jc w:val="center"/>
            </w:pPr>
            <w:r>
              <w:t>COD</w:t>
            </w:r>
            <w:r>
              <w:rPr>
                <w:vertAlign w:val="subscript"/>
              </w:rPr>
              <w:t>Mn</w:t>
            </w:r>
          </w:p>
        </w:tc>
        <w:tc>
          <w:tcPr>
            <w:tcW w:w="1525" w:type="dxa"/>
            <w:vAlign w:val="center"/>
          </w:tcPr>
          <w:p>
            <w:pPr>
              <w:pStyle w:val="26"/>
              <w:rPr>
                <w:kern w:val="2"/>
                <w:szCs w:val="21"/>
                <w:lang w:val="en-US" w:eastAsia="zh-CN"/>
              </w:rPr>
            </w:pPr>
            <w:r>
              <w:rPr>
                <w:kern w:val="2"/>
                <w:szCs w:val="21"/>
                <w:lang w:val="en-US" w:eastAsia="zh-CN"/>
              </w:rPr>
              <w:t>0.5ND</w:t>
            </w:r>
          </w:p>
        </w:tc>
        <w:tc>
          <w:tcPr>
            <w:tcW w:w="1525" w:type="dxa"/>
            <w:vAlign w:val="center"/>
          </w:tcPr>
          <w:p>
            <w:pPr>
              <w:pStyle w:val="26"/>
              <w:rPr>
                <w:kern w:val="2"/>
                <w:szCs w:val="21"/>
                <w:lang w:val="en-US" w:eastAsia="zh-CN"/>
              </w:rPr>
            </w:pPr>
            <w:r>
              <w:rPr>
                <w:kern w:val="2"/>
                <w:szCs w:val="21"/>
                <w:lang w:val="en-US" w:eastAsia="zh-CN"/>
              </w:rPr>
              <w:t>0.5ND</w:t>
            </w:r>
          </w:p>
        </w:tc>
        <w:tc>
          <w:tcPr>
            <w:tcW w:w="1525" w:type="dxa"/>
            <w:vAlign w:val="center"/>
          </w:tcPr>
          <w:p>
            <w:pPr>
              <w:pStyle w:val="26"/>
              <w:rPr>
                <w:kern w:val="2"/>
                <w:szCs w:val="21"/>
                <w:lang w:val="en-US" w:eastAsia="zh-CN"/>
              </w:rPr>
            </w:pPr>
            <w:r>
              <w:rPr>
                <w:kern w:val="2"/>
                <w:szCs w:val="21"/>
                <w:lang w:val="en-US" w:eastAsia="zh-CN"/>
              </w:rPr>
              <w:t>0.5ND</w:t>
            </w:r>
          </w:p>
        </w:tc>
        <w:tc>
          <w:tcPr>
            <w:tcW w:w="1525" w:type="dxa"/>
            <w:vAlign w:val="center"/>
          </w:tcPr>
          <w:p>
            <w:pPr>
              <w:pStyle w:val="26"/>
              <w:rPr>
                <w:kern w:val="2"/>
                <w:szCs w:val="21"/>
                <w:lang w:val="en-US" w:eastAsia="zh-CN"/>
              </w:rPr>
            </w:pPr>
            <w:r>
              <w:rPr>
                <w:kern w:val="2"/>
                <w:szCs w:val="21"/>
                <w:lang w:val="en-US" w:eastAsia="zh-CN"/>
              </w:rPr>
              <w:t>0.5ND</w:t>
            </w:r>
          </w:p>
        </w:tc>
        <w:tc>
          <w:tcPr>
            <w:tcW w:w="1525" w:type="dxa"/>
            <w:vAlign w:val="center"/>
          </w:tcPr>
          <w:p>
            <w:pPr>
              <w:pStyle w:val="26"/>
              <w:rPr>
                <w:kern w:val="2"/>
                <w:szCs w:val="21"/>
                <w:lang w:val="en-US" w:eastAsia="zh-CN"/>
              </w:rPr>
            </w:pPr>
            <w:r>
              <w:rPr>
                <w:kern w:val="2"/>
                <w:szCs w:val="21"/>
                <w:lang w:val="en-US" w:eastAsia="zh-CN"/>
              </w:rPr>
              <w:t>0.5ND</w:t>
            </w:r>
          </w:p>
        </w:tc>
        <w:tc>
          <w:tcPr>
            <w:tcW w:w="1128" w:type="dxa"/>
            <w:vAlign w:val="center"/>
          </w:tcPr>
          <w:p>
            <w:pPr>
              <w:pStyle w:val="26"/>
              <w:rPr>
                <w:kern w:val="2"/>
                <w:szCs w:val="21"/>
                <w:lang w:val="en-US" w:eastAsia="zh-CN"/>
              </w:rPr>
            </w:pPr>
            <w:r>
              <w:rPr>
                <w:kern w:val="2"/>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spacing w:line="240" w:lineRule="auto"/>
              <w:ind w:firstLine="0" w:firstLineChars="0"/>
              <w:jc w:val="center"/>
            </w:pPr>
            <w:r>
              <w:t>NH</w:t>
            </w:r>
            <w:r>
              <w:rPr>
                <w:vertAlign w:val="subscript"/>
              </w:rPr>
              <w:t>3</w:t>
            </w:r>
            <w:r>
              <w:t>-N</w:t>
            </w:r>
          </w:p>
        </w:tc>
        <w:tc>
          <w:tcPr>
            <w:tcW w:w="1525" w:type="dxa"/>
            <w:vAlign w:val="center"/>
          </w:tcPr>
          <w:p>
            <w:pPr>
              <w:pStyle w:val="26"/>
              <w:rPr>
                <w:kern w:val="2"/>
                <w:szCs w:val="21"/>
                <w:lang w:val="en-US" w:eastAsia="zh-CN"/>
              </w:rPr>
            </w:pPr>
            <w:r>
              <w:rPr>
                <w:kern w:val="2"/>
                <w:szCs w:val="21"/>
                <w:lang w:val="en-US" w:eastAsia="zh-CN"/>
              </w:rPr>
              <w:t>0.025ND</w:t>
            </w:r>
          </w:p>
        </w:tc>
        <w:tc>
          <w:tcPr>
            <w:tcW w:w="1525" w:type="dxa"/>
            <w:vAlign w:val="center"/>
          </w:tcPr>
          <w:p>
            <w:pPr>
              <w:pStyle w:val="26"/>
              <w:rPr>
                <w:kern w:val="2"/>
                <w:szCs w:val="21"/>
                <w:lang w:val="en-US" w:eastAsia="zh-CN"/>
              </w:rPr>
            </w:pPr>
            <w:r>
              <w:rPr>
                <w:kern w:val="2"/>
                <w:szCs w:val="21"/>
                <w:lang w:val="en-US" w:eastAsia="zh-CN"/>
              </w:rPr>
              <w:t>0.025ND</w:t>
            </w:r>
          </w:p>
        </w:tc>
        <w:tc>
          <w:tcPr>
            <w:tcW w:w="1525" w:type="dxa"/>
            <w:vAlign w:val="center"/>
          </w:tcPr>
          <w:p>
            <w:pPr>
              <w:pStyle w:val="26"/>
              <w:rPr>
                <w:kern w:val="2"/>
                <w:szCs w:val="21"/>
                <w:lang w:val="en-US" w:eastAsia="zh-CN"/>
              </w:rPr>
            </w:pPr>
            <w:r>
              <w:rPr>
                <w:kern w:val="2"/>
                <w:szCs w:val="21"/>
                <w:lang w:val="en-US" w:eastAsia="zh-CN"/>
              </w:rPr>
              <w:t>0.025ND</w:t>
            </w:r>
          </w:p>
        </w:tc>
        <w:tc>
          <w:tcPr>
            <w:tcW w:w="1525" w:type="dxa"/>
            <w:vAlign w:val="center"/>
          </w:tcPr>
          <w:p>
            <w:pPr>
              <w:pStyle w:val="26"/>
              <w:rPr>
                <w:kern w:val="2"/>
                <w:szCs w:val="21"/>
                <w:lang w:val="en-US" w:eastAsia="zh-CN"/>
              </w:rPr>
            </w:pPr>
            <w:r>
              <w:rPr>
                <w:kern w:val="2"/>
                <w:szCs w:val="21"/>
                <w:lang w:val="en-US" w:eastAsia="zh-CN"/>
              </w:rPr>
              <w:t>0.025ND</w:t>
            </w:r>
          </w:p>
        </w:tc>
        <w:tc>
          <w:tcPr>
            <w:tcW w:w="1525" w:type="dxa"/>
            <w:vAlign w:val="center"/>
          </w:tcPr>
          <w:p>
            <w:pPr>
              <w:pStyle w:val="26"/>
              <w:rPr>
                <w:kern w:val="2"/>
                <w:szCs w:val="21"/>
                <w:lang w:val="en-US" w:eastAsia="zh-CN"/>
              </w:rPr>
            </w:pPr>
            <w:r>
              <w:rPr>
                <w:kern w:val="2"/>
                <w:szCs w:val="21"/>
                <w:lang w:val="en-US" w:eastAsia="zh-CN"/>
              </w:rPr>
              <w:t>0.025ND</w:t>
            </w:r>
          </w:p>
        </w:tc>
        <w:tc>
          <w:tcPr>
            <w:tcW w:w="1128" w:type="dxa"/>
            <w:vAlign w:val="center"/>
          </w:tcPr>
          <w:p>
            <w:pPr>
              <w:pStyle w:val="26"/>
              <w:rPr>
                <w:kern w:val="2"/>
                <w:szCs w:val="21"/>
                <w:lang w:val="en-US" w:eastAsia="zh-CN"/>
              </w:rPr>
            </w:pP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spacing w:line="240" w:lineRule="auto"/>
              <w:ind w:firstLine="0" w:firstLineChars="0"/>
              <w:jc w:val="center"/>
            </w:pPr>
            <w:r>
              <w:rPr>
                <w:rFonts w:hint="eastAsia"/>
              </w:rPr>
              <w:t>总硬度</w:t>
            </w:r>
          </w:p>
        </w:tc>
        <w:tc>
          <w:tcPr>
            <w:tcW w:w="1525" w:type="dxa"/>
            <w:vAlign w:val="center"/>
          </w:tcPr>
          <w:p>
            <w:pPr>
              <w:pStyle w:val="26"/>
              <w:rPr>
                <w:kern w:val="2"/>
                <w:szCs w:val="21"/>
                <w:lang w:val="en-US" w:eastAsia="zh-CN"/>
              </w:rPr>
            </w:pPr>
            <w:r>
              <w:rPr>
                <w:kern w:val="2"/>
                <w:szCs w:val="21"/>
                <w:lang w:val="en-US" w:eastAsia="zh-CN"/>
              </w:rPr>
              <w:t>81~83.1</w:t>
            </w:r>
          </w:p>
        </w:tc>
        <w:tc>
          <w:tcPr>
            <w:tcW w:w="1525" w:type="dxa"/>
            <w:vAlign w:val="center"/>
          </w:tcPr>
          <w:p>
            <w:pPr>
              <w:pStyle w:val="26"/>
              <w:rPr>
                <w:kern w:val="2"/>
                <w:szCs w:val="21"/>
                <w:lang w:val="en-US" w:eastAsia="zh-CN"/>
              </w:rPr>
            </w:pPr>
            <w:r>
              <w:rPr>
                <w:kern w:val="2"/>
                <w:szCs w:val="21"/>
                <w:lang w:val="en-US" w:eastAsia="zh-CN"/>
              </w:rPr>
              <w:t>86~88.1</w:t>
            </w:r>
          </w:p>
        </w:tc>
        <w:tc>
          <w:tcPr>
            <w:tcW w:w="1525" w:type="dxa"/>
            <w:vAlign w:val="center"/>
          </w:tcPr>
          <w:p>
            <w:pPr>
              <w:pStyle w:val="26"/>
              <w:rPr>
                <w:kern w:val="2"/>
                <w:szCs w:val="21"/>
                <w:lang w:val="en-US" w:eastAsia="zh-CN"/>
              </w:rPr>
            </w:pPr>
            <w:r>
              <w:rPr>
                <w:kern w:val="2"/>
                <w:szCs w:val="21"/>
                <w:lang w:val="en-US" w:eastAsia="zh-CN"/>
              </w:rPr>
              <w:t>72~75</w:t>
            </w:r>
          </w:p>
        </w:tc>
        <w:tc>
          <w:tcPr>
            <w:tcW w:w="1525" w:type="dxa"/>
            <w:vAlign w:val="center"/>
          </w:tcPr>
          <w:p>
            <w:pPr>
              <w:pStyle w:val="26"/>
              <w:rPr>
                <w:kern w:val="2"/>
                <w:szCs w:val="21"/>
                <w:lang w:val="en-US" w:eastAsia="zh-CN"/>
              </w:rPr>
            </w:pPr>
            <w:r>
              <w:rPr>
                <w:kern w:val="2"/>
                <w:szCs w:val="21"/>
                <w:lang w:val="en-US" w:eastAsia="zh-CN"/>
              </w:rPr>
              <w:t>84.2~87.5</w:t>
            </w:r>
          </w:p>
        </w:tc>
        <w:tc>
          <w:tcPr>
            <w:tcW w:w="1525" w:type="dxa"/>
            <w:vAlign w:val="center"/>
          </w:tcPr>
          <w:p>
            <w:pPr>
              <w:pStyle w:val="26"/>
              <w:rPr>
                <w:kern w:val="2"/>
                <w:szCs w:val="21"/>
                <w:lang w:val="en-US" w:eastAsia="zh-CN"/>
              </w:rPr>
            </w:pPr>
            <w:r>
              <w:rPr>
                <w:kern w:val="2"/>
                <w:szCs w:val="21"/>
                <w:lang w:val="en-US" w:eastAsia="zh-CN"/>
              </w:rPr>
              <w:t>86.5~89.4</w:t>
            </w:r>
          </w:p>
        </w:tc>
        <w:tc>
          <w:tcPr>
            <w:tcW w:w="1128" w:type="dxa"/>
            <w:vAlign w:val="center"/>
          </w:tcPr>
          <w:p>
            <w:pPr>
              <w:pStyle w:val="26"/>
              <w:rPr>
                <w:kern w:val="2"/>
                <w:szCs w:val="21"/>
                <w:lang w:val="en-US" w:eastAsia="zh-CN"/>
              </w:rPr>
            </w:pPr>
            <w:r>
              <w:rPr>
                <w:kern w:val="2"/>
                <w:szCs w:val="21"/>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spacing w:line="240" w:lineRule="auto"/>
              <w:ind w:firstLine="0" w:firstLineChars="0"/>
              <w:jc w:val="center"/>
            </w:pPr>
            <w:r>
              <w:rPr>
                <w:rFonts w:hint="eastAsia"/>
              </w:rPr>
              <w:t>挥发酚</w:t>
            </w:r>
          </w:p>
        </w:tc>
        <w:tc>
          <w:tcPr>
            <w:tcW w:w="1525" w:type="dxa"/>
            <w:vAlign w:val="center"/>
          </w:tcPr>
          <w:p>
            <w:pPr>
              <w:pStyle w:val="26"/>
              <w:rPr>
                <w:kern w:val="2"/>
                <w:szCs w:val="21"/>
                <w:lang w:val="en-US" w:eastAsia="zh-CN"/>
              </w:rPr>
            </w:pPr>
            <w:r>
              <w:rPr>
                <w:kern w:val="2"/>
                <w:szCs w:val="21"/>
                <w:lang w:val="en-US" w:eastAsia="zh-CN"/>
              </w:rPr>
              <w:t>0.0008~0.0009</w:t>
            </w:r>
          </w:p>
        </w:tc>
        <w:tc>
          <w:tcPr>
            <w:tcW w:w="1525" w:type="dxa"/>
            <w:vAlign w:val="center"/>
          </w:tcPr>
          <w:p>
            <w:pPr>
              <w:pStyle w:val="26"/>
              <w:rPr>
                <w:kern w:val="2"/>
                <w:szCs w:val="21"/>
                <w:lang w:val="en-US" w:eastAsia="zh-CN"/>
              </w:rPr>
            </w:pPr>
            <w:r>
              <w:rPr>
                <w:kern w:val="2"/>
                <w:szCs w:val="21"/>
                <w:lang w:val="en-US" w:eastAsia="zh-CN"/>
              </w:rPr>
              <w:t>0.0007~0.0009</w:t>
            </w:r>
          </w:p>
        </w:tc>
        <w:tc>
          <w:tcPr>
            <w:tcW w:w="1525" w:type="dxa"/>
            <w:vAlign w:val="center"/>
          </w:tcPr>
          <w:p>
            <w:pPr>
              <w:pStyle w:val="26"/>
              <w:rPr>
                <w:kern w:val="2"/>
                <w:szCs w:val="21"/>
                <w:lang w:val="en-US" w:eastAsia="zh-CN"/>
              </w:rPr>
            </w:pPr>
            <w:r>
              <w:rPr>
                <w:kern w:val="2"/>
                <w:szCs w:val="21"/>
                <w:lang w:val="en-US" w:eastAsia="zh-CN"/>
              </w:rPr>
              <w:t>0.0003ND</w:t>
            </w:r>
          </w:p>
        </w:tc>
        <w:tc>
          <w:tcPr>
            <w:tcW w:w="1525" w:type="dxa"/>
            <w:vAlign w:val="center"/>
          </w:tcPr>
          <w:p>
            <w:pPr>
              <w:pStyle w:val="26"/>
              <w:rPr>
                <w:kern w:val="2"/>
                <w:szCs w:val="21"/>
                <w:lang w:val="en-US" w:eastAsia="zh-CN"/>
              </w:rPr>
            </w:pPr>
            <w:r>
              <w:rPr>
                <w:kern w:val="2"/>
                <w:szCs w:val="21"/>
                <w:lang w:val="en-US" w:eastAsia="zh-CN"/>
              </w:rPr>
              <w:t>0.0003ND</w:t>
            </w:r>
          </w:p>
        </w:tc>
        <w:tc>
          <w:tcPr>
            <w:tcW w:w="1525" w:type="dxa"/>
            <w:vAlign w:val="center"/>
          </w:tcPr>
          <w:p>
            <w:pPr>
              <w:pStyle w:val="26"/>
              <w:rPr>
                <w:kern w:val="2"/>
                <w:szCs w:val="21"/>
                <w:lang w:val="en-US" w:eastAsia="zh-CN"/>
              </w:rPr>
            </w:pPr>
            <w:r>
              <w:rPr>
                <w:kern w:val="2"/>
                <w:szCs w:val="21"/>
                <w:lang w:val="en-US" w:eastAsia="zh-CN"/>
              </w:rPr>
              <w:t>0.0003ND</w:t>
            </w:r>
          </w:p>
        </w:tc>
        <w:tc>
          <w:tcPr>
            <w:tcW w:w="1128" w:type="dxa"/>
            <w:vAlign w:val="center"/>
          </w:tcPr>
          <w:p>
            <w:pPr>
              <w:pStyle w:val="26"/>
              <w:rPr>
                <w:kern w:val="2"/>
                <w:szCs w:val="21"/>
                <w:lang w:val="en-US" w:eastAsia="zh-CN"/>
              </w:rPr>
            </w:pPr>
            <w:r>
              <w:rPr>
                <w:kern w:val="2"/>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ind w:firstLine="0" w:firstLineChars="0"/>
              <w:jc w:val="center"/>
            </w:pPr>
            <w:r>
              <w:rPr>
                <w:rFonts w:hint="eastAsia"/>
              </w:rPr>
              <w:t>六价铬</w:t>
            </w:r>
          </w:p>
        </w:tc>
        <w:tc>
          <w:tcPr>
            <w:tcW w:w="1525" w:type="dxa"/>
            <w:vAlign w:val="center"/>
          </w:tcPr>
          <w:p>
            <w:pPr>
              <w:pStyle w:val="26"/>
              <w:rPr>
                <w:kern w:val="2"/>
                <w:szCs w:val="21"/>
                <w:lang w:val="en-US" w:eastAsia="zh-CN"/>
              </w:rPr>
            </w:pPr>
            <w:r>
              <w:rPr>
                <w:kern w:val="2"/>
                <w:szCs w:val="21"/>
                <w:lang w:val="en-US" w:eastAsia="zh-CN"/>
              </w:rPr>
              <w:t>0.004ND</w:t>
            </w:r>
          </w:p>
        </w:tc>
        <w:tc>
          <w:tcPr>
            <w:tcW w:w="1525" w:type="dxa"/>
            <w:vAlign w:val="center"/>
          </w:tcPr>
          <w:p>
            <w:pPr>
              <w:pStyle w:val="26"/>
              <w:rPr>
                <w:kern w:val="2"/>
                <w:szCs w:val="21"/>
                <w:lang w:val="en-US" w:eastAsia="zh-CN"/>
              </w:rPr>
            </w:pPr>
            <w:r>
              <w:rPr>
                <w:kern w:val="2"/>
                <w:szCs w:val="21"/>
                <w:lang w:val="en-US" w:eastAsia="zh-CN"/>
              </w:rPr>
              <w:t>0.004ND</w:t>
            </w:r>
          </w:p>
        </w:tc>
        <w:tc>
          <w:tcPr>
            <w:tcW w:w="1525" w:type="dxa"/>
            <w:vAlign w:val="center"/>
          </w:tcPr>
          <w:p>
            <w:pPr>
              <w:pStyle w:val="26"/>
              <w:rPr>
                <w:kern w:val="2"/>
                <w:szCs w:val="21"/>
                <w:lang w:val="en-US" w:eastAsia="zh-CN"/>
              </w:rPr>
            </w:pPr>
            <w:r>
              <w:rPr>
                <w:kern w:val="2"/>
                <w:szCs w:val="21"/>
                <w:lang w:val="en-US" w:eastAsia="zh-CN"/>
              </w:rPr>
              <w:t>0.004ND</w:t>
            </w:r>
          </w:p>
        </w:tc>
        <w:tc>
          <w:tcPr>
            <w:tcW w:w="1525" w:type="dxa"/>
            <w:vAlign w:val="center"/>
          </w:tcPr>
          <w:p>
            <w:pPr>
              <w:pStyle w:val="26"/>
              <w:rPr>
                <w:kern w:val="2"/>
                <w:szCs w:val="21"/>
                <w:lang w:val="en-US" w:eastAsia="zh-CN"/>
              </w:rPr>
            </w:pPr>
            <w:r>
              <w:rPr>
                <w:kern w:val="2"/>
                <w:szCs w:val="21"/>
                <w:lang w:val="en-US" w:eastAsia="zh-CN"/>
              </w:rPr>
              <w:t>0.004ND</w:t>
            </w:r>
          </w:p>
        </w:tc>
        <w:tc>
          <w:tcPr>
            <w:tcW w:w="1525" w:type="dxa"/>
            <w:vAlign w:val="center"/>
          </w:tcPr>
          <w:p>
            <w:pPr>
              <w:pStyle w:val="26"/>
              <w:rPr>
                <w:kern w:val="2"/>
                <w:szCs w:val="21"/>
                <w:lang w:val="en-US" w:eastAsia="zh-CN"/>
              </w:rPr>
            </w:pPr>
            <w:r>
              <w:rPr>
                <w:kern w:val="2"/>
                <w:szCs w:val="21"/>
                <w:lang w:val="en-US" w:eastAsia="zh-CN"/>
              </w:rPr>
              <w:t>0.004ND</w:t>
            </w:r>
          </w:p>
        </w:tc>
        <w:tc>
          <w:tcPr>
            <w:tcW w:w="1128" w:type="dxa"/>
            <w:vAlign w:val="center"/>
          </w:tcPr>
          <w:p>
            <w:pPr>
              <w:pStyle w:val="26"/>
              <w:rPr>
                <w:kern w:val="2"/>
                <w:szCs w:val="21"/>
                <w:lang w:val="en-US" w:eastAsia="zh-CN"/>
              </w:rPr>
            </w:pPr>
            <w:r>
              <w:rPr>
                <w:kern w:val="2"/>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ind w:firstLine="0" w:firstLineChars="0"/>
              <w:jc w:val="center"/>
            </w:pPr>
            <w:r>
              <w:rPr>
                <w:rFonts w:hint="eastAsia"/>
              </w:rPr>
              <w:t>色度</w:t>
            </w:r>
          </w:p>
        </w:tc>
        <w:tc>
          <w:tcPr>
            <w:tcW w:w="1525" w:type="dxa"/>
            <w:vAlign w:val="center"/>
          </w:tcPr>
          <w:p>
            <w:pPr>
              <w:pStyle w:val="26"/>
              <w:rPr>
                <w:kern w:val="2"/>
                <w:szCs w:val="21"/>
                <w:lang w:val="en-US" w:eastAsia="zh-CN"/>
              </w:rPr>
            </w:pPr>
            <w:r>
              <w:rPr>
                <w:kern w:val="2"/>
                <w:szCs w:val="21"/>
                <w:lang w:val="en-US" w:eastAsia="zh-CN"/>
              </w:rPr>
              <w:t>5~5</w:t>
            </w:r>
          </w:p>
        </w:tc>
        <w:tc>
          <w:tcPr>
            <w:tcW w:w="1525" w:type="dxa"/>
            <w:vAlign w:val="center"/>
          </w:tcPr>
          <w:p>
            <w:pPr>
              <w:pStyle w:val="26"/>
              <w:rPr>
                <w:kern w:val="2"/>
                <w:szCs w:val="21"/>
                <w:lang w:val="en-US" w:eastAsia="zh-CN"/>
              </w:rPr>
            </w:pPr>
            <w:r>
              <w:rPr>
                <w:kern w:val="2"/>
                <w:szCs w:val="21"/>
                <w:lang w:val="en-US" w:eastAsia="zh-CN"/>
              </w:rPr>
              <w:t>5~5</w:t>
            </w:r>
          </w:p>
        </w:tc>
        <w:tc>
          <w:tcPr>
            <w:tcW w:w="1525" w:type="dxa"/>
            <w:vAlign w:val="center"/>
          </w:tcPr>
          <w:p>
            <w:pPr>
              <w:pStyle w:val="26"/>
              <w:rPr>
                <w:kern w:val="2"/>
                <w:szCs w:val="21"/>
                <w:lang w:val="en-US" w:eastAsia="zh-CN"/>
              </w:rPr>
            </w:pPr>
            <w:r>
              <w:rPr>
                <w:kern w:val="2"/>
                <w:szCs w:val="21"/>
                <w:lang w:val="en-US" w:eastAsia="zh-CN"/>
              </w:rPr>
              <w:t>5~5</w:t>
            </w:r>
          </w:p>
        </w:tc>
        <w:tc>
          <w:tcPr>
            <w:tcW w:w="1525" w:type="dxa"/>
            <w:vAlign w:val="center"/>
          </w:tcPr>
          <w:p>
            <w:pPr>
              <w:pStyle w:val="26"/>
              <w:rPr>
                <w:kern w:val="2"/>
                <w:szCs w:val="21"/>
                <w:lang w:val="en-US" w:eastAsia="zh-CN"/>
              </w:rPr>
            </w:pPr>
            <w:r>
              <w:rPr>
                <w:kern w:val="2"/>
                <w:szCs w:val="21"/>
                <w:lang w:val="en-US" w:eastAsia="zh-CN"/>
              </w:rPr>
              <w:t>5~5</w:t>
            </w:r>
          </w:p>
        </w:tc>
        <w:tc>
          <w:tcPr>
            <w:tcW w:w="1525" w:type="dxa"/>
            <w:vAlign w:val="center"/>
          </w:tcPr>
          <w:p>
            <w:pPr>
              <w:pStyle w:val="26"/>
              <w:rPr>
                <w:kern w:val="2"/>
                <w:szCs w:val="21"/>
                <w:lang w:val="en-US" w:eastAsia="zh-CN"/>
              </w:rPr>
            </w:pPr>
            <w:r>
              <w:rPr>
                <w:kern w:val="2"/>
                <w:szCs w:val="21"/>
                <w:lang w:val="en-US" w:eastAsia="zh-CN"/>
              </w:rPr>
              <w:t>5~5</w:t>
            </w:r>
          </w:p>
        </w:tc>
        <w:tc>
          <w:tcPr>
            <w:tcW w:w="1128" w:type="dxa"/>
            <w:vAlign w:val="center"/>
          </w:tcPr>
          <w:p>
            <w:pPr>
              <w:pStyle w:val="26"/>
              <w:rPr>
                <w:kern w:val="2"/>
                <w:szCs w:val="21"/>
                <w:lang w:val="en-US" w:eastAsia="zh-CN"/>
              </w:rPr>
            </w:pPr>
            <w:r>
              <w:rPr>
                <w:kern w:val="2"/>
                <w:szCs w:val="21"/>
                <w:lang w:val="en-US" w:eastAsia="zh-CN"/>
              </w:rPr>
              <w:t>15</w:t>
            </w:r>
          </w:p>
        </w:tc>
      </w:tr>
    </w:tbl>
    <w:p>
      <w:pPr>
        <w:ind w:firstLine="480"/>
      </w:pPr>
      <w:r>
        <w:rPr>
          <w:rFonts w:hint="eastAsia"/>
        </w:rPr>
        <w:t>由上表可知，五个地下水监测点各监测因子均达到了《地下水质量标准》（</w:t>
      </w:r>
      <w:r>
        <w:t>GB/T14848-93</w:t>
      </w:r>
      <w:r>
        <w:rPr>
          <w:rFonts w:hint="eastAsia"/>
        </w:rPr>
        <w:t>）中Ⅲ类标准限值。说明评价区域地下水环境质量较好。</w:t>
      </w:r>
    </w:p>
    <w:p>
      <w:pPr>
        <w:pStyle w:val="4"/>
      </w:pPr>
      <w:r>
        <w:rPr>
          <w:rFonts w:hint="eastAsia"/>
        </w:rPr>
        <w:t>声环境质量现状监测与评价</w:t>
      </w:r>
    </w:p>
    <w:p>
      <w:pPr>
        <w:ind w:firstLine="480"/>
      </w:pPr>
      <w:r>
        <w:rPr>
          <w:rFonts w:hint="eastAsia"/>
        </w:rPr>
        <w:t>（</w:t>
      </w:r>
      <w:r>
        <w:t>1</w:t>
      </w:r>
      <w:r>
        <w:rPr>
          <w:rFonts w:hint="eastAsia"/>
        </w:rPr>
        <w:t>）监测点布设</w:t>
      </w:r>
    </w:p>
    <w:p>
      <w:pPr>
        <w:ind w:firstLine="480"/>
      </w:pPr>
      <w:r>
        <w:rPr>
          <w:rFonts w:hint="eastAsia"/>
        </w:rPr>
        <w:t>为了解本项目所在地声环境现状，本次环评委托岳阳市衡润检测有限公司于</w:t>
      </w:r>
      <w:r>
        <w:t>2017</w:t>
      </w:r>
      <w:r>
        <w:rPr>
          <w:rFonts w:hint="eastAsia"/>
        </w:rPr>
        <w:t>年</w:t>
      </w:r>
      <w:r>
        <w:t>7</w:t>
      </w:r>
      <w:r>
        <w:rPr>
          <w:rFonts w:hint="eastAsia"/>
        </w:rPr>
        <w:t>月</w:t>
      </w:r>
      <w:r>
        <w:t>6</w:t>
      </w:r>
      <w:r>
        <w:rPr>
          <w:rFonts w:hint="eastAsia"/>
        </w:rPr>
        <w:t>日</w:t>
      </w:r>
      <w:r>
        <w:t>~7</w:t>
      </w:r>
      <w:r>
        <w:rPr>
          <w:rFonts w:hint="eastAsia"/>
        </w:rPr>
        <w:t>日对所在地声环境质量进行监测，监测点位分别为厂界四周。</w:t>
      </w:r>
    </w:p>
    <w:p>
      <w:pPr>
        <w:ind w:firstLine="480"/>
      </w:pPr>
      <w:r>
        <w:rPr>
          <w:rFonts w:hint="eastAsia"/>
        </w:rPr>
        <w:t>（</w:t>
      </w:r>
      <w:r>
        <w:t>2</w:t>
      </w:r>
      <w:r>
        <w:rPr>
          <w:rFonts w:hint="eastAsia"/>
        </w:rPr>
        <w:t>）监测频率及项目</w:t>
      </w:r>
    </w:p>
    <w:p>
      <w:pPr>
        <w:ind w:firstLine="480"/>
      </w:pPr>
      <w:r>
        <w:rPr>
          <w:rFonts w:hint="eastAsia"/>
        </w:rPr>
        <w:t>监测频率：监测二天，昼、夜各监测</w:t>
      </w:r>
      <w:r>
        <w:t>1</w:t>
      </w:r>
      <w:r>
        <w:rPr>
          <w:rFonts w:hint="eastAsia"/>
        </w:rPr>
        <w:t>次；</w:t>
      </w:r>
    </w:p>
    <w:p>
      <w:pPr>
        <w:ind w:firstLine="480"/>
      </w:pPr>
      <w:r>
        <w:rPr>
          <w:rFonts w:hint="eastAsia"/>
        </w:rPr>
        <w:t>监测项目：</w:t>
      </w:r>
      <w:r>
        <w:t>LAeq</w:t>
      </w:r>
    </w:p>
    <w:p>
      <w:pPr>
        <w:ind w:firstLine="480"/>
      </w:pPr>
      <w:r>
        <w:rPr>
          <w:rFonts w:hint="eastAsia"/>
        </w:rPr>
        <w:t>（</w:t>
      </w:r>
      <w:r>
        <w:t>3</w:t>
      </w:r>
      <w:r>
        <w:rPr>
          <w:rFonts w:hint="eastAsia"/>
        </w:rPr>
        <w:t>）监测结果及现状评价</w:t>
      </w:r>
    </w:p>
    <w:p>
      <w:pPr>
        <w:ind w:firstLine="480"/>
      </w:pPr>
      <w:r>
        <w:rPr>
          <w:rFonts w:hint="eastAsia"/>
        </w:rPr>
        <w:t>项目厂界各测点噪声昼夜间监测结果见表</w:t>
      </w:r>
      <w:r>
        <w:t>5.2-10</w:t>
      </w:r>
      <w:r>
        <w:rPr>
          <w:rFonts w:hint="eastAsia"/>
        </w:rPr>
        <w:t>。</w:t>
      </w:r>
    </w:p>
    <w:p>
      <w:pPr>
        <w:ind w:firstLine="0" w:firstLineChars="0"/>
        <w:jc w:val="center"/>
        <w:rPr>
          <w:rStyle w:val="41"/>
          <w:szCs w:val="21"/>
        </w:rPr>
      </w:pPr>
      <w:r>
        <w:rPr>
          <w:rStyle w:val="41"/>
          <w:rFonts w:hint="eastAsia"/>
          <w:szCs w:val="21"/>
        </w:rPr>
        <w:t>表</w:t>
      </w:r>
      <w:r>
        <w:rPr>
          <w:rStyle w:val="41"/>
          <w:szCs w:val="21"/>
        </w:rPr>
        <w:t xml:space="preserve">5.2-10    </w:t>
      </w:r>
      <w:r>
        <w:rPr>
          <w:rStyle w:val="41"/>
          <w:rFonts w:hint="eastAsia"/>
          <w:szCs w:val="21"/>
        </w:rPr>
        <w:t>项目厂界噪声监测结果单位：</w:t>
      </w:r>
      <w:r>
        <w:rPr>
          <w:rStyle w:val="41"/>
          <w:szCs w:val="21"/>
        </w:rPr>
        <w:t>Leq(A)</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1642"/>
        <w:gridCol w:w="1642"/>
        <w:gridCol w:w="1642"/>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2" w:type="dxa"/>
            <w:vMerge w:val="restart"/>
            <w:vAlign w:val="center"/>
          </w:tcPr>
          <w:p>
            <w:pPr>
              <w:pStyle w:val="26"/>
              <w:rPr>
                <w:kern w:val="2"/>
                <w:szCs w:val="21"/>
                <w:lang w:val="en-US" w:eastAsia="zh-CN"/>
              </w:rPr>
            </w:pPr>
            <w:r>
              <w:rPr>
                <w:rFonts w:hint="eastAsia"/>
                <w:kern w:val="2"/>
                <w:szCs w:val="21"/>
                <w:lang w:val="en-US" w:eastAsia="zh-CN"/>
              </w:rPr>
              <w:t>检测点位</w:t>
            </w:r>
          </w:p>
        </w:tc>
        <w:tc>
          <w:tcPr>
            <w:tcW w:w="6569" w:type="dxa"/>
            <w:gridSpan w:val="4"/>
            <w:vAlign w:val="center"/>
          </w:tcPr>
          <w:p>
            <w:pPr>
              <w:pStyle w:val="26"/>
              <w:rPr>
                <w:kern w:val="2"/>
                <w:szCs w:val="21"/>
                <w:lang w:val="en-US" w:eastAsia="zh-CN"/>
              </w:rPr>
            </w:pPr>
            <w:r>
              <w:rPr>
                <w:rFonts w:hint="eastAsia"/>
                <w:kern w:val="2"/>
                <w:szCs w:val="21"/>
                <w:lang w:val="en-US" w:eastAsia="zh-CN"/>
              </w:rPr>
              <w:t>监测结果（单位：</w:t>
            </w:r>
            <w:r>
              <w:rPr>
                <w:kern w:val="2"/>
                <w:szCs w:val="21"/>
                <w:lang w:val="en-US" w:eastAsia="zh-CN"/>
              </w:rPr>
              <w:t>dB</w:t>
            </w:r>
            <w:r>
              <w:rPr>
                <w:rFonts w:hint="eastAsia"/>
                <w:kern w:val="2"/>
                <w:szCs w:val="21"/>
                <w:lang w:val="en-US" w:eastAsia="zh-CN"/>
              </w:rPr>
              <w:t>（</w:t>
            </w:r>
            <w:r>
              <w:rPr>
                <w:kern w:val="2"/>
                <w:szCs w:val="21"/>
                <w:lang w:val="en-US" w:eastAsia="zh-CN"/>
              </w:rPr>
              <w:t>A</w:t>
            </w:r>
            <w:r>
              <w:rPr>
                <w:rFonts w:hint="eastAsia"/>
                <w:kern w:val="2"/>
                <w:szCs w:val="21"/>
                <w:lang w:val="en-US" w:eastAsia="zh-CN"/>
              </w:rPr>
              <w:t>））</w:t>
            </w:r>
          </w:p>
        </w:tc>
        <w:tc>
          <w:tcPr>
            <w:tcW w:w="1643" w:type="dxa"/>
            <w:vMerge w:val="restart"/>
            <w:vAlign w:val="center"/>
          </w:tcPr>
          <w:p>
            <w:pPr>
              <w:pStyle w:val="26"/>
              <w:rPr>
                <w:kern w:val="2"/>
                <w:szCs w:val="21"/>
                <w:lang w:val="en-US" w:eastAsia="zh-CN"/>
              </w:rPr>
            </w:pPr>
            <w:r>
              <w:rPr>
                <w:rFonts w:hint="eastAsia"/>
                <w:kern w:val="2"/>
                <w:szCs w:val="21"/>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2" w:type="dxa"/>
            <w:vMerge w:val="continue"/>
            <w:vAlign w:val="center"/>
          </w:tcPr>
          <w:p>
            <w:pPr>
              <w:pStyle w:val="26"/>
              <w:rPr>
                <w:kern w:val="2"/>
                <w:szCs w:val="21"/>
                <w:lang w:val="en-US" w:eastAsia="zh-CN"/>
              </w:rPr>
            </w:pPr>
          </w:p>
        </w:tc>
        <w:tc>
          <w:tcPr>
            <w:tcW w:w="1642" w:type="dxa"/>
            <w:vAlign w:val="center"/>
          </w:tcPr>
          <w:p>
            <w:pPr>
              <w:pStyle w:val="26"/>
              <w:rPr>
                <w:kern w:val="2"/>
                <w:szCs w:val="21"/>
                <w:lang w:val="en-US" w:eastAsia="zh-CN"/>
              </w:rPr>
            </w:pPr>
            <w:r>
              <w:rPr>
                <w:kern w:val="2"/>
                <w:szCs w:val="21"/>
                <w:lang w:val="en-US" w:eastAsia="zh-CN"/>
              </w:rPr>
              <w:t>7</w:t>
            </w:r>
            <w:r>
              <w:rPr>
                <w:rFonts w:hint="eastAsia"/>
                <w:kern w:val="2"/>
                <w:szCs w:val="21"/>
                <w:lang w:val="en-US" w:eastAsia="zh-CN"/>
              </w:rPr>
              <w:t>月</w:t>
            </w:r>
            <w:r>
              <w:rPr>
                <w:kern w:val="2"/>
                <w:szCs w:val="21"/>
                <w:lang w:val="en-US" w:eastAsia="zh-CN"/>
              </w:rPr>
              <w:t>6</w:t>
            </w:r>
            <w:r>
              <w:rPr>
                <w:rFonts w:hint="eastAsia"/>
                <w:kern w:val="2"/>
                <w:szCs w:val="21"/>
                <w:lang w:val="en-US" w:eastAsia="zh-CN"/>
              </w:rPr>
              <w:t>日昼间</w:t>
            </w:r>
          </w:p>
        </w:tc>
        <w:tc>
          <w:tcPr>
            <w:tcW w:w="1642" w:type="dxa"/>
            <w:vAlign w:val="center"/>
          </w:tcPr>
          <w:p>
            <w:pPr>
              <w:pStyle w:val="26"/>
              <w:rPr>
                <w:kern w:val="2"/>
                <w:szCs w:val="21"/>
                <w:lang w:val="en-US" w:eastAsia="zh-CN"/>
              </w:rPr>
            </w:pPr>
            <w:r>
              <w:rPr>
                <w:kern w:val="2"/>
                <w:szCs w:val="21"/>
                <w:lang w:val="en-US" w:eastAsia="zh-CN"/>
              </w:rPr>
              <w:t>7</w:t>
            </w:r>
            <w:r>
              <w:rPr>
                <w:rFonts w:hint="eastAsia"/>
                <w:kern w:val="2"/>
                <w:szCs w:val="21"/>
                <w:lang w:val="en-US" w:eastAsia="zh-CN"/>
              </w:rPr>
              <w:t>月</w:t>
            </w:r>
            <w:r>
              <w:rPr>
                <w:kern w:val="2"/>
                <w:szCs w:val="21"/>
                <w:lang w:val="en-US" w:eastAsia="zh-CN"/>
              </w:rPr>
              <w:t>6</w:t>
            </w:r>
            <w:r>
              <w:rPr>
                <w:rFonts w:hint="eastAsia"/>
                <w:kern w:val="2"/>
                <w:szCs w:val="21"/>
                <w:lang w:val="en-US" w:eastAsia="zh-CN"/>
              </w:rPr>
              <w:t>日夜间</w:t>
            </w:r>
          </w:p>
        </w:tc>
        <w:tc>
          <w:tcPr>
            <w:tcW w:w="1642" w:type="dxa"/>
            <w:vAlign w:val="center"/>
          </w:tcPr>
          <w:p>
            <w:pPr>
              <w:pStyle w:val="26"/>
              <w:rPr>
                <w:kern w:val="2"/>
                <w:szCs w:val="21"/>
                <w:lang w:val="en-US" w:eastAsia="zh-CN"/>
              </w:rPr>
            </w:pPr>
            <w:r>
              <w:rPr>
                <w:kern w:val="2"/>
                <w:szCs w:val="21"/>
                <w:lang w:val="en-US" w:eastAsia="zh-CN"/>
              </w:rPr>
              <w:t>7</w:t>
            </w:r>
            <w:r>
              <w:rPr>
                <w:rFonts w:hint="eastAsia"/>
                <w:kern w:val="2"/>
                <w:szCs w:val="21"/>
                <w:lang w:val="en-US" w:eastAsia="zh-CN"/>
              </w:rPr>
              <w:t>月</w:t>
            </w:r>
            <w:r>
              <w:rPr>
                <w:kern w:val="2"/>
                <w:szCs w:val="21"/>
                <w:lang w:val="en-US" w:eastAsia="zh-CN"/>
              </w:rPr>
              <w:t>7</w:t>
            </w:r>
            <w:r>
              <w:rPr>
                <w:rFonts w:hint="eastAsia"/>
                <w:kern w:val="2"/>
                <w:szCs w:val="21"/>
                <w:lang w:val="en-US" w:eastAsia="zh-CN"/>
              </w:rPr>
              <w:t>日昼间</w:t>
            </w:r>
          </w:p>
        </w:tc>
        <w:tc>
          <w:tcPr>
            <w:tcW w:w="1643" w:type="dxa"/>
            <w:vAlign w:val="center"/>
          </w:tcPr>
          <w:p>
            <w:pPr>
              <w:pStyle w:val="26"/>
              <w:rPr>
                <w:kern w:val="2"/>
                <w:szCs w:val="21"/>
                <w:lang w:val="en-US" w:eastAsia="zh-CN"/>
              </w:rPr>
            </w:pPr>
            <w:r>
              <w:rPr>
                <w:kern w:val="2"/>
                <w:szCs w:val="21"/>
                <w:lang w:val="en-US" w:eastAsia="zh-CN"/>
              </w:rPr>
              <w:t>7</w:t>
            </w:r>
            <w:r>
              <w:rPr>
                <w:rFonts w:hint="eastAsia"/>
                <w:kern w:val="2"/>
                <w:szCs w:val="21"/>
                <w:lang w:val="en-US" w:eastAsia="zh-CN"/>
              </w:rPr>
              <w:t>月</w:t>
            </w:r>
            <w:r>
              <w:rPr>
                <w:kern w:val="2"/>
                <w:szCs w:val="21"/>
                <w:lang w:val="en-US" w:eastAsia="zh-CN"/>
              </w:rPr>
              <w:t>7</w:t>
            </w:r>
            <w:r>
              <w:rPr>
                <w:rFonts w:hint="eastAsia"/>
                <w:kern w:val="2"/>
                <w:szCs w:val="21"/>
                <w:lang w:val="en-US" w:eastAsia="zh-CN"/>
              </w:rPr>
              <w:t>日夜间</w:t>
            </w:r>
          </w:p>
        </w:tc>
        <w:tc>
          <w:tcPr>
            <w:tcW w:w="1643"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2" w:type="dxa"/>
            <w:vAlign w:val="center"/>
          </w:tcPr>
          <w:p>
            <w:pPr>
              <w:pStyle w:val="26"/>
              <w:rPr>
                <w:kern w:val="2"/>
                <w:szCs w:val="21"/>
                <w:lang w:val="en-US" w:eastAsia="zh-CN"/>
              </w:rPr>
            </w:pPr>
            <w:r>
              <w:rPr>
                <w:rFonts w:hint="eastAsia"/>
                <w:kern w:val="2"/>
                <w:szCs w:val="21"/>
                <w:lang w:val="en-US" w:eastAsia="zh-CN"/>
              </w:rPr>
              <w:t>厂界东</w:t>
            </w:r>
          </w:p>
        </w:tc>
        <w:tc>
          <w:tcPr>
            <w:tcW w:w="1642" w:type="dxa"/>
            <w:vAlign w:val="center"/>
          </w:tcPr>
          <w:p>
            <w:pPr>
              <w:pStyle w:val="26"/>
              <w:rPr>
                <w:kern w:val="2"/>
                <w:szCs w:val="21"/>
                <w:lang w:val="en-US" w:eastAsia="zh-CN"/>
              </w:rPr>
            </w:pPr>
            <w:r>
              <w:rPr>
                <w:kern w:val="2"/>
                <w:szCs w:val="21"/>
                <w:lang w:val="en-US" w:eastAsia="zh-CN"/>
              </w:rPr>
              <w:t>59.4</w:t>
            </w:r>
          </w:p>
        </w:tc>
        <w:tc>
          <w:tcPr>
            <w:tcW w:w="1642" w:type="dxa"/>
            <w:vAlign w:val="center"/>
          </w:tcPr>
          <w:p>
            <w:pPr>
              <w:pStyle w:val="26"/>
              <w:rPr>
                <w:kern w:val="2"/>
                <w:szCs w:val="21"/>
                <w:lang w:val="en-US" w:eastAsia="zh-CN"/>
              </w:rPr>
            </w:pPr>
            <w:r>
              <w:rPr>
                <w:kern w:val="2"/>
                <w:szCs w:val="21"/>
                <w:lang w:val="en-US" w:eastAsia="zh-CN"/>
              </w:rPr>
              <w:t>46.7</w:t>
            </w:r>
          </w:p>
        </w:tc>
        <w:tc>
          <w:tcPr>
            <w:tcW w:w="1642" w:type="dxa"/>
            <w:vAlign w:val="center"/>
          </w:tcPr>
          <w:p>
            <w:pPr>
              <w:pStyle w:val="26"/>
              <w:rPr>
                <w:kern w:val="2"/>
                <w:szCs w:val="21"/>
                <w:lang w:val="en-US" w:eastAsia="zh-CN"/>
              </w:rPr>
            </w:pPr>
            <w:r>
              <w:rPr>
                <w:kern w:val="2"/>
                <w:szCs w:val="21"/>
                <w:lang w:val="en-US" w:eastAsia="zh-CN"/>
              </w:rPr>
              <w:t>58.1</w:t>
            </w:r>
          </w:p>
        </w:tc>
        <w:tc>
          <w:tcPr>
            <w:tcW w:w="1643" w:type="dxa"/>
            <w:vAlign w:val="center"/>
          </w:tcPr>
          <w:p>
            <w:pPr>
              <w:pStyle w:val="26"/>
              <w:rPr>
                <w:kern w:val="2"/>
                <w:szCs w:val="21"/>
                <w:lang w:val="en-US" w:eastAsia="zh-CN"/>
              </w:rPr>
            </w:pPr>
            <w:r>
              <w:rPr>
                <w:kern w:val="2"/>
                <w:szCs w:val="21"/>
                <w:lang w:val="en-US" w:eastAsia="zh-CN"/>
              </w:rPr>
              <w:t>45.8</w:t>
            </w:r>
          </w:p>
        </w:tc>
        <w:tc>
          <w:tcPr>
            <w:tcW w:w="1643" w:type="dxa"/>
            <w:vMerge w:val="restart"/>
            <w:vAlign w:val="center"/>
          </w:tcPr>
          <w:p>
            <w:pPr>
              <w:pStyle w:val="26"/>
              <w:rPr>
                <w:kern w:val="2"/>
                <w:szCs w:val="21"/>
                <w:lang w:val="en-US" w:eastAsia="zh-CN"/>
              </w:rPr>
            </w:pPr>
            <w:r>
              <w:rPr>
                <w:rFonts w:hint="eastAsia"/>
                <w:kern w:val="2"/>
                <w:szCs w:val="21"/>
                <w:lang w:val="en-US" w:eastAsia="zh-CN"/>
              </w:rPr>
              <w:t>昼间≤</w:t>
            </w:r>
            <w:r>
              <w:rPr>
                <w:kern w:val="2"/>
                <w:szCs w:val="21"/>
                <w:lang w:val="en-US" w:eastAsia="zh-CN"/>
              </w:rPr>
              <w:t>65</w:t>
            </w:r>
          </w:p>
          <w:p>
            <w:pPr>
              <w:pStyle w:val="26"/>
              <w:rPr>
                <w:kern w:val="2"/>
                <w:szCs w:val="21"/>
                <w:lang w:val="en-US" w:eastAsia="zh-CN"/>
              </w:rPr>
            </w:pPr>
            <w:r>
              <w:rPr>
                <w:rFonts w:hint="eastAsia"/>
                <w:kern w:val="2"/>
                <w:szCs w:val="21"/>
                <w:lang w:val="en-US" w:eastAsia="zh-CN"/>
              </w:rPr>
              <w:t>夜间≤</w:t>
            </w:r>
            <w:r>
              <w:rPr>
                <w:kern w:val="2"/>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2" w:type="dxa"/>
            <w:vAlign w:val="center"/>
          </w:tcPr>
          <w:p>
            <w:pPr>
              <w:pStyle w:val="26"/>
              <w:rPr>
                <w:kern w:val="2"/>
                <w:szCs w:val="21"/>
                <w:lang w:val="en-US" w:eastAsia="zh-CN"/>
              </w:rPr>
            </w:pPr>
            <w:r>
              <w:rPr>
                <w:rFonts w:hint="eastAsia"/>
                <w:kern w:val="2"/>
                <w:szCs w:val="21"/>
                <w:lang w:val="en-US" w:eastAsia="zh-CN"/>
              </w:rPr>
              <w:t>厂界南</w:t>
            </w:r>
          </w:p>
        </w:tc>
        <w:tc>
          <w:tcPr>
            <w:tcW w:w="1642" w:type="dxa"/>
            <w:vAlign w:val="center"/>
          </w:tcPr>
          <w:p>
            <w:pPr>
              <w:pStyle w:val="26"/>
              <w:rPr>
                <w:kern w:val="2"/>
                <w:szCs w:val="21"/>
                <w:lang w:val="en-US" w:eastAsia="zh-CN"/>
              </w:rPr>
            </w:pPr>
            <w:r>
              <w:rPr>
                <w:kern w:val="2"/>
                <w:szCs w:val="21"/>
                <w:lang w:val="en-US" w:eastAsia="zh-CN"/>
              </w:rPr>
              <w:t>58.5</w:t>
            </w:r>
          </w:p>
        </w:tc>
        <w:tc>
          <w:tcPr>
            <w:tcW w:w="1642" w:type="dxa"/>
            <w:vAlign w:val="center"/>
          </w:tcPr>
          <w:p>
            <w:pPr>
              <w:pStyle w:val="26"/>
              <w:rPr>
                <w:kern w:val="2"/>
                <w:szCs w:val="21"/>
                <w:lang w:val="en-US" w:eastAsia="zh-CN"/>
              </w:rPr>
            </w:pPr>
            <w:r>
              <w:rPr>
                <w:kern w:val="2"/>
                <w:szCs w:val="21"/>
                <w:lang w:val="en-US" w:eastAsia="zh-CN"/>
              </w:rPr>
              <w:t>48.0</w:t>
            </w:r>
          </w:p>
        </w:tc>
        <w:tc>
          <w:tcPr>
            <w:tcW w:w="1642" w:type="dxa"/>
            <w:vAlign w:val="center"/>
          </w:tcPr>
          <w:p>
            <w:pPr>
              <w:pStyle w:val="26"/>
              <w:rPr>
                <w:kern w:val="2"/>
                <w:szCs w:val="21"/>
                <w:lang w:val="en-US" w:eastAsia="zh-CN"/>
              </w:rPr>
            </w:pPr>
            <w:r>
              <w:rPr>
                <w:kern w:val="2"/>
                <w:szCs w:val="21"/>
                <w:lang w:val="en-US" w:eastAsia="zh-CN"/>
              </w:rPr>
              <w:t>58.8</w:t>
            </w:r>
          </w:p>
        </w:tc>
        <w:tc>
          <w:tcPr>
            <w:tcW w:w="1643" w:type="dxa"/>
            <w:vAlign w:val="center"/>
          </w:tcPr>
          <w:p>
            <w:pPr>
              <w:pStyle w:val="26"/>
              <w:rPr>
                <w:kern w:val="2"/>
                <w:szCs w:val="21"/>
                <w:lang w:val="en-US" w:eastAsia="zh-CN"/>
              </w:rPr>
            </w:pPr>
            <w:r>
              <w:rPr>
                <w:kern w:val="2"/>
                <w:szCs w:val="21"/>
                <w:lang w:val="en-US" w:eastAsia="zh-CN"/>
              </w:rPr>
              <w:t>47.0</w:t>
            </w:r>
          </w:p>
        </w:tc>
        <w:tc>
          <w:tcPr>
            <w:tcW w:w="1643"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2" w:type="dxa"/>
            <w:vAlign w:val="center"/>
          </w:tcPr>
          <w:p>
            <w:pPr>
              <w:pStyle w:val="26"/>
              <w:rPr>
                <w:kern w:val="2"/>
                <w:szCs w:val="21"/>
                <w:lang w:val="en-US" w:eastAsia="zh-CN"/>
              </w:rPr>
            </w:pPr>
            <w:r>
              <w:rPr>
                <w:rFonts w:hint="eastAsia"/>
                <w:kern w:val="2"/>
                <w:szCs w:val="21"/>
                <w:lang w:val="en-US" w:eastAsia="zh-CN"/>
              </w:rPr>
              <w:t>厂界西</w:t>
            </w:r>
          </w:p>
        </w:tc>
        <w:tc>
          <w:tcPr>
            <w:tcW w:w="1642" w:type="dxa"/>
            <w:vAlign w:val="center"/>
          </w:tcPr>
          <w:p>
            <w:pPr>
              <w:pStyle w:val="26"/>
              <w:rPr>
                <w:kern w:val="2"/>
                <w:szCs w:val="21"/>
                <w:lang w:val="en-US" w:eastAsia="zh-CN"/>
              </w:rPr>
            </w:pPr>
            <w:r>
              <w:rPr>
                <w:kern w:val="2"/>
                <w:szCs w:val="21"/>
                <w:lang w:val="en-US" w:eastAsia="zh-CN"/>
              </w:rPr>
              <w:t>57.5</w:t>
            </w:r>
          </w:p>
        </w:tc>
        <w:tc>
          <w:tcPr>
            <w:tcW w:w="1642" w:type="dxa"/>
            <w:vAlign w:val="center"/>
          </w:tcPr>
          <w:p>
            <w:pPr>
              <w:pStyle w:val="26"/>
              <w:rPr>
                <w:kern w:val="2"/>
                <w:szCs w:val="21"/>
                <w:lang w:val="en-US" w:eastAsia="zh-CN"/>
              </w:rPr>
            </w:pPr>
            <w:r>
              <w:rPr>
                <w:kern w:val="2"/>
                <w:szCs w:val="21"/>
                <w:lang w:val="en-US" w:eastAsia="zh-CN"/>
              </w:rPr>
              <w:t>48.9</w:t>
            </w:r>
          </w:p>
        </w:tc>
        <w:tc>
          <w:tcPr>
            <w:tcW w:w="1642" w:type="dxa"/>
            <w:vAlign w:val="center"/>
          </w:tcPr>
          <w:p>
            <w:pPr>
              <w:pStyle w:val="26"/>
              <w:rPr>
                <w:kern w:val="2"/>
                <w:szCs w:val="21"/>
                <w:lang w:val="en-US" w:eastAsia="zh-CN"/>
              </w:rPr>
            </w:pPr>
            <w:r>
              <w:rPr>
                <w:kern w:val="2"/>
                <w:szCs w:val="21"/>
                <w:lang w:val="en-US" w:eastAsia="zh-CN"/>
              </w:rPr>
              <w:t>57.0</w:t>
            </w:r>
          </w:p>
        </w:tc>
        <w:tc>
          <w:tcPr>
            <w:tcW w:w="1643" w:type="dxa"/>
            <w:vAlign w:val="center"/>
          </w:tcPr>
          <w:p>
            <w:pPr>
              <w:pStyle w:val="26"/>
              <w:rPr>
                <w:kern w:val="2"/>
                <w:szCs w:val="21"/>
                <w:lang w:val="en-US" w:eastAsia="zh-CN"/>
              </w:rPr>
            </w:pPr>
            <w:r>
              <w:rPr>
                <w:kern w:val="2"/>
                <w:szCs w:val="21"/>
                <w:lang w:val="en-US" w:eastAsia="zh-CN"/>
              </w:rPr>
              <w:t>47.1</w:t>
            </w:r>
          </w:p>
        </w:tc>
        <w:tc>
          <w:tcPr>
            <w:tcW w:w="1643" w:type="dxa"/>
            <w:vMerge w:val="continue"/>
            <w:vAlign w:val="center"/>
          </w:tcPr>
          <w:p>
            <w:pPr>
              <w:pStyle w:val="26"/>
              <w:rPr>
                <w:kern w:val="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2" w:type="dxa"/>
            <w:vAlign w:val="center"/>
          </w:tcPr>
          <w:p>
            <w:pPr>
              <w:pStyle w:val="26"/>
              <w:rPr>
                <w:kern w:val="2"/>
                <w:szCs w:val="21"/>
                <w:lang w:val="en-US" w:eastAsia="zh-CN"/>
              </w:rPr>
            </w:pPr>
            <w:r>
              <w:rPr>
                <w:rFonts w:hint="eastAsia"/>
                <w:kern w:val="2"/>
                <w:szCs w:val="21"/>
                <w:lang w:val="en-US" w:eastAsia="zh-CN"/>
              </w:rPr>
              <w:t>厂界北</w:t>
            </w:r>
          </w:p>
        </w:tc>
        <w:tc>
          <w:tcPr>
            <w:tcW w:w="1642" w:type="dxa"/>
            <w:vAlign w:val="center"/>
          </w:tcPr>
          <w:p>
            <w:pPr>
              <w:pStyle w:val="26"/>
              <w:rPr>
                <w:kern w:val="2"/>
                <w:szCs w:val="21"/>
                <w:lang w:val="en-US" w:eastAsia="zh-CN"/>
              </w:rPr>
            </w:pPr>
            <w:r>
              <w:rPr>
                <w:kern w:val="2"/>
                <w:szCs w:val="21"/>
                <w:lang w:val="en-US" w:eastAsia="zh-CN"/>
              </w:rPr>
              <w:t>58.8</w:t>
            </w:r>
          </w:p>
        </w:tc>
        <w:tc>
          <w:tcPr>
            <w:tcW w:w="1642" w:type="dxa"/>
            <w:vAlign w:val="center"/>
          </w:tcPr>
          <w:p>
            <w:pPr>
              <w:pStyle w:val="26"/>
              <w:rPr>
                <w:kern w:val="2"/>
                <w:szCs w:val="21"/>
                <w:lang w:val="en-US" w:eastAsia="zh-CN"/>
              </w:rPr>
            </w:pPr>
            <w:r>
              <w:rPr>
                <w:kern w:val="2"/>
                <w:szCs w:val="21"/>
                <w:lang w:val="en-US" w:eastAsia="zh-CN"/>
              </w:rPr>
              <w:t>48.6</w:t>
            </w:r>
          </w:p>
        </w:tc>
        <w:tc>
          <w:tcPr>
            <w:tcW w:w="1642" w:type="dxa"/>
            <w:vAlign w:val="center"/>
          </w:tcPr>
          <w:p>
            <w:pPr>
              <w:pStyle w:val="26"/>
              <w:rPr>
                <w:kern w:val="2"/>
                <w:szCs w:val="21"/>
                <w:lang w:val="en-US" w:eastAsia="zh-CN"/>
              </w:rPr>
            </w:pPr>
            <w:r>
              <w:rPr>
                <w:kern w:val="2"/>
                <w:szCs w:val="21"/>
                <w:lang w:val="en-US" w:eastAsia="zh-CN"/>
              </w:rPr>
              <w:t>58.9</w:t>
            </w:r>
          </w:p>
        </w:tc>
        <w:tc>
          <w:tcPr>
            <w:tcW w:w="1643" w:type="dxa"/>
            <w:vAlign w:val="center"/>
          </w:tcPr>
          <w:p>
            <w:pPr>
              <w:pStyle w:val="26"/>
              <w:rPr>
                <w:kern w:val="2"/>
                <w:szCs w:val="21"/>
                <w:lang w:val="en-US" w:eastAsia="zh-CN"/>
              </w:rPr>
            </w:pPr>
            <w:r>
              <w:rPr>
                <w:kern w:val="2"/>
                <w:szCs w:val="21"/>
                <w:lang w:val="en-US" w:eastAsia="zh-CN"/>
              </w:rPr>
              <w:t>47.8</w:t>
            </w:r>
          </w:p>
        </w:tc>
        <w:tc>
          <w:tcPr>
            <w:tcW w:w="1643" w:type="dxa"/>
            <w:vMerge w:val="continue"/>
            <w:vAlign w:val="center"/>
          </w:tcPr>
          <w:p>
            <w:pPr>
              <w:pStyle w:val="26"/>
              <w:rPr>
                <w:kern w:val="2"/>
                <w:szCs w:val="21"/>
                <w:lang w:val="en-US" w:eastAsia="zh-CN"/>
              </w:rPr>
            </w:pPr>
          </w:p>
        </w:tc>
      </w:tr>
    </w:tbl>
    <w:p>
      <w:pPr>
        <w:ind w:firstLine="480"/>
      </w:pPr>
      <w:r>
        <w:rPr>
          <w:rFonts w:hint="eastAsia"/>
        </w:rPr>
        <w:t>由表</w:t>
      </w:r>
      <w:r>
        <w:t>5.2-10</w:t>
      </w:r>
      <w:r>
        <w:rPr>
          <w:rFonts w:hint="eastAsia"/>
        </w:rPr>
        <w:t>可知，项目厂界声环境均能满足《声环境质量标准》（</w:t>
      </w:r>
      <w:r>
        <w:t>GB3096- 2008</w:t>
      </w:r>
      <w:r>
        <w:rPr>
          <w:rFonts w:hint="eastAsia"/>
        </w:rPr>
        <w:t>）中的</w:t>
      </w:r>
      <w:r>
        <w:t>3</w:t>
      </w:r>
      <w:r>
        <w:rPr>
          <w:rFonts w:hint="eastAsia"/>
        </w:rPr>
        <w:t>类声环境功能区标准。</w:t>
      </w:r>
    </w:p>
    <w:p>
      <w:pPr>
        <w:pStyle w:val="4"/>
      </w:pPr>
      <w:r>
        <w:rPr>
          <w:rFonts w:hint="eastAsia"/>
        </w:rPr>
        <w:t>土壤环境质量现状监测与评价</w:t>
      </w:r>
    </w:p>
    <w:p>
      <w:pPr>
        <w:ind w:firstLine="480"/>
      </w:pPr>
      <w:r>
        <w:rPr>
          <w:rFonts w:hint="eastAsia"/>
        </w:rPr>
        <w:t>为了解评价区域土壤环境质量现状，本次环评委托了岳阳市衡润检测有限公司于</w:t>
      </w:r>
      <w:r>
        <w:t>2017</w:t>
      </w:r>
      <w:r>
        <w:rPr>
          <w:rFonts w:hint="eastAsia"/>
        </w:rPr>
        <w:t>年</w:t>
      </w:r>
      <w:r>
        <w:t>7</w:t>
      </w:r>
      <w:r>
        <w:rPr>
          <w:rFonts w:hint="eastAsia"/>
        </w:rPr>
        <w:t>月</w:t>
      </w:r>
      <w:r>
        <w:t>6</w:t>
      </w:r>
      <w:r>
        <w:rPr>
          <w:rFonts w:hint="eastAsia"/>
        </w:rPr>
        <w:t>日对场地内土壤进行了一次现状监测。</w:t>
      </w:r>
    </w:p>
    <w:p>
      <w:pPr>
        <w:spacing w:line="520" w:lineRule="exact"/>
        <w:ind w:firstLine="480"/>
        <w:jc w:val="left"/>
      </w:pPr>
      <w:r>
        <w:rPr>
          <w:rFonts w:hint="eastAsia"/>
        </w:rPr>
        <w:t>（</w:t>
      </w:r>
      <w:r>
        <w:t>1</w:t>
      </w:r>
      <w:r>
        <w:rPr>
          <w:rFonts w:hint="eastAsia"/>
        </w:rPr>
        <w:t>）监测点位：共设</w:t>
      </w:r>
      <w:r>
        <w:t>2</w:t>
      </w:r>
      <w:r>
        <w:rPr>
          <w:rFonts w:hint="eastAsia"/>
        </w:rPr>
        <w:t>个监测点，相关监测点见表</w:t>
      </w:r>
      <w:r>
        <w:t>5.2-11</w:t>
      </w:r>
      <w:r>
        <w:rPr>
          <w:rFonts w:hint="eastAsia"/>
        </w:rPr>
        <w:t>。</w:t>
      </w:r>
    </w:p>
    <w:p>
      <w:pPr>
        <w:pStyle w:val="26"/>
      </w:pPr>
      <w:r>
        <w:rPr>
          <w:rFonts w:hint="eastAsia"/>
        </w:rPr>
        <w:t>表</w:t>
      </w:r>
      <w:r>
        <w:t xml:space="preserve">5.2-11 </w:t>
      </w:r>
      <w:r>
        <w:rPr>
          <w:rFonts w:hint="eastAsia"/>
        </w:rPr>
        <w:t>土壤监测点</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2"/>
        <w:gridCol w:w="1958"/>
        <w:gridCol w:w="2969"/>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62" w:type="dxa"/>
            <w:vAlign w:val="center"/>
          </w:tcPr>
          <w:p>
            <w:pPr>
              <w:pStyle w:val="26"/>
              <w:rPr>
                <w:kern w:val="2"/>
                <w:szCs w:val="21"/>
                <w:lang w:val="en-US" w:eastAsia="zh-CN"/>
              </w:rPr>
            </w:pPr>
            <w:r>
              <w:rPr>
                <w:rFonts w:hint="eastAsia"/>
                <w:kern w:val="2"/>
                <w:szCs w:val="21"/>
                <w:lang w:val="en-US" w:eastAsia="zh-CN"/>
              </w:rPr>
              <w:t>编号</w:t>
            </w:r>
          </w:p>
        </w:tc>
        <w:tc>
          <w:tcPr>
            <w:tcW w:w="1958" w:type="dxa"/>
            <w:vAlign w:val="center"/>
          </w:tcPr>
          <w:p>
            <w:pPr>
              <w:pStyle w:val="26"/>
              <w:rPr>
                <w:kern w:val="2"/>
                <w:szCs w:val="21"/>
                <w:lang w:val="en-US" w:eastAsia="zh-CN"/>
              </w:rPr>
            </w:pPr>
            <w:r>
              <w:rPr>
                <w:rFonts w:hint="eastAsia"/>
                <w:kern w:val="2"/>
                <w:szCs w:val="21"/>
                <w:lang w:val="en-US" w:eastAsia="zh-CN"/>
              </w:rPr>
              <w:t>采样点</w:t>
            </w:r>
          </w:p>
        </w:tc>
        <w:tc>
          <w:tcPr>
            <w:tcW w:w="2969" w:type="dxa"/>
            <w:vAlign w:val="center"/>
          </w:tcPr>
          <w:p>
            <w:pPr>
              <w:pStyle w:val="26"/>
              <w:rPr>
                <w:kern w:val="2"/>
                <w:szCs w:val="21"/>
                <w:lang w:val="en-US" w:eastAsia="zh-CN"/>
              </w:rPr>
            </w:pPr>
            <w:r>
              <w:rPr>
                <w:rFonts w:hint="eastAsia"/>
                <w:kern w:val="2"/>
                <w:szCs w:val="21"/>
                <w:lang w:val="en-US" w:eastAsia="zh-CN"/>
              </w:rPr>
              <w:t>方位</w:t>
            </w:r>
          </w:p>
        </w:tc>
        <w:tc>
          <w:tcPr>
            <w:tcW w:w="2465" w:type="dxa"/>
            <w:vAlign w:val="center"/>
          </w:tcPr>
          <w:p>
            <w:pPr>
              <w:pStyle w:val="26"/>
              <w:rPr>
                <w:kern w:val="2"/>
                <w:szCs w:val="21"/>
                <w:lang w:val="en-US" w:eastAsia="zh-CN"/>
              </w:rPr>
            </w:pPr>
            <w:r>
              <w:rPr>
                <w:rFonts w:hint="eastAsia"/>
                <w:kern w:val="2"/>
                <w:szCs w:val="21"/>
                <w:lang w:val="en-US" w:eastAsia="zh-CN"/>
              </w:rPr>
              <w:t>距项目地距离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62" w:type="dxa"/>
            <w:vAlign w:val="center"/>
          </w:tcPr>
          <w:p>
            <w:pPr>
              <w:pStyle w:val="26"/>
              <w:rPr>
                <w:kern w:val="2"/>
                <w:szCs w:val="21"/>
                <w:lang w:val="en-US" w:eastAsia="zh-CN"/>
              </w:rPr>
            </w:pPr>
            <w:r>
              <w:rPr>
                <w:kern w:val="2"/>
                <w:szCs w:val="21"/>
                <w:lang w:val="en-US" w:eastAsia="zh-CN"/>
              </w:rPr>
              <w:t>S1</w:t>
            </w:r>
          </w:p>
        </w:tc>
        <w:tc>
          <w:tcPr>
            <w:tcW w:w="1958" w:type="dxa"/>
            <w:vAlign w:val="center"/>
          </w:tcPr>
          <w:p>
            <w:pPr>
              <w:pStyle w:val="26"/>
              <w:rPr>
                <w:kern w:val="2"/>
                <w:szCs w:val="21"/>
                <w:lang w:val="en-US" w:eastAsia="zh-CN"/>
              </w:rPr>
            </w:pPr>
            <w:r>
              <w:rPr>
                <w:rFonts w:hint="eastAsia"/>
                <w:kern w:val="2"/>
                <w:szCs w:val="21"/>
                <w:lang w:val="en-US" w:eastAsia="zh-CN"/>
              </w:rPr>
              <w:t>污水处理站</w:t>
            </w:r>
          </w:p>
        </w:tc>
        <w:tc>
          <w:tcPr>
            <w:tcW w:w="2969" w:type="dxa"/>
            <w:vAlign w:val="center"/>
          </w:tcPr>
          <w:p>
            <w:pPr>
              <w:pStyle w:val="26"/>
              <w:rPr>
                <w:kern w:val="2"/>
                <w:szCs w:val="21"/>
                <w:lang w:val="en-US" w:eastAsia="zh-CN"/>
              </w:rPr>
            </w:pPr>
            <w:r>
              <w:rPr>
                <w:kern w:val="2"/>
                <w:szCs w:val="21"/>
                <w:lang w:val="en-US" w:eastAsia="zh-CN"/>
              </w:rPr>
              <w:t>E</w:t>
            </w:r>
          </w:p>
        </w:tc>
        <w:tc>
          <w:tcPr>
            <w:tcW w:w="2465" w:type="dxa"/>
            <w:vAlign w:val="center"/>
          </w:tcPr>
          <w:p>
            <w:pPr>
              <w:pStyle w:val="26"/>
              <w:rPr>
                <w:kern w:val="2"/>
                <w:szCs w:val="21"/>
                <w:lang w:val="en-US" w:eastAsia="zh-CN"/>
              </w:rPr>
            </w:pPr>
            <w:r>
              <w:rPr>
                <w:kern w:val="2"/>
                <w:szCs w:val="21"/>
                <w:lang w:val="en-US" w:eastAsia="zh-CN"/>
              </w:rPr>
              <w:t>116m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62" w:type="dxa"/>
            <w:vAlign w:val="center"/>
          </w:tcPr>
          <w:p>
            <w:pPr>
              <w:pStyle w:val="26"/>
              <w:rPr>
                <w:kern w:val="2"/>
                <w:szCs w:val="21"/>
                <w:lang w:val="en-US" w:eastAsia="zh-CN"/>
              </w:rPr>
            </w:pPr>
            <w:r>
              <w:rPr>
                <w:kern w:val="2"/>
                <w:szCs w:val="21"/>
                <w:lang w:val="en-US" w:eastAsia="zh-CN"/>
              </w:rPr>
              <w:t>S2</w:t>
            </w:r>
          </w:p>
        </w:tc>
        <w:tc>
          <w:tcPr>
            <w:tcW w:w="1958" w:type="dxa"/>
            <w:vAlign w:val="center"/>
          </w:tcPr>
          <w:p>
            <w:pPr>
              <w:pStyle w:val="26"/>
              <w:rPr>
                <w:kern w:val="2"/>
                <w:szCs w:val="21"/>
                <w:lang w:val="en-US" w:eastAsia="zh-CN"/>
              </w:rPr>
            </w:pPr>
            <w:r>
              <w:rPr>
                <w:rFonts w:hint="eastAsia"/>
                <w:kern w:val="2"/>
                <w:szCs w:val="21"/>
                <w:lang w:val="en-US" w:eastAsia="zh-CN"/>
              </w:rPr>
              <w:t>印染车间外</w:t>
            </w:r>
          </w:p>
        </w:tc>
        <w:tc>
          <w:tcPr>
            <w:tcW w:w="2969" w:type="dxa"/>
            <w:vAlign w:val="center"/>
          </w:tcPr>
          <w:p>
            <w:pPr>
              <w:pStyle w:val="26"/>
              <w:rPr>
                <w:kern w:val="2"/>
                <w:szCs w:val="21"/>
                <w:lang w:val="en-US" w:eastAsia="zh-CN"/>
              </w:rPr>
            </w:pPr>
            <w:r>
              <w:rPr>
                <w:kern w:val="2"/>
                <w:szCs w:val="21"/>
                <w:lang w:val="en-US" w:eastAsia="zh-CN"/>
              </w:rPr>
              <w:t>--</w:t>
            </w:r>
          </w:p>
        </w:tc>
        <w:tc>
          <w:tcPr>
            <w:tcW w:w="2465" w:type="dxa"/>
            <w:vAlign w:val="center"/>
          </w:tcPr>
          <w:p>
            <w:pPr>
              <w:pStyle w:val="26"/>
              <w:rPr>
                <w:kern w:val="2"/>
                <w:szCs w:val="21"/>
                <w:lang w:val="en-US" w:eastAsia="zh-CN"/>
              </w:rPr>
            </w:pPr>
            <w:r>
              <w:rPr>
                <w:kern w:val="2"/>
                <w:szCs w:val="21"/>
                <w:lang w:val="en-US" w:eastAsia="zh-CN"/>
              </w:rPr>
              <w:t>--</w:t>
            </w:r>
          </w:p>
        </w:tc>
      </w:tr>
    </w:tbl>
    <w:p>
      <w:pPr>
        <w:ind w:firstLine="480"/>
      </w:pPr>
      <w:r>
        <w:rPr>
          <w:rFonts w:hint="eastAsia"/>
        </w:rPr>
        <w:t>（</w:t>
      </w:r>
      <w:r>
        <w:t>2</w:t>
      </w:r>
      <w:r>
        <w:rPr>
          <w:rFonts w:hint="eastAsia"/>
        </w:rPr>
        <w:t>）监测项目：</w:t>
      </w:r>
      <w:r>
        <w:t>pH</w:t>
      </w:r>
      <w:r>
        <w:rPr>
          <w:rFonts w:hint="eastAsia"/>
        </w:rPr>
        <w:t>（无量纲）、</w:t>
      </w:r>
      <w:r>
        <w:t>Cd</w:t>
      </w:r>
      <w:r>
        <w:rPr>
          <w:rFonts w:hint="eastAsia"/>
        </w:rPr>
        <w:t>、</w:t>
      </w:r>
      <w:r>
        <w:t>As</w:t>
      </w:r>
      <w:r>
        <w:rPr>
          <w:rFonts w:hint="eastAsia"/>
        </w:rPr>
        <w:t>、汞、</w:t>
      </w:r>
      <w:r>
        <w:t>Pb</w:t>
      </w:r>
      <w:r>
        <w:rPr>
          <w:rFonts w:hint="eastAsia"/>
        </w:rPr>
        <w:t>、六价铬、锌、镍，共</w:t>
      </w:r>
      <w:r>
        <w:t>8</w:t>
      </w:r>
      <w:r>
        <w:rPr>
          <w:rFonts w:hint="eastAsia"/>
        </w:rPr>
        <w:t>项。</w:t>
      </w:r>
    </w:p>
    <w:p>
      <w:pPr>
        <w:ind w:firstLine="480"/>
      </w:pPr>
      <w:r>
        <w:rPr>
          <w:rFonts w:hint="eastAsia"/>
        </w:rPr>
        <w:t>（</w:t>
      </w:r>
      <w:r>
        <w:t>3</w:t>
      </w:r>
      <w:r>
        <w:rPr>
          <w:rFonts w:hint="eastAsia"/>
        </w:rPr>
        <w:t>）采样时间及频率：</w:t>
      </w:r>
      <w:r>
        <w:t>2017</w:t>
      </w:r>
      <w:r>
        <w:rPr>
          <w:rFonts w:hint="eastAsia"/>
        </w:rPr>
        <w:t>年</w:t>
      </w:r>
      <w:r>
        <w:t>7</w:t>
      </w:r>
      <w:r>
        <w:rPr>
          <w:rFonts w:hint="eastAsia"/>
        </w:rPr>
        <w:t>月</w:t>
      </w:r>
      <w:r>
        <w:t>6</w:t>
      </w:r>
      <w:r>
        <w:rPr>
          <w:rFonts w:hint="eastAsia"/>
        </w:rPr>
        <w:t>日，每天监测</w:t>
      </w:r>
      <w:r>
        <w:t>1</w:t>
      </w:r>
      <w:r>
        <w:rPr>
          <w:rFonts w:hint="eastAsia"/>
        </w:rPr>
        <w:t>次。</w:t>
      </w:r>
    </w:p>
    <w:p>
      <w:pPr>
        <w:ind w:firstLine="480"/>
      </w:pPr>
      <w:r>
        <w:rPr>
          <w:rFonts w:hint="eastAsia"/>
        </w:rPr>
        <w:t>（</w:t>
      </w:r>
      <w:r>
        <w:t>4</w:t>
      </w:r>
      <w:r>
        <w:rPr>
          <w:rFonts w:hint="eastAsia"/>
        </w:rPr>
        <w:t>）检测方法及依据</w:t>
      </w:r>
    </w:p>
    <w:p>
      <w:pPr>
        <w:pStyle w:val="26"/>
        <w:rPr>
          <w:b/>
          <w:bCs/>
        </w:rPr>
      </w:pPr>
      <w:r>
        <w:rPr>
          <w:rFonts w:hint="eastAsia"/>
          <w:b/>
          <w:bCs/>
        </w:rPr>
        <w:t>表</w:t>
      </w:r>
      <w:r>
        <w:rPr>
          <w:b/>
          <w:bCs/>
        </w:rPr>
        <w:t xml:space="preserve">5.2-12   </w:t>
      </w:r>
      <w:r>
        <w:rPr>
          <w:rFonts w:hint="eastAsia"/>
          <w:b/>
          <w:bCs/>
        </w:rPr>
        <w:t>各监测项目的分析方法</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8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rFonts w:hint="eastAsia"/>
                <w:kern w:val="2"/>
                <w:szCs w:val="21"/>
                <w:lang w:val="en-US" w:eastAsia="zh-CN"/>
              </w:rPr>
              <w:t>监测项目</w:t>
            </w:r>
          </w:p>
        </w:tc>
        <w:tc>
          <w:tcPr>
            <w:tcW w:w="8373" w:type="dxa"/>
            <w:vAlign w:val="center"/>
          </w:tcPr>
          <w:p>
            <w:pPr>
              <w:pStyle w:val="26"/>
              <w:rPr>
                <w:kern w:val="2"/>
                <w:szCs w:val="21"/>
                <w:lang w:val="en-US" w:eastAsia="zh-CN"/>
              </w:rPr>
            </w:pPr>
            <w:r>
              <w:rPr>
                <w:rFonts w:hint="eastAsia"/>
                <w:kern w:val="2"/>
                <w:szCs w:val="21"/>
                <w:lang w:val="en-US" w:eastAsia="zh-CN"/>
              </w:rPr>
              <w:t>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kern w:val="2"/>
                <w:szCs w:val="21"/>
                <w:lang w:val="en-US" w:eastAsia="zh-CN"/>
              </w:rPr>
              <w:t>pH</w:t>
            </w:r>
          </w:p>
        </w:tc>
        <w:tc>
          <w:tcPr>
            <w:tcW w:w="8373" w:type="dxa"/>
            <w:vAlign w:val="center"/>
          </w:tcPr>
          <w:p>
            <w:pPr>
              <w:pStyle w:val="26"/>
              <w:rPr>
                <w:kern w:val="2"/>
                <w:szCs w:val="21"/>
                <w:lang w:val="en-US" w:eastAsia="zh-CN"/>
              </w:rPr>
            </w:pPr>
            <w:r>
              <w:rPr>
                <w:rFonts w:hint="eastAsia"/>
                <w:kern w:val="2"/>
                <w:szCs w:val="21"/>
                <w:lang w:val="en-US" w:eastAsia="zh-CN"/>
              </w:rPr>
              <w:t>《土壤</w:t>
            </w:r>
            <w:r>
              <w:rPr>
                <w:kern w:val="2"/>
                <w:szCs w:val="21"/>
                <w:lang w:val="en-US" w:eastAsia="zh-CN"/>
              </w:rPr>
              <w:t>pH</w:t>
            </w:r>
            <w:r>
              <w:rPr>
                <w:rFonts w:hint="eastAsia"/>
                <w:kern w:val="2"/>
                <w:szCs w:val="21"/>
                <w:lang w:val="en-US" w:eastAsia="zh-CN"/>
              </w:rPr>
              <w:t>的测定　玻璃电极法》</w:t>
            </w:r>
            <w:r>
              <w:rPr>
                <w:kern w:val="2"/>
                <w:szCs w:val="21"/>
                <w:lang w:val="en-US" w:eastAsia="zh-CN"/>
              </w:rPr>
              <w:t xml:space="preserve"> NY/T1377-2007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rFonts w:hint="eastAsia"/>
                <w:kern w:val="2"/>
                <w:szCs w:val="21"/>
                <w:lang w:val="en-US" w:eastAsia="zh-CN"/>
              </w:rPr>
              <w:t>镍</w:t>
            </w:r>
          </w:p>
        </w:tc>
        <w:tc>
          <w:tcPr>
            <w:tcW w:w="8373" w:type="dxa"/>
            <w:vAlign w:val="center"/>
          </w:tcPr>
          <w:p>
            <w:pPr>
              <w:pStyle w:val="26"/>
              <w:rPr>
                <w:kern w:val="2"/>
                <w:szCs w:val="21"/>
                <w:lang w:val="en-US" w:eastAsia="zh-CN"/>
              </w:rPr>
            </w:pPr>
            <w:r>
              <w:rPr>
                <w:rFonts w:hint="eastAsia"/>
                <w:kern w:val="2"/>
                <w:szCs w:val="21"/>
                <w:lang w:val="en-US" w:eastAsia="zh-CN"/>
              </w:rPr>
              <w:t>《土壤质量　镍的测定　火焰原子吸收分光光度法》</w:t>
            </w:r>
            <w:r>
              <w:rPr>
                <w:kern w:val="2"/>
                <w:szCs w:val="21"/>
                <w:lang w:val="en-US" w:eastAsia="zh-CN"/>
              </w:rPr>
              <w:t>GB/T17139-1997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rFonts w:hint="eastAsia"/>
                <w:kern w:val="2"/>
                <w:szCs w:val="21"/>
                <w:lang w:val="en-US" w:eastAsia="zh-CN"/>
              </w:rPr>
              <w:t>铅</w:t>
            </w:r>
          </w:p>
        </w:tc>
        <w:tc>
          <w:tcPr>
            <w:tcW w:w="8373" w:type="dxa"/>
            <w:vAlign w:val="center"/>
          </w:tcPr>
          <w:p>
            <w:pPr>
              <w:pStyle w:val="26"/>
              <w:rPr>
                <w:kern w:val="2"/>
                <w:szCs w:val="21"/>
                <w:lang w:val="en-US" w:eastAsia="zh-CN"/>
              </w:rPr>
            </w:pPr>
            <w:r>
              <w:rPr>
                <w:rFonts w:hint="eastAsia"/>
                <w:kern w:val="2"/>
                <w:szCs w:val="21"/>
                <w:lang w:val="en-US" w:eastAsia="zh-CN"/>
              </w:rPr>
              <w:t>《土壤质量铅、镉的测定石墨炉原子吸收分光光度法》</w:t>
            </w:r>
            <w:r>
              <w:rPr>
                <w:kern w:val="2"/>
                <w:szCs w:val="21"/>
                <w:lang w:val="en-US" w:eastAsia="zh-CN"/>
              </w:rPr>
              <w:t>GB/T17141-1997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rFonts w:hint="eastAsia"/>
                <w:kern w:val="2"/>
                <w:szCs w:val="21"/>
                <w:lang w:val="en-US" w:eastAsia="zh-CN"/>
              </w:rPr>
              <w:t>镉</w:t>
            </w:r>
          </w:p>
        </w:tc>
        <w:tc>
          <w:tcPr>
            <w:tcW w:w="8373" w:type="dxa"/>
            <w:vAlign w:val="center"/>
          </w:tcPr>
          <w:p>
            <w:pPr>
              <w:pStyle w:val="26"/>
              <w:rPr>
                <w:kern w:val="2"/>
                <w:szCs w:val="21"/>
                <w:lang w:val="en-US" w:eastAsia="zh-CN"/>
              </w:rPr>
            </w:pPr>
            <w:r>
              <w:rPr>
                <w:rFonts w:hint="eastAsia"/>
                <w:kern w:val="2"/>
                <w:szCs w:val="21"/>
                <w:lang w:val="en-US" w:eastAsia="zh-CN"/>
              </w:rPr>
              <w:t>《土壤质量铅、镉的测定石墨炉原子吸收分光光度法》</w:t>
            </w:r>
            <w:r>
              <w:rPr>
                <w:kern w:val="2"/>
                <w:szCs w:val="21"/>
                <w:lang w:val="en-US" w:eastAsia="zh-CN"/>
              </w:rPr>
              <w:t>GB/T17141-1997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rFonts w:hint="eastAsia"/>
                <w:kern w:val="2"/>
                <w:szCs w:val="21"/>
                <w:lang w:val="en-US" w:eastAsia="zh-CN"/>
              </w:rPr>
              <w:t>砷</w:t>
            </w:r>
          </w:p>
        </w:tc>
        <w:tc>
          <w:tcPr>
            <w:tcW w:w="8373" w:type="dxa"/>
            <w:vAlign w:val="center"/>
          </w:tcPr>
          <w:p>
            <w:pPr>
              <w:pStyle w:val="26"/>
              <w:rPr>
                <w:kern w:val="2"/>
                <w:szCs w:val="21"/>
                <w:lang w:val="en-US" w:eastAsia="zh-CN"/>
              </w:rPr>
            </w:pPr>
            <w:r>
              <w:rPr>
                <w:rFonts w:hint="eastAsia"/>
                <w:kern w:val="2"/>
                <w:szCs w:val="21"/>
                <w:lang w:val="en-US" w:eastAsia="zh-CN"/>
              </w:rPr>
              <w:t>《土壤质量　总砷的测定　二乙基二硫代氨基甲酸银分光光度法》</w:t>
            </w:r>
            <w:r>
              <w:rPr>
                <w:kern w:val="2"/>
                <w:szCs w:val="21"/>
                <w:lang w:val="en-US" w:eastAsia="zh-CN"/>
              </w:rPr>
              <w:t>GB/T17134-1997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rFonts w:hint="eastAsia"/>
                <w:kern w:val="2"/>
                <w:szCs w:val="21"/>
                <w:lang w:val="en-US" w:eastAsia="zh-CN"/>
              </w:rPr>
              <w:t>锌</w:t>
            </w:r>
          </w:p>
        </w:tc>
        <w:tc>
          <w:tcPr>
            <w:tcW w:w="8373" w:type="dxa"/>
            <w:vAlign w:val="center"/>
          </w:tcPr>
          <w:p>
            <w:pPr>
              <w:pStyle w:val="26"/>
              <w:rPr>
                <w:kern w:val="2"/>
                <w:szCs w:val="21"/>
                <w:lang w:val="en-US" w:eastAsia="zh-CN"/>
              </w:rPr>
            </w:pPr>
            <w:r>
              <w:rPr>
                <w:rFonts w:hint="eastAsia"/>
                <w:kern w:val="2"/>
                <w:szCs w:val="21"/>
                <w:lang w:val="en-US" w:eastAsia="zh-CN"/>
              </w:rPr>
              <w:t>《土壤质量　铜、锌的测定　火焰原子吸收分光光度法》</w:t>
            </w:r>
            <w:r>
              <w:rPr>
                <w:kern w:val="2"/>
                <w:szCs w:val="21"/>
                <w:lang w:val="en-US" w:eastAsia="zh-CN"/>
              </w:rPr>
              <w:t>GB/T17138-1997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rFonts w:hint="eastAsia"/>
                <w:kern w:val="2"/>
                <w:szCs w:val="21"/>
                <w:lang w:val="en-US" w:eastAsia="zh-CN"/>
              </w:rPr>
              <w:t>六价铬</w:t>
            </w:r>
          </w:p>
        </w:tc>
        <w:tc>
          <w:tcPr>
            <w:tcW w:w="8373" w:type="dxa"/>
            <w:vAlign w:val="center"/>
          </w:tcPr>
          <w:p>
            <w:pPr>
              <w:pStyle w:val="26"/>
              <w:rPr>
                <w:kern w:val="2"/>
                <w:szCs w:val="21"/>
                <w:lang w:val="en-US" w:eastAsia="zh-CN"/>
              </w:rPr>
            </w:pPr>
            <w:r>
              <w:rPr>
                <w:rFonts w:hint="eastAsia"/>
                <w:kern w:val="2"/>
                <w:szCs w:val="21"/>
                <w:lang w:val="en-US" w:eastAsia="zh-CN"/>
              </w:rPr>
              <w:t>《</w:t>
            </w:r>
            <w:r>
              <w:rPr>
                <w:kern w:val="2"/>
                <w:szCs w:val="21"/>
                <w:lang w:val="en-US" w:eastAsia="zh-CN"/>
              </w:rPr>
              <w:t> </w:t>
            </w:r>
            <w:r>
              <w:rPr>
                <w:rFonts w:hint="eastAsia"/>
                <w:kern w:val="2"/>
                <w:szCs w:val="21"/>
                <w:lang w:val="en-US" w:eastAsia="zh-CN"/>
              </w:rPr>
              <w:t>固体废物六价铬的测定碱消解火焰原子吸收分光光度法》</w:t>
            </w:r>
            <w:r>
              <w:rPr>
                <w:kern w:val="2"/>
                <w:szCs w:val="21"/>
                <w:lang w:val="en-US" w:eastAsia="zh-CN"/>
              </w:rPr>
              <w:t>HJ 687-2014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1" w:type="dxa"/>
            <w:vAlign w:val="center"/>
          </w:tcPr>
          <w:p>
            <w:pPr>
              <w:pStyle w:val="26"/>
              <w:rPr>
                <w:kern w:val="2"/>
                <w:szCs w:val="21"/>
                <w:lang w:val="en-US" w:eastAsia="zh-CN"/>
              </w:rPr>
            </w:pPr>
            <w:r>
              <w:rPr>
                <w:rFonts w:hint="eastAsia"/>
                <w:kern w:val="2"/>
                <w:szCs w:val="21"/>
                <w:lang w:val="en-US" w:eastAsia="zh-CN"/>
              </w:rPr>
              <w:t>汞</w:t>
            </w:r>
          </w:p>
        </w:tc>
        <w:tc>
          <w:tcPr>
            <w:tcW w:w="8373" w:type="dxa"/>
            <w:vAlign w:val="center"/>
          </w:tcPr>
          <w:p>
            <w:pPr>
              <w:pStyle w:val="26"/>
              <w:rPr>
                <w:kern w:val="2"/>
                <w:szCs w:val="21"/>
                <w:lang w:val="en-US" w:eastAsia="zh-CN"/>
              </w:rPr>
            </w:pPr>
            <w:r>
              <w:rPr>
                <w:rFonts w:hint="eastAsia"/>
                <w:kern w:val="2"/>
                <w:szCs w:val="21"/>
                <w:lang w:val="en-US" w:eastAsia="zh-CN"/>
              </w:rPr>
              <w:t>《土壤和沉积物汞、砷、硒、铋、锑的测定微波消解</w:t>
            </w:r>
            <w:r>
              <w:rPr>
                <w:kern w:val="2"/>
                <w:szCs w:val="21"/>
                <w:lang w:val="en-US" w:eastAsia="zh-CN"/>
              </w:rPr>
              <w:t>/</w:t>
            </w:r>
            <w:r>
              <w:rPr>
                <w:rFonts w:hint="eastAsia"/>
                <w:kern w:val="2"/>
                <w:szCs w:val="21"/>
                <w:lang w:val="en-US" w:eastAsia="zh-CN"/>
              </w:rPr>
              <w:t>原子荧光法》</w:t>
            </w:r>
            <w:r>
              <w:rPr>
                <w:kern w:val="2"/>
                <w:szCs w:val="21"/>
                <w:lang w:val="en-US" w:eastAsia="zh-CN"/>
              </w:rPr>
              <w:t>HJ 680-2013</w:t>
            </w:r>
          </w:p>
        </w:tc>
      </w:tr>
    </w:tbl>
    <w:p>
      <w:pPr>
        <w:ind w:firstLine="480"/>
      </w:pPr>
      <w:r>
        <w:rPr>
          <w:rFonts w:hint="eastAsia"/>
        </w:rPr>
        <w:t>（</w:t>
      </w:r>
      <w:r>
        <w:t>5</w:t>
      </w:r>
      <w:r>
        <w:rPr>
          <w:rFonts w:hint="eastAsia"/>
        </w:rPr>
        <w:t>）检测结果与评价</w:t>
      </w:r>
    </w:p>
    <w:p>
      <w:pPr>
        <w:ind w:firstLine="480"/>
      </w:pPr>
      <w:r>
        <w:rPr>
          <w:rFonts w:hint="eastAsia"/>
        </w:rPr>
        <w:t>监测结果详见表</w:t>
      </w:r>
      <w:r>
        <w:t>5.2-13</w:t>
      </w:r>
      <w:r>
        <w:rPr>
          <w:rFonts w:hint="eastAsia"/>
        </w:rPr>
        <w:t>。</w:t>
      </w:r>
    </w:p>
    <w:p>
      <w:pPr>
        <w:pStyle w:val="26"/>
        <w:rPr>
          <w:b/>
          <w:bCs/>
        </w:rPr>
      </w:pPr>
      <w:r>
        <w:rPr>
          <w:rFonts w:hint="eastAsia"/>
          <w:b/>
          <w:bCs/>
        </w:rPr>
        <w:t>表</w:t>
      </w:r>
      <w:r>
        <w:rPr>
          <w:b/>
          <w:bCs/>
        </w:rPr>
        <w:t xml:space="preserve">5.2-9 13 </w:t>
      </w:r>
      <w:r>
        <w:rPr>
          <w:rFonts w:hint="eastAsia"/>
          <w:b/>
          <w:bCs/>
        </w:rPr>
        <w:t>地表水环境质量现状监测结果</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966"/>
        <w:gridCol w:w="967"/>
        <w:gridCol w:w="966"/>
        <w:gridCol w:w="965"/>
        <w:gridCol w:w="967"/>
        <w:gridCol w:w="967"/>
        <w:gridCol w:w="1284"/>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487" w:type="dxa"/>
            <w:vAlign w:val="center"/>
          </w:tcPr>
          <w:p>
            <w:pPr>
              <w:pStyle w:val="26"/>
              <w:rPr>
                <w:kern w:val="2"/>
                <w:szCs w:val="21"/>
                <w:lang w:val="en-US" w:eastAsia="zh-CN"/>
              </w:rPr>
            </w:pPr>
            <w:r>
              <w:rPr>
                <w:rFonts w:hint="eastAsia"/>
                <w:kern w:val="2"/>
                <w:szCs w:val="21"/>
                <w:lang w:val="en-US" w:eastAsia="zh-CN"/>
              </w:rPr>
              <w:t>检测因子</w:t>
            </w:r>
          </w:p>
        </w:tc>
        <w:tc>
          <w:tcPr>
            <w:tcW w:w="966" w:type="dxa"/>
            <w:vAlign w:val="center"/>
          </w:tcPr>
          <w:p>
            <w:pPr>
              <w:pStyle w:val="26"/>
              <w:rPr>
                <w:kern w:val="2"/>
                <w:szCs w:val="21"/>
                <w:lang w:val="en-US" w:eastAsia="zh-CN"/>
              </w:rPr>
            </w:pPr>
            <w:r>
              <w:rPr>
                <w:kern w:val="2"/>
                <w:szCs w:val="21"/>
                <w:lang w:val="en-US" w:eastAsia="zh-CN"/>
              </w:rPr>
              <w:t>pH</w:t>
            </w:r>
          </w:p>
        </w:tc>
        <w:tc>
          <w:tcPr>
            <w:tcW w:w="967" w:type="dxa"/>
            <w:vAlign w:val="center"/>
          </w:tcPr>
          <w:p>
            <w:pPr>
              <w:pStyle w:val="26"/>
              <w:rPr>
                <w:kern w:val="2"/>
                <w:szCs w:val="21"/>
                <w:lang w:val="en-US" w:eastAsia="zh-CN"/>
              </w:rPr>
            </w:pPr>
            <w:r>
              <w:rPr>
                <w:rFonts w:hint="eastAsia"/>
                <w:kern w:val="2"/>
                <w:szCs w:val="21"/>
                <w:lang w:val="en-US" w:eastAsia="zh-CN"/>
              </w:rPr>
              <w:t>镍</w:t>
            </w:r>
          </w:p>
        </w:tc>
        <w:tc>
          <w:tcPr>
            <w:tcW w:w="966" w:type="dxa"/>
            <w:vAlign w:val="center"/>
          </w:tcPr>
          <w:p>
            <w:pPr>
              <w:pStyle w:val="26"/>
              <w:rPr>
                <w:kern w:val="2"/>
                <w:szCs w:val="21"/>
                <w:lang w:val="en-US" w:eastAsia="zh-CN"/>
              </w:rPr>
            </w:pPr>
            <w:r>
              <w:rPr>
                <w:rFonts w:hint="eastAsia"/>
                <w:kern w:val="2"/>
                <w:szCs w:val="21"/>
                <w:lang w:val="en-US" w:eastAsia="zh-CN"/>
              </w:rPr>
              <w:t>铅</w:t>
            </w:r>
          </w:p>
        </w:tc>
        <w:tc>
          <w:tcPr>
            <w:tcW w:w="965" w:type="dxa"/>
            <w:vAlign w:val="center"/>
          </w:tcPr>
          <w:p>
            <w:pPr>
              <w:pStyle w:val="26"/>
              <w:rPr>
                <w:kern w:val="2"/>
                <w:szCs w:val="21"/>
                <w:lang w:val="en-US" w:eastAsia="zh-CN"/>
              </w:rPr>
            </w:pPr>
            <w:r>
              <w:rPr>
                <w:rFonts w:hint="eastAsia"/>
                <w:kern w:val="2"/>
                <w:szCs w:val="21"/>
                <w:lang w:val="en-US" w:eastAsia="zh-CN"/>
              </w:rPr>
              <w:t>砷</w:t>
            </w:r>
          </w:p>
        </w:tc>
        <w:tc>
          <w:tcPr>
            <w:tcW w:w="967" w:type="dxa"/>
            <w:vAlign w:val="center"/>
          </w:tcPr>
          <w:p>
            <w:pPr>
              <w:pStyle w:val="26"/>
              <w:rPr>
                <w:kern w:val="2"/>
                <w:szCs w:val="21"/>
                <w:lang w:val="en-US" w:eastAsia="zh-CN"/>
              </w:rPr>
            </w:pPr>
            <w:r>
              <w:rPr>
                <w:rFonts w:hint="eastAsia"/>
                <w:kern w:val="2"/>
                <w:szCs w:val="21"/>
                <w:lang w:val="en-US" w:eastAsia="zh-CN"/>
              </w:rPr>
              <w:t>汞</w:t>
            </w:r>
          </w:p>
        </w:tc>
        <w:tc>
          <w:tcPr>
            <w:tcW w:w="967" w:type="dxa"/>
            <w:vAlign w:val="center"/>
          </w:tcPr>
          <w:p>
            <w:pPr>
              <w:pStyle w:val="26"/>
              <w:rPr>
                <w:kern w:val="2"/>
                <w:szCs w:val="21"/>
                <w:lang w:val="en-US" w:eastAsia="zh-CN"/>
              </w:rPr>
            </w:pPr>
            <w:r>
              <w:rPr>
                <w:rFonts w:hint="eastAsia"/>
                <w:kern w:val="2"/>
                <w:szCs w:val="21"/>
                <w:lang w:val="en-US" w:eastAsia="zh-CN"/>
              </w:rPr>
              <w:t>锌</w:t>
            </w:r>
          </w:p>
        </w:tc>
        <w:tc>
          <w:tcPr>
            <w:tcW w:w="1284" w:type="dxa"/>
            <w:vAlign w:val="center"/>
          </w:tcPr>
          <w:p>
            <w:pPr>
              <w:pStyle w:val="26"/>
              <w:rPr>
                <w:kern w:val="2"/>
                <w:szCs w:val="21"/>
                <w:lang w:val="en-US" w:eastAsia="zh-CN"/>
              </w:rPr>
            </w:pPr>
            <w:r>
              <w:rPr>
                <w:rFonts w:hint="eastAsia"/>
                <w:kern w:val="2"/>
                <w:szCs w:val="21"/>
                <w:lang w:val="en-US" w:eastAsia="zh-CN"/>
              </w:rPr>
              <w:t>镉</w:t>
            </w:r>
          </w:p>
        </w:tc>
        <w:tc>
          <w:tcPr>
            <w:tcW w:w="1285" w:type="dxa"/>
            <w:vAlign w:val="center"/>
          </w:tcPr>
          <w:p>
            <w:pPr>
              <w:pStyle w:val="26"/>
              <w:rPr>
                <w:kern w:val="2"/>
                <w:szCs w:val="21"/>
                <w:lang w:val="en-US" w:eastAsia="zh-CN"/>
              </w:rPr>
            </w:pPr>
            <w:r>
              <w:rPr>
                <w:rFonts w:hint="eastAsia"/>
                <w:kern w:val="2"/>
                <w:szCs w:val="21"/>
                <w:lang w:val="en-US" w:eastAsia="zh-CN"/>
              </w:rPr>
              <w:t>六价铬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1487" w:type="dxa"/>
            <w:vAlign w:val="center"/>
          </w:tcPr>
          <w:p>
            <w:pPr>
              <w:pStyle w:val="26"/>
              <w:rPr>
                <w:kern w:val="2"/>
                <w:szCs w:val="21"/>
                <w:lang w:val="en-US" w:eastAsia="zh-CN"/>
              </w:rPr>
            </w:pPr>
            <w:r>
              <w:rPr>
                <w:rFonts w:hint="eastAsia"/>
                <w:kern w:val="2"/>
                <w:szCs w:val="21"/>
                <w:lang w:val="en-US" w:eastAsia="zh-CN"/>
              </w:rPr>
              <w:t>污水处理站</w:t>
            </w:r>
          </w:p>
        </w:tc>
        <w:tc>
          <w:tcPr>
            <w:tcW w:w="966" w:type="dxa"/>
            <w:vAlign w:val="center"/>
          </w:tcPr>
          <w:p>
            <w:pPr>
              <w:pStyle w:val="26"/>
              <w:rPr>
                <w:kern w:val="2"/>
                <w:szCs w:val="21"/>
                <w:lang w:val="en-US" w:eastAsia="zh-CN"/>
              </w:rPr>
            </w:pPr>
            <w:r>
              <w:rPr>
                <w:kern w:val="2"/>
                <w:szCs w:val="21"/>
                <w:lang w:val="en-US" w:eastAsia="zh-CN"/>
              </w:rPr>
              <w:t>6.7</w:t>
            </w:r>
          </w:p>
        </w:tc>
        <w:tc>
          <w:tcPr>
            <w:tcW w:w="967" w:type="dxa"/>
            <w:vAlign w:val="center"/>
          </w:tcPr>
          <w:p>
            <w:pPr>
              <w:pStyle w:val="26"/>
              <w:rPr>
                <w:kern w:val="2"/>
                <w:szCs w:val="21"/>
                <w:lang w:val="en-US" w:eastAsia="zh-CN"/>
              </w:rPr>
            </w:pPr>
            <w:r>
              <w:rPr>
                <w:kern w:val="2"/>
                <w:szCs w:val="21"/>
                <w:lang w:val="en-US" w:eastAsia="zh-CN"/>
              </w:rPr>
              <w:t>48.7</w:t>
            </w:r>
          </w:p>
        </w:tc>
        <w:tc>
          <w:tcPr>
            <w:tcW w:w="966" w:type="dxa"/>
            <w:vAlign w:val="center"/>
          </w:tcPr>
          <w:p>
            <w:pPr>
              <w:pStyle w:val="26"/>
              <w:rPr>
                <w:kern w:val="2"/>
                <w:szCs w:val="21"/>
                <w:lang w:val="en-US" w:eastAsia="zh-CN"/>
              </w:rPr>
            </w:pPr>
            <w:r>
              <w:rPr>
                <w:kern w:val="2"/>
                <w:szCs w:val="21"/>
                <w:lang w:val="en-US" w:eastAsia="zh-CN"/>
              </w:rPr>
              <w:t>16.9</w:t>
            </w:r>
          </w:p>
        </w:tc>
        <w:tc>
          <w:tcPr>
            <w:tcW w:w="965" w:type="dxa"/>
            <w:vAlign w:val="center"/>
          </w:tcPr>
          <w:p>
            <w:pPr>
              <w:pStyle w:val="26"/>
              <w:rPr>
                <w:kern w:val="2"/>
                <w:szCs w:val="21"/>
                <w:lang w:val="en-US" w:eastAsia="zh-CN"/>
              </w:rPr>
            </w:pPr>
            <w:r>
              <w:rPr>
                <w:kern w:val="2"/>
                <w:szCs w:val="21"/>
                <w:lang w:val="en-US" w:eastAsia="zh-CN"/>
              </w:rPr>
              <w:t>15.63</w:t>
            </w:r>
          </w:p>
        </w:tc>
        <w:tc>
          <w:tcPr>
            <w:tcW w:w="967" w:type="dxa"/>
            <w:vAlign w:val="center"/>
          </w:tcPr>
          <w:p>
            <w:pPr>
              <w:pStyle w:val="26"/>
              <w:rPr>
                <w:kern w:val="2"/>
                <w:szCs w:val="21"/>
                <w:lang w:val="en-US" w:eastAsia="zh-CN"/>
              </w:rPr>
            </w:pPr>
            <w:r>
              <w:rPr>
                <w:kern w:val="2"/>
                <w:szCs w:val="21"/>
                <w:lang w:val="en-US" w:eastAsia="zh-CN"/>
              </w:rPr>
              <w:t>0.091</w:t>
            </w:r>
          </w:p>
        </w:tc>
        <w:tc>
          <w:tcPr>
            <w:tcW w:w="967" w:type="dxa"/>
            <w:vAlign w:val="center"/>
          </w:tcPr>
          <w:p>
            <w:pPr>
              <w:pStyle w:val="26"/>
              <w:rPr>
                <w:kern w:val="2"/>
                <w:szCs w:val="21"/>
                <w:lang w:val="en-US" w:eastAsia="zh-CN"/>
              </w:rPr>
            </w:pPr>
            <w:r>
              <w:rPr>
                <w:kern w:val="2"/>
                <w:szCs w:val="21"/>
                <w:lang w:val="en-US" w:eastAsia="zh-CN"/>
              </w:rPr>
              <w:t>108</w:t>
            </w:r>
          </w:p>
        </w:tc>
        <w:tc>
          <w:tcPr>
            <w:tcW w:w="1284" w:type="dxa"/>
            <w:vAlign w:val="center"/>
          </w:tcPr>
          <w:p>
            <w:pPr>
              <w:pStyle w:val="26"/>
              <w:rPr>
                <w:kern w:val="2"/>
                <w:szCs w:val="21"/>
                <w:lang w:val="en-US" w:eastAsia="zh-CN"/>
              </w:rPr>
            </w:pPr>
            <w:r>
              <w:rPr>
                <w:kern w:val="2"/>
                <w:szCs w:val="21"/>
                <w:lang w:val="en-US" w:eastAsia="zh-CN"/>
              </w:rPr>
              <w:t>0.01ND</w:t>
            </w:r>
          </w:p>
        </w:tc>
        <w:tc>
          <w:tcPr>
            <w:tcW w:w="1285" w:type="dxa"/>
            <w:vAlign w:val="center"/>
          </w:tcPr>
          <w:p>
            <w:pPr>
              <w:pStyle w:val="26"/>
              <w:rPr>
                <w:kern w:val="2"/>
                <w:szCs w:val="21"/>
                <w:lang w:val="en-US" w:eastAsia="zh-CN"/>
              </w:rPr>
            </w:pPr>
            <w:r>
              <w:rPr>
                <w:kern w:val="2"/>
                <w:szCs w:val="21"/>
                <w:lang w:val="en-US" w:eastAsia="zh-CN"/>
              </w:rPr>
              <w:t>2ND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487" w:type="dxa"/>
            <w:vAlign w:val="center"/>
          </w:tcPr>
          <w:p>
            <w:pPr>
              <w:pStyle w:val="26"/>
              <w:rPr>
                <w:kern w:val="2"/>
                <w:szCs w:val="21"/>
                <w:lang w:val="en-US" w:eastAsia="zh-CN"/>
              </w:rPr>
            </w:pPr>
            <w:r>
              <w:rPr>
                <w:rFonts w:hint="eastAsia"/>
                <w:kern w:val="2"/>
                <w:szCs w:val="21"/>
                <w:lang w:val="en-US" w:eastAsia="zh-CN"/>
              </w:rPr>
              <w:t>印染车间外</w:t>
            </w:r>
          </w:p>
        </w:tc>
        <w:tc>
          <w:tcPr>
            <w:tcW w:w="966" w:type="dxa"/>
            <w:vAlign w:val="center"/>
          </w:tcPr>
          <w:p>
            <w:pPr>
              <w:pStyle w:val="26"/>
              <w:rPr>
                <w:kern w:val="2"/>
                <w:szCs w:val="21"/>
                <w:lang w:val="en-US" w:eastAsia="zh-CN"/>
              </w:rPr>
            </w:pPr>
            <w:r>
              <w:rPr>
                <w:kern w:val="2"/>
                <w:szCs w:val="21"/>
                <w:lang w:val="en-US" w:eastAsia="zh-CN"/>
              </w:rPr>
              <w:t>6.6</w:t>
            </w:r>
          </w:p>
        </w:tc>
        <w:tc>
          <w:tcPr>
            <w:tcW w:w="967" w:type="dxa"/>
            <w:vAlign w:val="center"/>
          </w:tcPr>
          <w:p>
            <w:pPr>
              <w:pStyle w:val="26"/>
              <w:rPr>
                <w:kern w:val="2"/>
                <w:szCs w:val="21"/>
                <w:lang w:val="en-US" w:eastAsia="zh-CN"/>
              </w:rPr>
            </w:pPr>
            <w:r>
              <w:rPr>
                <w:kern w:val="2"/>
                <w:szCs w:val="21"/>
                <w:lang w:val="en-US" w:eastAsia="zh-CN"/>
              </w:rPr>
              <w:t>36.0</w:t>
            </w:r>
          </w:p>
        </w:tc>
        <w:tc>
          <w:tcPr>
            <w:tcW w:w="966" w:type="dxa"/>
            <w:vAlign w:val="center"/>
          </w:tcPr>
          <w:p>
            <w:pPr>
              <w:pStyle w:val="26"/>
              <w:rPr>
                <w:kern w:val="2"/>
                <w:szCs w:val="21"/>
                <w:lang w:val="en-US" w:eastAsia="zh-CN"/>
              </w:rPr>
            </w:pPr>
            <w:r>
              <w:rPr>
                <w:kern w:val="2"/>
                <w:szCs w:val="21"/>
                <w:lang w:val="en-US" w:eastAsia="zh-CN"/>
              </w:rPr>
              <w:t>29.0</w:t>
            </w:r>
          </w:p>
        </w:tc>
        <w:tc>
          <w:tcPr>
            <w:tcW w:w="965" w:type="dxa"/>
            <w:vAlign w:val="center"/>
          </w:tcPr>
          <w:p>
            <w:pPr>
              <w:pStyle w:val="26"/>
              <w:rPr>
                <w:kern w:val="2"/>
                <w:szCs w:val="21"/>
                <w:lang w:val="en-US" w:eastAsia="zh-CN"/>
              </w:rPr>
            </w:pPr>
            <w:r>
              <w:rPr>
                <w:kern w:val="2"/>
                <w:szCs w:val="21"/>
                <w:lang w:val="en-US" w:eastAsia="zh-CN"/>
              </w:rPr>
              <w:t>17.75</w:t>
            </w:r>
          </w:p>
        </w:tc>
        <w:tc>
          <w:tcPr>
            <w:tcW w:w="967" w:type="dxa"/>
            <w:vAlign w:val="center"/>
          </w:tcPr>
          <w:p>
            <w:pPr>
              <w:pStyle w:val="26"/>
              <w:rPr>
                <w:kern w:val="2"/>
                <w:szCs w:val="21"/>
                <w:lang w:val="en-US" w:eastAsia="zh-CN"/>
              </w:rPr>
            </w:pPr>
            <w:r>
              <w:rPr>
                <w:kern w:val="2"/>
                <w:szCs w:val="21"/>
                <w:lang w:val="en-US" w:eastAsia="zh-CN"/>
              </w:rPr>
              <w:t>0.103</w:t>
            </w:r>
          </w:p>
        </w:tc>
        <w:tc>
          <w:tcPr>
            <w:tcW w:w="967" w:type="dxa"/>
            <w:vAlign w:val="center"/>
          </w:tcPr>
          <w:p>
            <w:pPr>
              <w:pStyle w:val="26"/>
              <w:rPr>
                <w:kern w:val="2"/>
                <w:szCs w:val="21"/>
                <w:lang w:val="en-US" w:eastAsia="zh-CN"/>
              </w:rPr>
            </w:pPr>
            <w:r>
              <w:rPr>
                <w:kern w:val="2"/>
                <w:szCs w:val="21"/>
                <w:lang w:val="en-US" w:eastAsia="zh-CN"/>
              </w:rPr>
              <w:t>162</w:t>
            </w:r>
          </w:p>
        </w:tc>
        <w:tc>
          <w:tcPr>
            <w:tcW w:w="1284" w:type="dxa"/>
            <w:vAlign w:val="center"/>
          </w:tcPr>
          <w:p>
            <w:pPr>
              <w:pStyle w:val="26"/>
              <w:rPr>
                <w:kern w:val="2"/>
                <w:szCs w:val="21"/>
                <w:lang w:val="en-US" w:eastAsia="zh-CN"/>
              </w:rPr>
            </w:pPr>
            <w:r>
              <w:rPr>
                <w:kern w:val="2"/>
                <w:szCs w:val="21"/>
                <w:lang w:val="en-US" w:eastAsia="zh-CN"/>
              </w:rPr>
              <w:t>0.030</w:t>
            </w:r>
          </w:p>
        </w:tc>
        <w:tc>
          <w:tcPr>
            <w:tcW w:w="1285" w:type="dxa"/>
            <w:vAlign w:val="center"/>
          </w:tcPr>
          <w:p>
            <w:pPr>
              <w:pStyle w:val="26"/>
              <w:rPr>
                <w:kern w:val="2"/>
                <w:szCs w:val="21"/>
                <w:lang w:val="en-US" w:eastAsia="zh-CN"/>
              </w:rPr>
            </w:pPr>
            <w:r>
              <w:rPr>
                <w:kern w:val="2"/>
                <w:szCs w:val="21"/>
                <w:lang w:val="en-US" w:eastAsia="zh-CN"/>
              </w:rPr>
              <w:t>2ND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487" w:type="dxa"/>
            <w:vAlign w:val="center"/>
          </w:tcPr>
          <w:p>
            <w:pPr>
              <w:pStyle w:val="26"/>
              <w:rPr>
                <w:kern w:val="2"/>
                <w:szCs w:val="21"/>
                <w:lang w:val="en-US" w:eastAsia="zh-CN"/>
              </w:rPr>
            </w:pPr>
            <w:r>
              <w:rPr>
                <w:rFonts w:hint="eastAsia"/>
                <w:kern w:val="2"/>
                <w:szCs w:val="21"/>
                <w:lang w:val="en-US" w:eastAsia="zh-CN"/>
              </w:rPr>
              <w:t>标准值</w:t>
            </w:r>
          </w:p>
        </w:tc>
        <w:tc>
          <w:tcPr>
            <w:tcW w:w="966" w:type="dxa"/>
            <w:vAlign w:val="center"/>
          </w:tcPr>
          <w:p>
            <w:pPr>
              <w:pStyle w:val="26"/>
              <w:rPr>
                <w:kern w:val="2"/>
                <w:szCs w:val="21"/>
                <w:lang w:val="en-US" w:eastAsia="zh-CN"/>
              </w:rPr>
            </w:pPr>
            <w:r>
              <w:rPr>
                <w:kern w:val="2"/>
                <w:szCs w:val="21"/>
                <w:lang w:val="en-US" w:eastAsia="zh-CN"/>
              </w:rPr>
              <w:t>/</w:t>
            </w:r>
          </w:p>
        </w:tc>
        <w:tc>
          <w:tcPr>
            <w:tcW w:w="967" w:type="dxa"/>
            <w:vAlign w:val="center"/>
          </w:tcPr>
          <w:p>
            <w:pPr>
              <w:pStyle w:val="26"/>
              <w:rPr>
                <w:kern w:val="2"/>
                <w:szCs w:val="21"/>
                <w:lang w:val="en-US" w:eastAsia="zh-CN"/>
              </w:rPr>
            </w:pPr>
            <w:r>
              <w:rPr>
                <w:kern w:val="2"/>
                <w:szCs w:val="21"/>
                <w:lang w:val="en-US" w:eastAsia="zh-CN"/>
              </w:rPr>
              <w:t>50</w:t>
            </w:r>
          </w:p>
        </w:tc>
        <w:tc>
          <w:tcPr>
            <w:tcW w:w="966" w:type="dxa"/>
            <w:vAlign w:val="center"/>
          </w:tcPr>
          <w:p>
            <w:pPr>
              <w:pStyle w:val="26"/>
              <w:rPr>
                <w:kern w:val="2"/>
                <w:szCs w:val="21"/>
                <w:lang w:val="en-US" w:eastAsia="zh-CN"/>
              </w:rPr>
            </w:pPr>
            <w:r>
              <w:rPr>
                <w:kern w:val="2"/>
                <w:szCs w:val="21"/>
                <w:lang w:val="en-US" w:eastAsia="zh-CN"/>
              </w:rPr>
              <w:t>300</w:t>
            </w:r>
          </w:p>
        </w:tc>
        <w:tc>
          <w:tcPr>
            <w:tcW w:w="965" w:type="dxa"/>
            <w:vAlign w:val="center"/>
          </w:tcPr>
          <w:p>
            <w:pPr>
              <w:pStyle w:val="26"/>
              <w:rPr>
                <w:kern w:val="2"/>
                <w:szCs w:val="21"/>
                <w:lang w:val="en-US" w:eastAsia="zh-CN"/>
              </w:rPr>
            </w:pPr>
            <w:r>
              <w:rPr>
                <w:kern w:val="2"/>
                <w:szCs w:val="21"/>
                <w:lang w:val="en-US" w:eastAsia="zh-CN"/>
              </w:rPr>
              <w:t>30</w:t>
            </w:r>
          </w:p>
        </w:tc>
        <w:tc>
          <w:tcPr>
            <w:tcW w:w="967" w:type="dxa"/>
            <w:vAlign w:val="center"/>
          </w:tcPr>
          <w:p>
            <w:pPr>
              <w:pStyle w:val="26"/>
              <w:rPr>
                <w:kern w:val="2"/>
                <w:szCs w:val="21"/>
                <w:lang w:val="en-US" w:eastAsia="zh-CN"/>
              </w:rPr>
            </w:pPr>
            <w:r>
              <w:rPr>
                <w:kern w:val="2"/>
                <w:szCs w:val="21"/>
                <w:lang w:val="en-US" w:eastAsia="zh-CN"/>
              </w:rPr>
              <w:t>0.5</w:t>
            </w:r>
          </w:p>
        </w:tc>
        <w:tc>
          <w:tcPr>
            <w:tcW w:w="967" w:type="dxa"/>
            <w:vAlign w:val="center"/>
          </w:tcPr>
          <w:p>
            <w:pPr>
              <w:pStyle w:val="26"/>
              <w:rPr>
                <w:kern w:val="2"/>
                <w:szCs w:val="21"/>
                <w:lang w:val="en-US" w:eastAsia="zh-CN"/>
              </w:rPr>
            </w:pPr>
            <w:r>
              <w:rPr>
                <w:kern w:val="2"/>
                <w:szCs w:val="21"/>
                <w:lang w:val="en-US" w:eastAsia="zh-CN"/>
              </w:rPr>
              <w:t>250</w:t>
            </w:r>
          </w:p>
        </w:tc>
        <w:tc>
          <w:tcPr>
            <w:tcW w:w="1284" w:type="dxa"/>
            <w:vAlign w:val="center"/>
          </w:tcPr>
          <w:p>
            <w:pPr>
              <w:pStyle w:val="26"/>
              <w:rPr>
                <w:kern w:val="2"/>
                <w:szCs w:val="21"/>
                <w:lang w:val="en-US" w:eastAsia="zh-CN"/>
              </w:rPr>
            </w:pPr>
            <w:r>
              <w:rPr>
                <w:kern w:val="2"/>
                <w:szCs w:val="21"/>
                <w:lang w:val="en-US" w:eastAsia="zh-CN"/>
              </w:rPr>
              <w:t>0.3</w:t>
            </w:r>
          </w:p>
        </w:tc>
        <w:tc>
          <w:tcPr>
            <w:tcW w:w="1285" w:type="dxa"/>
            <w:vAlign w:val="center"/>
          </w:tcPr>
          <w:p>
            <w:pPr>
              <w:pStyle w:val="26"/>
              <w:rPr>
                <w:kern w:val="2"/>
                <w:szCs w:val="21"/>
                <w:lang w:val="en-US" w:eastAsia="zh-CN"/>
              </w:rPr>
            </w:pPr>
            <w:r>
              <w:rPr>
                <w:kern w:val="2"/>
                <w:szCs w:val="21"/>
                <w:lang w:val="en-US" w:eastAsia="zh-CN"/>
              </w:rPr>
              <w:t>300</w:t>
            </w:r>
          </w:p>
        </w:tc>
      </w:tr>
    </w:tbl>
    <w:p>
      <w:pPr>
        <w:ind w:firstLine="480"/>
      </w:pPr>
      <w:r>
        <w:rPr>
          <w:rFonts w:hint="eastAsia"/>
        </w:rPr>
        <w:t>由上表可知，</w:t>
      </w:r>
      <w:r>
        <w:t>2</w:t>
      </w:r>
      <w:r>
        <w:rPr>
          <w:rFonts w:hint="eastAsia"/>
        </w:rPr>
        <w:t>个土壤监测点各监测因子均达到了《土壤环境质量标准》（</w:t>
      </w:r>
      <w:r>
        <w:t>GB15618-1995</w:t>
      </w:r>
      <w:r>
        <w:rPr>
          <w:rFonts w:hint="eastAsia"/>
        </w:rPr>
        <w:t>）中二级标准限值。</w:t>
      </w:r>
    </w:p>
    <w:p>
      <w:pPr>
        <w:ind w:firstLine="480"/>
        <w:sectPr>
          <w:pgSz w:w="11906" w:h="16838"/>
          <w:pgMar w:top="1440" w:right="1417" w:bottom="1440" w:left="1417" w:header="851" w:footer="992" w:gutter="0"/>
          <w:cols w:space="0" w:num="1"/>
          <w:docGrid w:type="lines" w:linePitch="332" w:charSpace="0"/>
        </w:sectPr>
      </w:pPr>
    </w:p>
    <w:p>
      <w:pPr>
        <w:pStyle w:val="2"/>
      </w:pPr>
      <w:bookmarkStart w:id="33" w:name="_Toc10580"/>
      <w:r>
        <w:rPr>
          <w:rFonts w:hint="eastAsia"/>
        </w:rPr>
        <w:t>技改后环境影响分析</w:t>
      </w:r>
      <w:bookmarkEnd w:id="33"/>
    </w:p>
    <w:p>
      <w:pPr>
        <w:pStyle w:val="3"/>
      </w:pPr>
      <w:bookmarkStart w:id="34" w:name="_Toc18508"/>
      <w:r>
        <w:rPr>
          <w:rFonts w:hint="eastAsia"/>
        </w:rPr>
        <w:t>施工期环境影响分析</w:t>
      </w:r>
      <w:bookmarkEnd w:id="34"/>
    </w:p>
    <w:p>
      <w:pPr>
        <w:ind w:firstLine="480"/>
      </w:pPr>
      <w:r>
        <w:rPr>
          <w:rFonts w:hint="eastAsia"/>
        </w:rPr>
        <w:t>根据现场调查，企业厂房已建成，本调整项目只需进行污水处理站进行改造，设备更新安装，涉及的土建工程量较小，本次环评将不再对项目施工期环境影响进行分析。</w:t>
      </w:r>
    </w:p>
    <w:p>
      <w:pPr>
        <w:pStyle w:val="3"/>
      </w:pPr>
      <w:bookmarkStart w:id="35" w:name="_Toc21071"/>
      <w:r>
        <w:rPr>
          <w:rFonts w:hint="eastAsia"/>
        </w:rPr>
        <w:t>营运期环境影响分析</w:t>
      </w:r>
      <w:bookmarkEnd w:id="35"/>
    </w:p>
    <w:p>
      <w:pPr>
        <w:pStyle w:val="4"/>
      </w:pPr>
      <w:r>
        <w:rPr>
          <w:rFonts w:hint="eastAsia"/>
        </w:rPr>
        <w:t>地表水环境影响分析</w:t>
      </w:r>
    </w:p>
    <w:p>
      <w:pPr>
        <w:ind w:firstLine="480"/>
        <w:rPr>
          <w:szCs w:val="21"/>
        </w:rPr>
      </w:pPr>
      <w:r>
        <w:rPr>
          <w:rFonts w:hint="eastAsia"/>
        </w:rPr>
        <w:t>本项目通过改造污水处理站尾水排放方式，</w:t>
      </w:r>
      <w:r>
        <w:rPr>
          <w:rFonts w:hint="eastAsia"/>
          <w:lang w:eastAsia="zh-CN"/>
        </w:rPr>
        <w:t>对现有废水排放口封堵、废除，</w:t>
      </w:r>
      <w:r>
        <w:rPr>
          <w:rFonts w:hint="eastAsia"/>
        </w:rPr>
        <w:t>由原有污水处理站尾水直排湘江改造成排入污水处理厂处理达标后间接排入湘江，即将其废水经厂区处理站处理后排入市政污水管网进入营田镇污水处理厂进一步处理；技改后生活污水处理方式不发生变化，经化粪池处理达标后排入市政污水管网进入营田镇污水处理厂进一步处理。根据岳阳市衡润检测有限公司与</w:t>
      </w:r>
      <w:r>
        <w:t>2017</w:t>
      </w:r>
      <w:r>
        <w:rPr>
          <w:rFonts w:hint="eastAsia"/>
        </w:rPr>
        <w:t>年</w:t>
      </w:r>
      <w:r>
        <w:t>7</w:t>
      </w:r>
      <w:r>
        <w:rPr>
          <w:rFonts w:hint="eastAsia"/>
        </w:rPr>
        <w:t>月对厂区污水处理站出口废水水质进行检测结果可知，各项检测因子均达到了</w:t>
      </w:r>
      <w:r>
        <w:rPr>
          <w:rFonts w:hint="eastAsia"/>
          <w:szCs w:val="21"/>
        </w:rPr>
        <w:t>《纺织染整工业水污染物排放标准》</w:t>
      </w:r>
      <w:r>
        <w:rPr>
          <w:szCs w:val="21"/>
        </w:rPr>
        <w:t>(GB4287-2012)</w:t>
      </w:r>
      <w:r>
        <w:rPr>
          <w:rFonts w:hint="eastAsia"/>
          <w:szCs w:val="21"/>
        </w:rPr>
        <w:t>中间接排放标准限值，厂区内污水可排入营田镇污水处理厂进一步处理，处理</w:t>
      </w:r>
      <w:r>
        <w:rPr>
          <w:rFonts w:hint="eastAsia"/>
        </w:rPr>
        <w:t>达到《城镇污水处理厂污染物排放标准》（</w:t>
      </w:r>
      <w:r>
        <w:t>GB18918-2002</w:t>
      </w:r>
      <w:r>
        <w:rPr>
          <w:rFonts w:hint="eastAsia"/>
        </w:rPr>
        <w:t>）中一级</w:t>
      </w:r>
      <w:r>
        <w:t>A</w:t>
      </w:r>
      <w:r>
        <w:rPr>
          <w:rFonts w:hint="eastAsia"/>
        </w:rPr>
        <w:t>标准后排入湘江。</w:t>
      </w:r>
      <w:r>
        <w:rPr>
          <w:rFonts w:hint="eastAsia"/>
          <w:szCs w:val="21"/>
        </w:rPr>
        <w:t>因此，在正常情况下，企业排放的废水对周边水环境基本无影响。</w:t>
      </w:r>
    </w:p>
    <w:p>
      <w:pPr>
        <w:ind w:firstLine="480"/>
      </w:pPr>
      <w:r>
        <w:rPr>
          <w:rFonts w:hint="eastAsia"/>
        </w:rPr>
        <w:t>根据技改项目工程分析可知，德科通过本次技改后，企业废水进行重复利用，其中印染水一部分进行生产套用，不排入厂区污水收集处理系统；冷却水进行循环利用；经污水处理站处理后的废水一部分回用于生产，多余的废水外排至市政污水管网。通过改造后，厂区外排废水量减少了</w:t>
      </w:r>
      <w:r>
        <w:rPr>
          <w:rFonts w:hint="eastAsia"/>
          <w:lang w:val="en-US" w:eastAsia="zh-CN"/>
        </w:rPr>
        <w:t>12.183万</w:t>
      </w:r>
      <w:r>
        <w:t>t/a</w:t>
      </w:r>
      <w:r>
        <w:rPr>
          <w:rFonts w:hint="eastAsia"/>
        </w:rPr>
        <w:t>，外排出厂区的</w:t>
      </w:r>
      <w:r>
        <w:t>COD</w:t>
      </w:r>
      <w:r>
        <w:rPr>
          <w:rFonts w:hint="eastAsia"/>
        </w:rPr>
        <w:t>减少了</w:t>
      </w:r>
      <w:r>
        <w:rPr>
          <w:rFonts w:hint="eastAsia"/>
          <w:lang w:val="en-US" w:eastAsia="zh-CN"/>
        </w:rPr>
        <w:t>20.269</w:t>
      </w:r>
      <w:r>
        <w:t>t/a</w:t>
      </w:r>
      <w:r>
        <w:rPr>
          <w:rFonts w:hint="eastAsia"/>
        </w:rPr>
        <w:t>、氨氮减少了</w:t>
      </w:r>
      <w:r>
        <w:rPr>
          <w:rFonts w:hint="eastAsia"/>
          <w:lang w:val="en-US" w:eastAsia="zh-CN"/>
        </w:rPr>
        <w:t>1.524</w:t>
      </w:r>
      <w:r>
        <w:t>t/a</w:t>
      </w:r>
      <w:r>
        <w:rPr>
          <w:rFonts w:hint="eastAsia"/>
        </w:rPr>
        <w:t>；外排入环境的</w:t>
      </w:r>
      <w:r>
        <w:t>COD</w:t>
      </w:r>
      <w:r>
        <w:rPr>
          <w:rFonts w:hint="eastAsia"/>
        </w:rPr>
        <w:t>减少了</w:t>
      </w:r>
      <w:r>
        <w:rPr>
          <w:rFonts w:hint="eastAsia"/>
          <w:lang w:val="en-US" w:eastAsia="zh-CN"/>
        </w:rPr>
        <w:t>47.981</w:t>
      </w:r>
      <w:r>
        <w:rPr>
          <w:rFonts w:hint="eastAsia"/>
        </w:rPr>
        <w:t>t/a、氨氮减少了</w:t>
      </w:r>
      <w:r>
        <w:rPr>
          <w:rFonts w:hint="eastAsia"/>
          <w:lang w:val="en-US" w:eastAsia="zh-CN"/>
        </w:rPr>
        <w:t>2.712</w:t>
      </w:r>
      <w:r>
        <w:t>t/a</w:t>
      </w:r>
      <w:r>
        <w:rPr>
          <w:rFonts w:hint="eastAsia"/>
        </w:rPr>
        <w:t>。由此可见，经过本次技术改造后，企业减少了废水对周边水环境的影响，对周边水环境有改善的作用。</w:t>
      </w:r>
    </w:p>
    <w:p>
      <w:pPr>
        <w:ind w:firstLine="480"/>
        <w:rPr>
          <w:u w:val="single"/>
        </w:rPr>
      </w:pPr>
      <w:r>
        <w:rPr>
          <w:rFonts w:hint="eastAsia"/>
          <w:u w:val="single"/>
        </w:rPr>
        <w:t>在非正常情况下（厂区污水处理站预处理设施失效或停止运行），企业生产污水最大排放量为</w:t>
      </w:r>
      <w:r>
        <w:rPr>
          <w:rFonts w:hint="eastAsia"/>
          <w:u w:val="single"/>
          <w:lang w:val="en-US" w:eastAsia="zh-CN"/>
        </w:rPr>
        <w:t>959.4</w:t>
      </w:r>
      <w:r>
        <w:rPr>
          <w:u w:val="single"/>
        </w:rPr>
        <w:t>t/d</w:t>
      </w:r>
      <w:r>
        <w:rPr>
          <w:rFonts w:hint="eastAsia"/>
          <w:u w:val="single"/>
        </w:rPr>
        <w:t>，其污水水质远高于营田镇污水处理厂的纳污标准，超标排放的污水对营田镇污水处理厂出水达标存在一定影响。因此，企业要保证废水处理设施正常运转，确保出水达到规定排放标准；同时在厂区内新建事故应急池，在污水处理站发生故障时，应立即采取停产措施，立即停止废水的排放，废水转入容积</w:t>
      </w:r>
      <w:r>
        <w:rPr>
          <w:rFonts w:hint="eastAsia"/>
          <w:color w:val="auto"/>
          <w:u w:val="single"/>
        </w:rPr>
        <w:t>为</w:t>
      </w:r>
      <w:r>
        <w:rPr>
          <w:rFonts w:hint="eastAsia"/>
          <w:color w:val="auto"/>
          <w:u w:val="single"/>
          <w:lang w:val="en-US" w:eastAsia="zh-CN"/>
        </w:rPr>
        <w:t>100</w:t>
      </w:r>
      <w:r>
        <w:rPr>
          <w:rFonts w:hint="eastAsia"/>
          <w:color w:val="auto"/>
          <w:u w:val="single"/>
        </w:rPr>
        <w:t>0m</w:t>
      </w:r>
      <w:r>
        <w:rPr>
          <w:rFonts w:hint="eastAsia"/>
          <w:color w:val="auto"/>
          <w:u w:val="single"/>
          <w:vertAlign w:val="superscript"/>
        </w:rPr>
        <w:t>3</w:t>
      </w:r>
      <w:r>
        <w:rPr>
          <w:rFonts w:hint="eastAsia"/>
          <w:color w:val="auto"/>
          <w:u w:val="single"/>
        </w:rPr>
        <w:t>事</w:t>
      </w:r>
      <w:r>
        <w:rPr>
          <w:rFonts w:hint="eastAsia"/>
          <w:u w:val="single"/>
        </w:rPr>
        <w:t>故应急池，暂存，待污水处理站正常运行后再进行处理。因此，采取上述措施后，发生事故时生产废水不会进入地表水体和直接排入营田镇污水处理厂，不会对营田镇污水处理厂和地表水环境造成不良影响。</w:t>
      </w:r>
    </w:p>
    <w:p>
      <w:pPr>
        <w:ind w:firstLine="482"/>
        <w:rPr>
          <w:b/>
          <w:bCs/>
        </w:rPr>
      </w:pPr>
      <w:r>
        <w:rPr>
          <w:rFonts w:hint="eastAsia"/>
          <w:b/>
          <w:bCs/>
        </w:rPr>
        <w:t>小结：</w:t>
      </w:r>
      <w:r>
        <w:rPr>
          <w:rFonts w:hint="eastAsia"/>
        </w:rPr>
        <w:t>通过上述分析，技改后，厂区废水对最终纳污水体影响较小；同时，通过技改，厂区内水污染物外排入环境的量分别减少了：</w:t>
      </w:r>
      <w:r>
        <w:t>COD</w:t>
      </w:r>
      <w:r>
        <w:rPr>
          <w:rFonts w:hint="eastAsia"/>
          <w:lang w:val="en-US" w:eastAsia="zh-CN"/>
        </w:rPr>
        <w:t>47.981</w:t>
      </w:r>
      <w:r>
        <w:rPr>
          <w:rFonts w:hint="eastAsia"/>
        </w:rPr>
        <w:t>t/a、氨氮</w:t>
      </w:r>
      <w:r>
        <w:rPr>
          <w:rFonts w:hint="eastAsia"/>
          <w:lang w:val="en-US" w:eastAsia="zh-CN"/>
        </w:rPr>
        <w:t>2.712</w:t>
      </w:r>
      <w:r>
        <w:t>t/a</w:t>
      </w:r>
      <w:r>
        <w:rPr>
          <w:rFonts w:hint="eastAsia"/>
        </w:rPr>
        <w:t>，企业减少了废水对周边水环境的影响，对周边水环境有改善的作用。</w:t>
      </w:r>
    </w:p>
    <w:p>
      <w:pPr>
        <w:pStyle w:val="4"/>
      </w:pPr>
      <w:r>
        <w:rPr>
          <w:rFonts w:hint="eastAsia" w:ascii="宋体" w:hAnsi="宋体"/>
          <w:szCs w:val="21"/>
        </w:rPr>
        <w:t>地下水环境影响分析</w:t>
      </w:r>
    </w:p>
    <w:p>
      <w:pPr>
        <w:pStyle w:val="5"/>
      </w:pPr>
      <w:r>
        <w:rPr>
          <w:rFonts w:hint="eastAsia"/>
        </w:rPr>
        <w:t>地下水环境影响评价</w:t>
      </w:r>
    </w:p>
    <w:p>
      <w:pPr>
        <w:ind w:firstLine="480"/>
      </w:pPr>
      <w:r>
        <w:rPr>
          <w:rFonts w:hint="eastAsia"/>
        </w:rPr>
        <w:t>技改前与技改后，厂区对地下水环境造成影响的主要途径为污水处理站、固废暂存场、污水管网等设施的破裂导致污水的下渗，对地下水造成污染。根据现场踏勘，企业</w:t>
      </w:r>
      <w:r>
        <w:t>对</w:t>
      </w:r>
      <w:r>
        <w:rPr>
          <w:rFonts w:hint="eastAsia"/>
        </w:rPr>
        <w:t>厂区生产车间地面进行硬化、污水处理站和污水管道进行防渗处理</w:t>
      </w:r>
      <w:r>
        <w:t>，</w:t>
      </w:r>
      <w:r>
        <w:rPr>
          <w:rFonts w:hint="eastAsia"/>
        </w:rPr>
        <w:t>并对污水处理站和污水管道进行定期检查和维修，</w:t>
      </w:r>
      <w:r>
        <w:t>有效控制厂区内的废水污染物下渗现象，避免污染地下水，</w:t>
      </w:r>
      <w:r>
        <w:rPr>
          <w:rFonts w:hint="eastAsia"/>
        </w:rPr>
        <w:t>但存在氧化塘未进行防渗处理。根据现场对厂区及周边地下水进行现场检测的检测可知，五个地下水监测点各监测因子均达到了《地下水质量标准》（</w:t>
      </w:r>
      <w:r>
        <w:t>GB/T14848-93</w:t>
      </w:r>
      <w:r>
        <w:rPr>
          <w:rFonts w:hint="eastAsia"/>
        </w:rPr>
        <w:t>）中Ⅲ类标准限值，说明技改前现有工程对地下水环境影响较小。技改后，厂区废水经污水处理站处理后直接排入市政污水管网进入营田镇污水厂进一步处理，不再排入氧化塘，避免地下水通过未采取防渗措施的氧化塘下渗污染地下水</w:t>
      </w:r>
      <w:r>
        <w:t>。</w:t>
      </w:r>
      <w:r>
        <w:rPr>
          <w:rFonts w:hint="eastAsia"/>
        </w:rPr>
        <w:t>因此，技改后相比技改前，减少了废水对地下水环境的污染途径，对地下水影响减小。</w:t>
      </w:r>
    </w:p>
    <w:p>
      <w:pPr>
        <w:pStyle w:val="5"/>
      </w:pPr>
      <w:r>
        <w:rPr>
          <w:rFonts w:hint="eastAsia"/>
        </w:rPr>
        <w:t>技改后地下水环境影响预测</w:t>
      </w:r>
    </w:p>
    <w:p>
      <w:pPr>
        <w:ind w:firstLine="480"/>
      </w:pPr>
      <w:r>
        <w:t>1</w:t>
      </w:r>
      <w:r>
        <w:rPr>
          <w:rFonts w:hint="eastAsia"/>
        </w:rPr>
        <w:t>、水文地质</w:t>
      </w:r>
    </w:p>
    <w:p>
      <w:pPr>
        <w:ind w:firstLine="480"/>
      </w:pPr>
      <w:r>
        <w:rPr>
          <w:rFonts w:hint="eastAsia"/>
        </w:rPr>
        <w:t>（</w:t>
      </w:r>
      <w:r>
        <w:t>1</w:t>
      </w:r>
      <w:r>
        <w:rPr>
          <w:rFonts w:hint="eastAsia"/>
        </w:rPr>
        <w:t>）地质构造</w:t>
      </w:r>
    </w:p>
    <w:p>
      <w:pPr>
        <w:ind w:firstLine="480"/>
      </w:pPr>
      <w:r>
        <w:rPr>
          <w:rFonts w:hint="eastAsia"/>
        </w:rPr>
        <w:t>屈原管理区土地平坦，境内有三种独具性态的成土母质，分别为砂岩变质岩、第四纪红色粘土及河湖沉积物。农业生产条件优越。地势自东南向西北东洞庭湖倾斜为元宝形盆地，以人工平原为主，散布低丘岗地，区内地面高</w:t>
      </w:r>
      <w:r>
        <w:t>22.1-32.1m</w:t>
      </w:r>
      <w:r>
        <w:rPr>
          <w:rFonts w:hint="eastAsia"/>
        </w:rPr>
        <w:t>。制高点为磊石山，海拔</w:t>
      </w:r>
      <w:r>
        <w:t>90.72 m</w:t>
      </w:r>
      <w:r>
        <w:rPr>
          <w:rFonts w:hint="eastAsia"/>
        </w:rPr>
        <w:t>，最低处是荞麦湖湖底，海拔</w:t>
      </w:r>
      <w:r>
        <w:t>22m</w:t>
      </w:r>
      <w:r>
        <w:rPr>
          <w:rFonts w:hint="eastAsia"/>
        </w:rPr>
        <w:t>。</w:t>
      </w:r>
    </w:p>
    <w:p>
      <w:pPr>
        <w:ind w:firstLine="480"/>
      </w:pPr>
      <w:r>
        <w:rPr>
          <w:rFonts w:hint="eastAsia"/>
        </w:rPr>
        <w:t>（</w:t>
      </w:r>
      <w:r>
        <w:t>2</w:t>
      </w:r>
      <w:r>
        <w:rPr>
          <w:rFonts w:hint="eastAsia"/>
        </w:rPr>
        <w:t>）区域稳定性</w:t>
      </w:r>
    </w:p>
    <w:p>
      <w:pPr>
        <w:ind w:firstLine="480"/>
      </w:pPr>
      <w:r>
        <w:rPr>
          <w:rFonts w:hint="eastAsia"/>
        </w:rPr>
        <w:t>项目位于屈原管理区，根据国家地震局、建设部</w:t>
      </w:r>
      <w:r>
        <w:t>2001</w:t>
      </w:r>
      <w:r>
        <w:rPr>
          <w:rFonts w:hint="eastAsia"/>
        </w:rPr>
        <w:t>年版《中国地震动参数区划图》，地震烈度为</w:t>
      </w:r>
      <w:r>
        <w:t>7</w:t>
      </w:r>
      <w:r>
        <w:rPr>
          <w:rFonts w:hint="eastAsia"/>
        </w:rPr>
        <w:t>度。</w:t>
      </w:r>
    </w:p>
    <w:p>
      <w:pPr>
        <w:ind w:firstLine="480"/>
      </w:pPr>
      <w:r>
        <w:rPr>
          <w:rFonts w:hint="eastAsia"/>
        </w:rPr>
        <w:t>（</w:t>
      </w:r>
      <w:r>
        <w:t>3</w:t>
      </w:r>
      <w:r>
        <w:rPr>
          <w:rFonts w:hint="eastAsia"/>
        </w:rPr>
        <w:t>）场地地质条件</w:t>
      </w:r>
    </w:p>
    <w:p>
      <w:pPr>
        <w:ind w:firstLine="480"/>
      </w:pPr>
      <w:r>
        <w:rPr>
          <w:rFonts w:hint="eastAsia"/>
        </w:rPr>
        <w:t>为了了解厂区地质条件，本次环评引用位于湖南德科纺织品有限公司大门前锦绣园商住楼的岩土工程详细勘察报告，该地块位于本项目场地东北侧</w:t>
      </w:r>
      <w:r>
        <w:t>300m</w:t>
      </w:r>
      <w:r>
        <w:rPr>
          <w:rFonts w:hint="eastAsia"/>
        </w:rPr>
        <w:t>处。根据《湖南德科纺织品有限公司锦绣园商住楼岩土工程详细勘察报告》，场地地层主要由杂填土（</w:t>
      </w:r>
      <w:r>
        <w:t>mlQ</w:t>
      </w:r>
      <w:r>
        <w:rPr>
          <w:vertAlign w:val="subscript"/>
        </w:rPr>
        <w:t>4</w:t>
      </w:r>
      <w:r>
        <w:rPr>
          <w:rFonts w:hint="eastAsia"/>
        </w:rPr>
        <w:t>）、粉质粘土（</w:t>
      </w:r>
      <w:r>
        <w:t>alQ</w:t>
      </w:r>
      <w:r>
        <w:rPr>
          <w:vertAlign w:val="subscript"/>
        </w:rPr>
        <w:t>3</w:t>
      </w:r>
      <w:r>
        <w:rPr>
          <w:rFonts w:hint="eastAsia"/>
        </w:rPr>
        <w:t>）、卵石（</w:t>
      </w:r>
      <w:r>
        <w:t>alQ</w:t>
      </w:r>
      <w:r>
        <w:rPr>
          <w:vertAlign w:val="subscript"/>
        </w:rPr>
        <w:t>2</w:t>
      </w:r>
      <w:r>
        <w:rPr>
          <w:rFonts w:hint="eastAsia"/>
        </w:rPr>
        <w:t>）等组成，其野外特征按自上而下的顺序依次描述如下：</w:t>
      </w:r>
    </w:p>
    <w:p>
      <w:pPr>
        <w:ind w:firstLine="480"/>
      </w:pPr>
      <w:r>
        <w:rPr>
          <w:rFonts w:hint="eastAsia"/>
        </w:rPr>
        <w:t>杂填土（</w:t>
      </w:r>
      <w:r>
        <w:t>mlQ</w:t>
      </w:r>
      <w:r>
        <w:rPr>
          <w:vertAlign w:val="subscript"/>
        </w:rPr>
        <w:t>4</w:t>
      </w:r>
      <w:r>
        <w:rPr>
          <w:rFonts w:hint="eastAsia"/>
        </w:rPr>
        <w:t>）：褐黄色，主要有粘性土组成，为人工堆填的松散型粘土，结构松散，未完成自重固结，稍湿，仅部分地层有，层顶高程为</w:t>
      </w:r>
      <w:r>
        <w:t>37.65m</w:t>
      </w:r>
      <w:r>
        <w:rPr>
          <w:rFonts w:hint="eastAsia"/>
        </w:rPr>
        <w:t>，层厚</w:t>
      </w:r>
      <w:r>
        <w:t>1.25~2.5m</w:t>
      </w:r>
      <w:r>
        <w:rPr>
          <w:rFonts w:hint="eastAsia"/>
        </w:rPr>
        <w:t>。</w:t>
      </w:r>
    </w:p>
    <w:p>
      <w:pPr>
        <w:ind w:firstLine="480"/>
      </w:pPr>
      <w:r>
        <w:rPr>
          <w:rFonts w:hint="eastAsia"/>
        </w:rPr>
        <w:t>粉质粘土（</w:t>
      </w:r>
      <w:r>
        <w:t>alQ</w:t>
      </w:r>
      <w:r>
        <w:rPr>
          <w:vertAlign w:val="subscript"/>
        </w:rPr>
        <w:t>3</w:t>
      </w:r>
      <w:r>
        <w:rPr>
          <w:rFonts w:hint="eastAsia"/>
        </w:rPr>
        <w:t>）：黄色、桔黄色，夹杂有少量白色，高岭土斑纹，含铁锰质结核，具有网纹状结构，稍湿，无摇震反应，韧性较强，干强度较高，切口较光滑，属于中等压缩性土，呈硬塑状态。该层分布于整个场地，层顶高程</w:t>
      </w:r>
      <w:r>
        <w:t>35.15~37.70m</w:t>
      </w:r>
      <w:r>
        <w:rPr>
          <w:rFonts w:hint="eastAsia"/>
        </w:rPr>
        <w:t>，层厚</w:t>
      </w:r>
      <w:r>
        <w:t>14.00~15.45m</w:t>
      </w:r>
      <w:r>
        <w:rPr>
          <w:rFonts w:hint="eastAsia"/>
        </w:rPr>
        <w:t>。</w:t>
      </w:r>
    </w:p>
    <w:p>
      <w:pPr>
        <w:ind w:firstLine="480"/>
      </w:pPr>
      <w:r>
        <w:rPr>
          <w:rFonts w:hint="eastAsia"/>
        </w:rPr>
        <w:t>卵石（</w:t>
      </w:r>
      <w:r>
        <w:t>alQ</w:t>
      </w:r>
      <w:r>
        <w:rPr>
          <w:vertAlign w:val="subscript"/>
        </w:rPr>
        <w:t>2</w:t>
      </w:r>
      <w:r>
        <w:rPr>
          <w:rFonts w:hint="eastAsia"/>
        </w:rPr>
        <w:t>）：褐黄色，主要矿物成分为石英质，呈亚圆形、圆形，粗砂及少量粘性土充填，卵石直径</w:t>
      </w:r>
      <w:r>
        <w:t>20~25mm</w:t>
      </w:r>
      <w:r>
        <w:rPr>
          <w:rFonts w:hint="eastAsia"/>
        </w:rPr>
        <w:t>，卵石含量约</w:t>
      </w:r>
      <w:r>
        <w:t>50~60%</w:t>
      </w:r>
      <w:r>
        <w:rPr>
          <w:rFonts w:hint="eastAsia"/>
        </w:rPr>
        <w:t>，粗砂占</w:t>
      </w:r>
      <w:r>
        <w:t>25%</w:t>
      </w:r>
      <w:r>
        <w:rPr>
          <w:rFonts w:hint="eastAsia"/>
        </w:rPr>
        <w:t>，级配良好，密实，湿</w:t>
      </w:r>
      <w:r>
        <w:t>~</w:t>
      </w:r>
      <w:r>
        <w:rPr>
          <w:rFonts w:hint="eastAsia"/>
        </w:rPr>
        <w:t>饱和。该层分布于整个场地，层顶高程</w:t>
      </w:r>
      <w:r>
        <w:t>20.65~22.65m</w:t>
      </w:r>
      <w:r>
        <w:rPr>
          <w:rFonts w:hint="eastAsia"/>
        </w:rPr>
        <w:t>，层厚</w:t>
      </w:r>
      <w:r>
        <w:t>5.10~35.75m</w:t>
      </w:r>
      <w:r>
        <w:rPr>
          <w:rFonts w:hint="eastAsia"/>
        </w:rPr>
        <w:t>。</w:t>
      </w:r>
    </w:p>
    <w:p>
      <w:pPr>
        <w:ind w:firstLine="480"/>
      </w:pPr>
      <w:r>
        <w:rPr>
          <w:rFonts w:hint="eastAsia"/>
        </w:rPr>
        <w:t>（</w:t>
      </w:r>
      <w:r>
        <w:t>4</w:t>
      </w:r>
      <w:r>
        <w:rPr>
          <w:rFonts w:hint="eastAsia"/>
        </w:rPr>
        <w:t>）地下水类型、补径排及地下水流畅</w:t>
      </w:r>
    </w:p>
    <w:p>
      <w:pPr>
        <w:ind w:firstLine="480"/>
      </w:pPr>
      <w:r>
        <w:rPr>
          <w:rFonts w:hint="eastAsia"/>
        </w:rPr>
        <w:t>根据勘察报告，场地内地下水主要为赋存与砂石卵中的孔隙潜水，主要有大气降水补偿，水位变化幅度不大，地下水含量较小，勘察期间实测稳定水位埋深范围为</w:t>
      </w:r>
      <w:r>
        <w:t>17.45~17.90m</w:t>
      </w:r>
      <w:r>
        <w:rPr>
          <w:rFonts w:hint="eastAsia"/>
        </w:rPr>
        <w:t>，高程范围为</w:t>
      </w:r>
      <w:r>
        <w:t>19.65~20.15m</w:t>
      </w:r>
      <w:r>
        <w:rPr>
          <w:rFonts w:hint="eastAsia"/>
        </w:rPr>
        <w:t>，地下水变化幅度范围为</w:t>
      </w:r>
      <w:r>
        <w:t>0.90m</w:t>
      </w:r>
      <w:r>
        <w:rPr>
          <w:rFonts w:hint="eastAsia"/>
        </w:rPr>
        <w:t>。调查区域内地下水位由项目所在地陆域向湘江，水位由</w:t>
      </w:r>
      <w:r>
        <w:t>20.15m</w:t>
      </w:r>
      <w:r>
        <w:rPr>
          <w:rFonts w:hint="eastAsia"/>
        </w:rPr>
        <w:t>减小至</w:t>
      </w:r>
      <w:r>
        <w:t>20.1m</w:t>
      </w:r>
      <w:r>
        <w:rPr>
          <w:rFonts w:hint="eastAsia"/>
        </w:rPr>
        <w:t>和</w:t>
      </w:r>
      <w:r>
        <w:t>19.8m</w:t>
      </w:r>
      <w:r>
        <w:rPr>
          <w:rFonts w:hint="eastAsia"/>
        </w:rPr>
        <w:t>，表明地下水现状测量期间，地下水流向为河流向场地补给。</w:t>
      </w:r>
    </w:p>
    <w:p>
      <w:pPr>
        <w:spacing w:line="500" w:lineRule="exact"/>
        <w:ind w:firstLine="480"/>
      </w:pPr>
      <w:r>
        <w:rPr>
          <w:rFonts w:hint="eastAsia"/>
        </w:rPr>
        <w:t>（</w:t>
      </w:r>
      <w:r>
        <w:t>5</w:t>
      </w:r>
      <w:r>
        <w:rPr>
          <w:rFonts w:hint="eastAsia"/>
        </w:rPr>
        <w:t>）地下水开发利用现状</w:t>
      </w:r>
    </w:p>
    <w:p>
      <w:pPr>
        <w:spacing w:line="500" w:lineRule="exact"/>
        <w:ind w:firstLine="480"/>
        <w:rPr>
          <w:rFonts w:ascii="宋体"/>
        </w:rPr>
      </w:pPr>
      <w:r>
        <w:rPr>
          <w:rFonts w:hint="eastAsia" w:ascii="宋体" w:hAnsi="宋体"/>
        </w:rPr>
        <w:t>据地勘资料和调查走访问，项目区域地下水以</w:t>
      </w:r>
      <w:r>
        <w:rPr>
          <w:rFonts w:hint="eastAsia"/>
        </w:rPr>
        <w:t>孔隙潜水</w:t>
      </w:r>
      <w:r>
        <w:rPr>
          <w:rFonts w:hint="eastAsia" w:ascii="宋体" w:hAnsi="宋体"/>
        </w:rPr>
        <w:t>为主，加之地表水供水充足，地下水开采极少。</w:t>
      </w:r>
    </w:p>
    <w:p>
      <w:pPr>
        <w:ind w:firstLine="480"/>
      </w:pPr>
      <w:r>
        <w:t>2</w:t>
      </w:r>
      <w:r>
        <w:rPr>
          <w:rFonts w:hint="eastAsia"/>
        </w:rPr>
        <w:t>、地下水潜在污染源分析</w:t>
      </w:r>
    </w:p>
    <w:p>
      <w:pPr>
        <w:ind w:firstLine="480"/>
      </w:pPr>
      <w:r>
        <w:rPr>
          <w:rFonts w:hint="eastAsia"/>
        </w:rPr>
        <w:t>根据项目特点和工程分析，项目污水调节池等均有可能是地下水的主要潜在污染源。服务期中（期满后）污水处理站调节池发生裂缝渗漏，可能导致污染物下渗污染地下水。根据本项目平面布置和工艺情况分析，如果是厂区污水处理站渗漏，从水文地质角度来讲，这类事故持续时间较短，可视为瞬时性。</w:t>
      </w:r>
    </w:p>
    <w:p>
      <w:pPr>
        <w:ind w:firstLine="480"/>
      </w:pPr>
      <w:r>
        <w:rPr>
          <w:rFonts w:hint="eastAsia"/>
        </w:rPr>
        <w:t>同时根据分析，项目场区上部分布有海相淤积软土，含水率高、压缩性高、灵敏度高、易变性、抗剪强度低等特点，地面存在缓慢沉降的可能性，可能会危及污水水池等的防渗结构和防渗性能。</w:t>
      </w:r>
    </w:p>
    <w:p>
      <w:pPr>
        <w:pStyle w:val="26"/>
        <w:rPr>
          <w:b/>
          <w:bCs/>
        </w:rPr>
      </w:pPr>
      <w:r>
        <w:rPr>
          <w:rFonts w:hint="eastAsia"/>
          <w:b/>
          <w:bCs/>
        </w:rPr>
        <w:t>表</w:t>
      </w:r>
      <w:r>
        <w:rPr>
          <w:b/>
          <w:bCs/>
        </w:rPr>
        <w:t xml:space="preserve">6.2-1  </w:t>
      </w:r>
      <w:r>
        <w:rPr>
          <w:rFonts w:hint="eastAsia"/>
          <w:b/>
          <w:bCs/>
        </w:rPr>
        <w:t>地下水潜在污染源及污染形式汇总</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8"/>
        <w:gridCol w:w="2031"/>
        <w:gridCol w:w="2032"/>
        <w:gridCol w:w="1281"/>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3228" w:type="dxa"/>
            <w:vAlign w:val="center"/>
          </w:tcPr>
          <w:p>
            <w:pPr>
              <w:pStyle w:val="25"/>
              <w:rPr>
                <w:kern w:val="2"/>
                <w:szCs w:val="21"/>
                <w:lang w:val="en-US" w:eastAsia="zh-CN"/>
              </w:rPr>
            </w:pPr>
            <w:r>
              <w:rPr>
                <w:rFonts w:hint="eastAsia"/>
                <w:kern w:val="2"/>
                <w:szCs w:val="21"/>
                <w:lang w:val="en-US" w:eastAsia="zh-CN"/>
              </w:rPr>
              <w:t>污染源</w:t>
            </w:r>
          </w:p>
        </w:tc>
        <w:tc>
          <w:tcPr>
            <w:tcW w:w="2031" w:type="dxa"/>
            <w:vAlign w:val="center"/>
          </w:tcPr>
          <w:p>
            <w:pPr>
              <w:pStyle w:val="25"/>
              <w:rPr>
                <w:kern w:val="2"/>
                <w:szCs w:val="21"/>
                <w:lang w:val="en-US" w:eastAsia="zh-CN"/>
              </w:rPr>
            </w:pPr>
            <w:r>
              <w:rPr>
                <w:rFonts w:hint="eastAsia"/>
                <w:kern w:val="2"/>
                <w:szCs w:val="21"/>
                <w:lang w:val="en-US" w:eastAsia="zh-CN"/>
              </w:rPr>
              <w:t>发生原因</w:t>
            </w:r>
          </w:p>
        </w:tc>
        <w:tc>
          <w:tcPr>
            <w:tcW w:w="2032" w:type="dxa"/>
            <w:vAlign w:val="center"/>
          </w:tcPr>
          <w:p>
            <w:pPr>
              <w:pStyle w:val="25"/>
              <w:rPr>
                <w:kern w:val="2"/>
                <w:szCs w:val="21"/>
                <w:lang w:val="en-US" w:eastAsia="zh-CN"/>
              </w:rPr>
            </w:pPr>
            <w:r>
              <w:rPr>
                <w:rFonts w:hint="eastAsia"/>
                <w:kern w:val="2"/>
                <w:szCs w:val="21"/>
                <w:lang w:val="en-US" w:eastAsia="zh-CN"/>
              </w:rPr>
              <w:t>污染形式</w:t>
            </w:r>
          </w:p>
        </w:tc>
        <w:tc>
          <w:tcPr>
            <w:tcW w:w="2563" w:type="dxa"/>
            <w:gridSpan w:val="2"/>
            <w:vAlign w:val="center"/>
          </w:tcPr>
          <w:p>
            <w:pPr>
              <w:pStyle w:val="25"/>
              <w:rPr>
                <w:kern w:val="2"/>
                <w:szCs w:val="21"/>
                <w:lang w:val="en-US" w:eastAsia="zh-CN"/>
              </w:rPr>
            </w:pPr>
            <w:r>
              <w:rPr>
                <w:rFonts w:hint="eastAsia"/>
                <w:kern w:val="2"/>
                <w:szCs w:val="21"/>
                <w:lang w:val="en-US" w:eastAsia="zh-CN"/>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3228" w:type="dxa"/>
            <w:vAlign w:val="center"/>
          </w:tcPr>
          <w:p>
            <w:pPr>
              <w:pStyle w:val="25"/>
              <w:rPr>
                <w:kern w:val="2"/>
                <w:szCs w:val="21"/>
                <w:lang w:val="en-US" w:eastAsia="zh-CN"/>
              </w:rPr>
            </w:pPr>
            <w:r>
              <w:rPr>
                <w:rFonts w:hint="eastAsia"/>
                <w:kern w:val="2"/>
                <w:szCs w:val="21"/>
                <w:lang w:val="en-US" w:eastAsia="zh-CN"/>
              </w:rPr>
              <w:t>污水处理站</w:t>
            </w:r>
          </w:p>
        </w:tc>
        <w:tc>
          <w:tcPr>
            <w:tcW w:w="2031" w:type="dxa"/>
            <w:vAlign w:val="center"/>
          </w:tcPr>
          <w:p>
            <w:pPr>
              <w:pStyle w:val="25"/>
              <w:rPr>
                <w:kern w:val="2"/>
                <w:szCs w:val="21"/>
                <w:lang w:val="en-US" w:eastAsia="zh-CN"/>
              </w:rPr>
            </w:pPr>
            <w:r>
              <w:rPr>
                <w:rFonts w:hint="eastAsia"/>
                <w:kern w:val="2"/>
                <w:szCs w:val="21"/>
                <w:lang w:val="en-US" w:eastAsia="zh-CN"/>
              </w:rPr>
              <w:t>裂缝渗漏</w:t>
            </w:r>
          </w:p>
        </w:tc>
        <w:tc>
          <w:tcPr>
            <w:tcW w:w="2032" w:type="dxa"/>
            <w:vAlign w:val="center"/>
          </w:tcPr>
          <w:p>
            <w:pPr>
              <w:pStyle w:val="25"/>
              <w:rPr>
                <w:kern w:val="2"/>
                <w:szCs w:val="21"/>
                <w:lang w:val="en-US" w:eastAsia="zh-CN"/>
              </w:rPr>
            </w:pPr>
            <w:r>
              <w:rPr>
                <w:rFonts w:hint="eastAsia"/>
                <w:kern w:val="2"/>
                <w:szCs w:val="21"/>
                <w:lang w:val="en-US" w:eastAsia="zh-CN"/>
              </w:rPr>
              <w:t>瞬时性</w:t>
            </w:r>
          </w:p>
        </w:tc>
        <w:tc>
          <w:tcPr>
            <w:tcW w:w="1281" w:type="dxa"/>
            <w:vAlign w:val="center"/>
          </w:tcPr>
          <w:p>
            <w:pPr>
              <w:pStyle w:val="25"/>
              <w:rPr>
                <w:kern w:val="2"/>
                <w:szCs w:val="21"/>
                <w:lang w:val="en-US" w:eastAsia="zh-CN"/>
              </w:rPr>
            </w:pPr>
            <w:r>
              <w:rPr>
                <w:kern w:val="2"/>
                <w:szCs w:val="21"/>
                <w:lang w:val="en-US" w:eastAsia="zh-CN"/>
              </w:rPr>
              <w:t>COD</w:t>
            </w:r>
          </w:p>
        </w:tc>
        <w:tc>
          <w:tcPr>
            <w:tcW w:w="1282" w:type="dxa"/>
            <w:vAlign w:val="center"/>
          </w:tcPr>
          <w:p>
            <w:pPr>
              <w:pStyle w:val="25"/>
              <w:rPr>
                <w:kern w:val="2"/>
                <w:szCs w:val="21"/>
                <w:lang w:val="en-US" w:eastAsia="zh-CN"/>
              </w:rPr>
            </w:pPr>
            <w:r>
              <w:rPr>
                <w:rFonts w:hint="eastAsia"/>
                <w:kern w:val="2"/>
                <w:szCs w:val="21"/>
                <w:lang w:val="en-US" w:eastAsia="zh-CN"/>
              </w:rPr>
              <w:t>氨氮</w:t>
            </w:r>
          </w:p>
        </w:tc>
      </w:tr>
    </w:tbl>
    <w:p>
      <w:pPr>
        <w:ind w:firstLine="480"/>
      </w:pPr>
      <w:r>
        <w:t>3</w:t>
      </w:r>
      <w:r>
        <w:rPr>
          <w:rFonts w:hint="eastAsia"/>
        </w:rPr>
        <w:t>、地下水环境影响评价</w:t>
      </w:r>
    </w:p>
    <w:p>
      <w:pPr>
        <w:ind w:firstLine="480"/>
      </w:pPr>
      <w:r>
        <w:rPr>
          <w:rFonts w:hint="eastAsia"/>
        </w:rPr>
        <w:t>根据《环境影响评价技术导则地下水环境》（</w:t>
      </w:r>
      <w:r>
        <w:t>HJ 610-2016</w:t>
      </w:r>
      <w:r>
        <w:rPr>
          <w:rFonts w:hint="eastAsia"/>
        </w:rPr>
        <w:t>），二级评价中水文地质条件复杂时采用数值法，水文地质条件简单时可采用解析法。本工程评价范围内水文地质条件都相对简单，因此采用解析法对地下水环境影响进行预测。该法主要特点是不同于数值模型，其在解析计算时未考虑地下水流向。</w:t>
      </w:r>
    </w:p>
    <w:p>
      <w:pPr>
        <w:ind w:firstLine="480"/>
      </w:pPr>
      <w:r>
        <w:rPr>
          <w:rFonts w:hint="eastAsia"/>
        </w:rPr>
        <w:t>建设单位在厂区容易出现地下水污染威胁各污水处理站池体进行水泥硬化。做好各个细节的防渗堵漏措施和地下水污染事故应急设施，按照环境监控计划做好地下水定期取样监测，正常情况下，本项目对地下水的环境污染威胁较小。但是在非正常工况下，污水处理站防渗系统出现破损而导致渗漏时，则会对厂址区域的地下水形成较大的污染威胁。</w:t>
      </w:r>
    </w:p>
    <w:p>
      <w:pPr>
        <w:ind w:firstLine="480"/>
      </w:pPr>
      <w:r>
        <w:rPr>
          <w:rFonts w:hint="eastAsia"/>
        </w:rPr>
        <w:t>第二章节已叙述，根据《环境影响评价技术导则地下水环境》（</w:t>
      </w:r>
      <w:r>
        <w:t>HJ610-2016</w:t>
      </w:r>
      <w:r>
        <w:rPr>
          <w:rFonts w:hint="eastAsia"/>
        </w:rPr>
        <w:t>）判定本项目地下水评价等级为二级。因此本节针对厂区地下水二级评价采用解析解方法预测污染源在非正常工况下，防渗膜出现破损时对地下水环境的影响。</w:t>
      </w:r>
    </w:p>
    <w:p>
      <w:pPr>
        <w:ind w:firstLine="480"/>
      </w:pPr>
      <w:r>
        <w:rPr>
          <w:rFonts w:hint="eastAsia"/>
        </w:rPr>
        <w:t>（</w:t>
      </w:r>
      <w:r>
        <w:t>1</w:t>
      </w:r>
      <w:r>
        <w:rPr>
          <w:rFonts w:hint="eastAsia"/>
        </w:rPr>
        <w:t>）污染源及污染因子识别</w:t>
      </w:r>
    </w:p>
    <w:p>
      <w:pPr>
        <w:ind w:firstLine="480"/>
      </w:pPr>
      <w:r>
        <w:rPr>
          <w:rFonts w:hint="eastAsia"/>
        </w:rPr>
        <w:fldChar w:fldCharType="begin"/>
      </w:r>
      <w:r>
        <w:instrText xml:space="preserve"> = 1 \* GB3 </w:instrText>
      </w:r>
      <w:r>
        <w:rPr>
          <w:rFonts w:hint="eastAsia"/>
        </w:rPr>
        <w:fldChar w:fldCharType="separate"/>
      </w:r>
      <w:r>
        <w:rPr>
          <w:rFonts w:hint="eastAsia"/>
        </w:rPr>
        <w:t>①</w:t>
      </w:r>
      <w:r>
        <w:rPr>
          <w:rFonts w:hint="eastAsia"/>
        </w:rPr>
        <w:fldChar w:fldCharType="end"/>
      </w:r>
      <w:r>
        <w:rPr>
          <w:rFonts w:hint="eastAsia"/>
        </w:rPr>
        <w:t>污染源识别</w:t>
      </w:r>
    </w:p>
    <w:p>
      <w:pPr>
        <w:ind w:firstLine="480"/>
      </w:pPr>
      <w:r>
        <w:rPr>
          <w:rFonts w:hint="eastAsia"/>
        </w:rPr>
        <w:t>实际情况下，污水处理站各个废水处理池体（包括污泥处置和临时储存系统）均会对地下水污染构成威胁。本报告充分考虑污水站建设过程中采用的防渗设计和实际运营时对地下水的影响情况，坚持环境最大不利影响的预测原则，本次考虑污水处理站池体防渗系统出现破损导致印染废水泄露入渗进地下水含水层。</w:t>
      </w:r>
    </w:p>
    <w:p>
      <w:pPr>
        <w:ind w:firstLine="480"/>
      </w:pPr>
      <w:r>
        <w:rPr>
          <w:rFonts w:hint="eastAsia"/>
        </w:rPr>
        <w:fldChar w:fldCharType="begin"/>
      </w:r>
      <w:r>
        <w:instrText xml:space="preserve"> = 2 \* GB3 </w:instrText>
      </w:r>
      <w:r>
        <w:rPr>
          <w:rFonts w:hint="eastAsia"/>
        </w:rPr>
        <w:fldChar w:fldCharType="separate"/>
      </w:r>
      <w:r>
        <w:rPr>
          <w:rFonts w:hint="eastAsia"/>
        </w:rPr>
        <w:t>②</w:t>
      </w:r>
      <w:r>
        <w:rPr>
          <w:rFonts w:hint="eastAsia"/>
        </w:rPr>
        <w:fldChar w:fldCharType="end"/>
      </w:r>
      <w:r>
        <w:rPr>
          <w:rFonts w:hint="eastAsia"/>
        </w:rPr>
        <w:t>污染因子识别</w:t>
      </w:r>
    </w:p>
    <w:p>
      <w:pPr>
        <w:ind w:firstLine="480"/>
      </w:pPr>
      <w:r>
        <w:rPr>
          <w:rFonts w:hint="eastAsia"/>
        </w:rPr>
        <w:t>根据工程分析可知，厂区废水处理站混合废水主要污染因子为</w:t>
      </w:r>
      <w:r>
        <w:t>CODcr</w:t>
      </w:r>
      <w:r>
        <w:rPr>
          <w:rFonts w:hint="eastAsia"/>
        </w:rPr>
        <w:t>、氨氮，根据《环境影响评价技术导则地下水环境》（</w:t>
      </w:r>
      <w:r>
        <w:t>HJ610-2016</w:t>
      </w:r>
      <w:r>
        <w:rPr>
          <w:rFonts w:hint="eastAsia"/>
        </w:rPr>
        <w:t>）“</w:t>
      </w:r>
      <w:r>
        <w:t>5.3</w:t>
      </w:r>
      <w:r>
        <w:rPr>
          <w:rFonts w:hint="eastAsia"/>
        </w:rPr>
        <w:t>识别内容”识别出该系统的污染因子为</w:t>
      </w:r>
      <w:r>
        <w:t>CODcr</w:t>
      </w:r>
      <w:r>
        <w:rPr>
          <w:rFonts w:hint="eastAsia"/>
        </w:rPr>
        <w:t>、氨氮，混合废水</w:t>
      </w:r>
      <w:r>
        <w:t>CODcr</w:t>
      </w:r>
      <w:r>
        <w:rPr>
          <w:rFonts w:hint="eastAsia"/>
        </w:rPr>
        <w:t>浓度为</w:t>
      </w:r>
      <w:r>
        <w:t>1400mg/L</w:t>
      </w:r>
      <w:r>
        <w:rPr>
          <w:rFonts w:hint="eastAsia"/>
        </w:rPr>
        <w:t>，氨氮浓度为</w:t>
      </w:r>
      <w:r>
        <w:t>18mg/L</w:t>
      </w:r>
      <w:r>
        <w:rPr>
          <w:rFonts w:hint="eastAsia"/>
        </w:rPr>
        <w:t>。</w:t>
      </w:r>
    </w:p>
    <w:p>
      <w:pPr>
        <w:ind w:firstLine="480"/>
      </w:pPr>
      <w:r>
        <w:rPr>
          <w:rFonts w:hint="eastAsia"/>
        </w:rPr>
        <w:t>（</w:t>
      </w:r>
      <w:r>
        <w:t>2</w:t>
      </w:r>
      <w:r>
        <w:rPr>
          <w:rFonts w:hint="eastAsia"/>
        </w:rPr>
        <w:t>）预测模型概化及参数选取</w:t>
      </w:r>
    </w:p>
    <w:p>
      <w:pPr>
        <w:ind w:firstLine="480"/>
      </w:pPr>
      <w:r>
        <w:rPr>
          <w:rFonts w:hint="eastAsia"/>
        </w:rPr>
        <w:fldChar w:fldCharType="begin"/>
      </w:r>
      <w:r>
        <w:instrText xml:space="preserve"> = 1 \* GB3 </w:instrText>
      </w:r>
      <w:r>
        <w:rPr>
          <w:rFonts w:hint="eastAsia"/>
        </w:rPr>
        <w:fldChar w:fldCharType="separate"/>
      </w:r>
      <w:r>
        <w:rPr>
          <w:rFonts w:hint="eastAsia"/>
        </w:rPr>
        <w:t>①</w:t>
      </w:r>
      <w:r>
        <w:rPr>
          <w:rFonts w:hint="eastAsia"/>
        </w:rPr>
        <w:fldChar w:fldCharType="end"/>
      </w:r>
      <w:r>
        <w:rPr>
          <w:rFonts w:hint="eastAsia"/>
        </w:rPr>
        <w:t>预测模型选取及模型概化</w:t>
      </w:r>
    </w:p>
    <w:p>
      <w:pPr>
        <w:ind w:firstLine="480"/>
      </w:pPr>
      <w:r>
        <w:rPr>
          <w:rFonts w:hint="eastAsia"/>
        </w:rPr>
        <w:t>厂区地下水流向整体上呈一维流动，地下水位动态稳定，因此污染物在浅层含水层中的迁移，可概化为瞬时注入示踪剂（平面瞬时点源）的一维稳定流动二维水流动力弥散问题，当取平行地下水流动的方向为</w:t>
      </w:r>
      <w:r>
        <w:t>x</w:t>
      </w:r>
      <w:r>
        <w:rPr>
          <w:rFonts w:hint="eastAsia"/>
        </w:rPr>
        <w:t>轴正方向时，则污染物浓度分布模型如下：</w:t>
      </w:r>
    </w:p>
    <w:p>
      <w:pPr>
        <w:ind w:firstLine="480"/>
      </w:pPr>
      <w:r>
        <w:pict>
          <v:shape id="_x0000_i1037" o:spt="75" type="#_x0000_t75" style="height:33.85pt;width:169.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bordersDontSurroundHeader/&gt;&lt;w:bordersDontSurroundFooter/&gt;&lt;w:hideSpellingErrors/&gt;&lt;w:stylePaneFormatFilter w:val=&quot;3F01&quot;/&gt;&lt;w:defaultTabStop w:val=&quot;420&quot;/&gt;&lt;w:drawingGridHorizontalSpacing w:val=&quot;2&quot;/&gt;&lt;w:drawingGridVerticalSpacing w:val=&quot;5&quot;/&gt;&lt;w:displayHorizontalDrawingGridEvery w:val=&quot;0&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dontAllowFieldEndSelect/&gt;&lt;w:useWord2002TableStyleRules/&gt;&lt;w:useFELayout/&gt;&lt;/w:compat&gt;&lt;wsp:rsids&gt;&lt;wsp:rsidRoot wsp:val=&quot;00EE10F1&quot;/&gt;&lt;wsp:rsid wsp:val=&quot;00000561&quot;/&gt;&lt;wsp:rsid wsp:val=&quot;000008C8&quot;/&gt;&lt;wsp:rsid wsp:val=&quot;00000A94&quot;/&gt;&lt;wsp:rsid wsp:val=&quot;00000B1E&quot;/&gt;&lt;wsp:rsid wsp:val=&quot;00000D96&quot;/&gt;&lt;wsp:rsid wsp:val=&quot;00001041&quot;/&gt;&lt;wsp:rsid wsp:val=&quot;0000193B&quot;/&gt;&lt;wsp:rsid wsp:val=&quot;00001BD4&quot;/&gt;&lt;wsp:rsid wsp:val=&quot;00001E64&quot;/&gt;&lt;wsp:rsid wsp:val=&quot;00001ED9&quot;/&gt;&lt;wsp:rsid wsp:val=&quot;0000202F&quot;/&gt;&lt;wsp:rsid wsp:val=&quot;00002408&quot;/&gt;&lt;wsp:rsid wsp:val=&quot;00002487&quot;/&gt;&lt;wsp:rsid wsp:val=&quot;000025AC&quot;/&gt;&lt;wsp:rsid wsp:val=&quot;00003267&quot;/&gt;&lt;wsp:rsid wsp:val=&quot;000032CC&quot;/&gt;&lt;wsp:rsid wsp:val=&quot;0000353F&quot;/&gt;&lt;wsp:rsid wsp:val=&quot;000039AF&quot;/&gt;&lt;wsp:rsid wsp:val=&quot;000039F6&quot;/&gt;&lt;wsp:rsid wsp:val=&quot;00003C56&quot;/&gt;&lt;wsp:rsid wsp:val=&quot;00003F64&quot;/&gt;&lt;wsp:rsid wsp:val=&quot;00003FCD&quot;/&gt;&lt;wsp:rsid wsp:val=&quot;00004345&quot;/&gt;&lt;wsp:rsid wsp:val=&quot;00004348&quot;/&gt;&lt;wsp:rsid wsp:val=&quot;0000439C&quot;/&gt;&lt;wsp:rsid wsp:val=&quot;00004833&quot;/&gt;&lt;wsp:rsid wsp:val=&quot;00004879&quot;/&gt;&lt;wsp:rsid wsp:val=&quot;000049D9&quot;/&gt;&lt;wsp:rsid wsp:val=&quot;00004F5A&quot;/&gt;&lt;wsp:rsid wsp:val=&quot;0000510E&quot;/&gt;&lt;wsp:rsid wsp:val=&quot;000052C6&quot;/&gt;&lt;wsp:rsid wsp:val=&quot;000055BB&quot;/&gt;&lt;wsp:rsid wsp:val=&quot;000057C9&quot;/&gt;&lt;wsp:rsid wsp:val=&quot;00005B8D&quot;/&gt;&lt;wsp:rsid wsp:val=&quot;00005CB8&quot;/&gt;&lt;wsp:rsid wsp:val=&quot;00005EEB&quot;/&gt;&lt;wsp:rsid wsp:val=&quot;0000648B&quot;/&gt;&lt;wsp:rsid wsp:val=&quot;00006520&quot;/&gt;&lt;wsp:rsid wsp:val=&quot;0000656F&quot;/&gt;&lt;wsp:rsid wsp:val=&quot;0000682F&quot;/&gt;&lt;wsp:rsid wsp:val=&quot;0000684C&quot;/&gt;&lt;wsp:rsid wsp:val=&quot;0000692A&quot;/&gt;&lt;wsp:rsid wsp:val=&quot;00006B98&quot;/&gt;&lt;wsp:rsid wsp:val=&quot;000071A8&quot;/&gt;&lt;wsp:rsid wsp:val=&quot;000073E6&quot;/&gt;&lt;wsp:rsid wsp:val=&quot;0000792F&quot;/&gt;&lt;wsp:rsid wsp:val=&quot;0001009A&quot;/&gt;&lt;wsp:rsid wsp:val=&quot;00010251&quot;/&gt;&lt;wsp:rsid wsp:val=&quot;00010A27&quot;/&gt;&lt;wsp:rsid wsp:val=&quot;00010DE0&quot;/&gt;&lt;wsp:rsid wsp:val=&quot;00010F41&quot;/&gt;&lt;wsp:rsid wsp:val=&quot;00011528&quot;/&gt;&lt;wsp:rsid wsp:val=&quot;00011893&quot;/&gt;&lt;wsp:rsid wsp:val=&quot;00011B23&quot;/&gt;&lt;wsp:rsid wsp:val=&quot;00011B4F&quot;/&gt;&lt;wsp:rsid wsp:val=&quot;00012288&quot;/&gt;&lt;wsp:rsid wsp:val=&quot;000122FA&quot;/&gt;&lt;wsp:rsid wsp:val=&quot;00012579&quot;/&gt;&lt;wsp:rsid wsp:val=&quot;000131FE&quot;/&gt;&lt;wsp:rsid wsp:val=&quot;00013508&quot;/&gt;&lt;wsp:rsid wsp:val=&quot;00013559&quot;/&gt;&lt;wsp:rsid wsp:val=&quot;000135E4&quot;/&gt;&lt;wsp:rsid wsp:val=&quot;0001397F&quot;/&gt;&lt;wsp:rsid wsp:val=&quot;000140D2&quot;/&gt;&lt;wsp:rsid wsp:val=&quot;000146F6&quot;/&gt;&lt;wsp:rsid wsp:val=&quot;0001529E&quot;/&gt;&lt;wsp:rsid wsp:val=&quot;0001552A&quot;/&gt;&lt;wsp:rsid wsp:val=&quot;000155EE&quot;/&gt;&lt;wsp:rsid wsp:val=&quot;00015F16&quot;/&gt;&lt;wsp:rsid wsp:val=&quot;00016200&quot;/&gt;&lt;wsp:rsid wsp:val=&quot;00016497&quot;/&gt;&lt;wsp:rsid wsp:val=&quot;00016E66&quot;/&gt;&lt;wsp:rsid wsp:val=&quot;00020410&quot;/&gt;&lt;wsp:rsid wsp:val=&quot;00020847&quot;/&gt;&lt;wsp:rsid wsp:val=&quot;00020A5C&quot;/&gt;&lt;wsp:rsid wsp:val=&quot;00020C0E&quot;/&gt;&lt;wsp:rsid wsp:val=&quot;00020EE3&quot;/&gt;&lt;wsp:rsid wsp:val=&quot;00020F05&quot;/&gt;&lt;wsp:rsid wsp:val=&quot;000213E8&quot;/&gt;&lt;wsp:rsid wsp:val=&quot;00021616&quot;/&gt;&lt;wsp:rsid wsp:val=&quot;00021962&quot;/&gt;&lt;wsp:rsid wsp:val=&quot;00021E2F&quot;/&gt;&lt;wsp:rsid wsp:val=&quot;00021E87&quot;/&gt;&lt;wsp:rsid wsp:val=&quot;0002255D&quot;/&gt;&lt;wsp:rsid wsp:val=&quot;00022877&quot;/&gt;&lt;wsp:rsid wsp:val=&quot;00023474&quot;/&gt;&lt;wsp:rsid wsp:val=&quot;000234EB&quot;/&gt;&lt;wsp:rsid wsp:val=&quot;00023657&quot;/&gt;&lt;wsp:rsid wsp:val=&quot;00023C41&quot;/&gt;&lt;wsp:rsid wsp:val=&quot;00023D37&quot;/&gt;&lt;wsp:rsid wsp:val=&quot;00023F2D&quot;/&gt;&lt;wsp:rsid wsp:val=&quot;0002490B&quot;/&gt;&lt;wsp:rsid wsp:val=&quot;00024EA0&quot;/&gt;&lt;wsp:rsid wsp:val=&quot;0002545C&quot;/&gt;&lt;wsp:rsid wsp:val=&quot;000255BA&quot;/&gt;&lt;wsp:rsid wsp:val=&quot;000256F6&quot;/&gt;&lt;wsp:rsid wsp:val=&quot;00025787&quot;/&gt;&lt;wsp:rsid wsp:val=&quot;00025AB7&quot;/&gt;&lt;wsp:rsid wsp:val=&quot;00025F73&quot;/&gt;&lt;wsp:rsid wsp:val=&quot;00026064&quot;/&gt;&lt;wsp:rsid wsp:val=&quot;000264F5&quot;/&gt;&lt;wsp:rsid wsp:val=&quot;000265CD&quot;/&gt;&lt;wsp:rsid wsp:val=&quot;000267B3&quot;/&gt;&lt;wsp:rsid wsp:val=&quot;00026ABA&quot;/&gt;&lt;wsp:rsid wsp:val=&quot;00026B79&quot;/&gt;&lt;wsp:rsid wsp:val=&quot;00026C56&quot;/&gt;&lt;wsp:rsid wsp:val=&quot;000271DB&quot;/&gt;&lt;wsp:rsid wsp:val=&quot;00027840&quot;/&gt;&lt;wsp:rsid wsp:val=&quot;00027D94&quot;/&gt;&lt;wsp:rsid wsp:val=&quot;00027F16&quot;/&gt;&lt;wsp:rsid wsp:val=&quot;00030498&quot;/&gt;&lt;wsp:rsid wsp:val=&quot;000309DE&quot;/&gt;&lt;wsp:rsid wsp:val=&quot;00030A45&quot;/&gt;&lt;wsp:rsid wsp:val=&quot;00030D7B&quot;/&gt;&lt;wsp:rsid wsp:val=&quot;00031749&quot;/&gt;&lt;wsp:rsid wsp:val=&quot;00031F17&quot;/&gt;&lt;wsp:rsid wsp:val=&quot;00032163&quot;/&gt;&lt;wsp:rsid wsp:val=&quot;00032424&quot;/&gt;&lt;wsp:rsid wsp:val=&quot;0003295B&quot;/&gt;&lt;wsp:rsid wsp:val=&quot;00032B82&quot;/&gt;&lt;wsp:rsid wsp:val=&quot;000333CA&quot;/&gt;&lt;wsp:rsid wsp:val=&quot;00033482&quot;/&gt;&lt;wsp:rsid wsp:val=&quot;000339E3&quot;/&gt;&lt;wsp:rsid wsp:val=&quot;00033B81&quot;/&gt;&lt;wsp:rsid wsp:val=&quot;00033CBA&quot;/&gt;&lt;wsp:rsid wsp:val=&quot;000341B5&quot;/&gt;&lt;wsp:rsid wsp:val=&quot;000344DA&quot;/&gt;&lt;wsp:rsid wsp:val=&quot;0003454A&quot;/&gt;&lt;wsp:rsid wsp:val=&quot;00034F5D&quot;/&gt;&lt;wsp:rsid wsp:val=&quot;00034FB3&quot;/&gt;&lt;wsp:rsid wsp:val=&quot;00035080&quot;/&gt;&lt;wsp:rsid wsp:val=&quot;0003530D&quot;/&gt;&lt;wsp:rsid wsp:val=&quot;00035423&quot;/&gt;&lt;wsp:rsid wsp:val=&quot;00035549&quot;/&gt;&lt;wsp:rsid wsp:val=&quot;000359BE&quot;/&gt;&lt;wsp:rsid wsp:val=&quot;00035B10&quot;/&gt;&lt;wsp:rsid wsp:val=&quot;00035D08&quot;/&gt;&lt;wsp:rsid wsp:val=&quot;00035E3F&quot;/&gt;&lt;wsp:rsid wsp:val=&quot;00035E6E&quot;/&gt;&lt;wsp:rsid wsp:val=&quot;00036CDF&quot;/&gt;&lt;wsp:rsid wsp:val=&quot;0003780E&quot;/&gt;&lt;wsp:rsid wsp:val=&quot;00037B85&quot;/&gt;&lt;wsp:rsid wsp:val=&quot;00037D48&quot;/&gt;&lt;wsp:rsid wsp:val=&quot;00037F61&quot;/&gt;&lt;wsp:rsid wsp:val=&quot;0004000D&quot;/&gt;&lt;wsp:rsid wsp:val=&quot;00040977&quot;/&gt;&lt;wsp:rsid wsp:val=&quot;00040B1F&quot;/&gt;&lt;wsp:rsid wsp:val=&quot;00040F1A&quot;/&gt;&lt;wsp:rsid wsp:val=&quot;000411B1&quot;/&gt;&lt;wsp:rsid wsp:val=&quot;00041370&quot;/&gt;&lt;wsp:rsid wsp:val=&quot;0004171E&quot;/&gt;&lt;wsp:rsid wsp:val=&quot;00041D73&quot;/&gt;&lt;wsp:rsid wsp:val=&quot;00041F0B&quot;/&gt;&lt;wsp:rsid wsp:val=&quot;00042404&quot;/&gt;&lt;wsp:rsid wsp:val=&quot;0004241B&quot;/&gt;&lt;wsp:rsid wsp:val=&quot;00042AAE&quot;/&gt;&lt;wsp:rsid wsp:val=&quot;00042BAB&quot;/&gt;&lt;wsp:rsid wsp:val=&quot;000434EE&quot;/&gt;&lt;wsp:rsid wsp:val=&quot;0004370C&quot;/&gt;&lt;wsp:rsid wsp:val=&quot;000439EB&quot;/&gt;&lt;wsp:rsid wsp:val=&quot;00043D36&quot;/&gt;&lt;wsp:rsid wsp:val=&quot;00045377&quot;/&gt;&lt;wsp:rsid wsp:val=&quot;000454F9&quot;/&gt;&lt;wsp:rsid wsp:val=&quot;000456A1&quot;/&gt;&lt;wsp:rsid wsp:val=&quot;00045864&quot;/&gt;&lt;wsp:rsid wsp:val=&quot;0004590F&quot;/&gt;&lt;wsp:rsid wsp:val=&quot;00045A13&quot;/&gt;&lt;wsp:rsid wsp:val=&quot;00045C86&quot;/&gt;&lt;wsp:rsid wsp:val=&quot;00046016&quot;/&gt;&lt;wsp:rsid wsp:val=&quot;0004661B&quot;/&gt;&lt;wsp:rsid wsp:val=&quot;000470D7&quot;/&gt;&lt;wsp:rsid wsp:val=&quot;00047132&quot;/&gt;&lt;wsp:rsid wsp:val=&quot;00047392&quot;/&gt;&lt;wsp:rsid wsp:val=&quot;000477A8&quot;/&gt;&lt;wsp:rsid wsp:val=&quot;00047B95&quot;/&gt;&lt;wsp:rsid wsp:val=&quot;00047D16&quot;/&gt;&lt;wsp:rsid wsp:val=&quot;00050010&quot;/&gt;&lt;wsp:rsid wsp:val=&quot;000501AD&quot;/&gt;&lt;wsp:rsid wsp:val=&quot;000506EF&quot;/&gt;&lt;wsp:rsid wsp:val=&quot;00050B33&quot;/&gt;&lt;wsp:rsid wsp:val=&quot;00050C3E&quot;/&gt;&lt;wsp:rsid wsp:val=&quot;00050FE3&quot;/&gt;&lt;wsp:rsid wsp:val=&quot;0005112A&quot;/&gt;&lt;wsp:rsid wsp:val=&quot;00051738&quot;/&gt;&lt;wsp:rsid wsp:val=&quot;00051781&quot;/&gt;&lt;wsp:rsid wsp:val=&quot;00051D70&quot;/&gt;&lt;wsp:rsid wsp:val=&quot;00051EE5&quot;/&gt;&lt;wsp:rsid wsp:val=&quot;0005219D&quot;/&gt;&lt;wsp:rsid wsp:val=&quot;00052554&quot;/&gt;&lt;wsp:rsid wsp:val=&quot;00052903&quot;/&gt;&lt;wsp:rsid wsp:val=&quot;00052D09&quot;/&gt;&lt;wsp:rsid wsp:val=&quot;00052E8B&quot;/&gt;&lt;wsp:rsid wsp:val=&quot;00052EA1&quot;/&gt;&lt;wsp:rsid wsp:val=&quot;000534E9&quot;/&gt;&lt;wsp:rsid wsp:val=&quot;00053DE7&quot;/&gt;&lt;wsp:rsid wsp:val=&quot;00053EF5&quot;/&gt;&lt;wsp:rsid wsp:val=&quot;00054A44&quot;/&gt;&lt;wsp:rsid wsp:val=&quot;00054F74&quot;/&gt;&lt;wsp:rsid wsp:val=&quot;00055177&quot;/&gt;&lt;wsp:rsid wsp:val=&quot;00055266&quot;/&gt;&lt;wsp:rsid wsp:val=&quot;00055448&quot;/&gt;&lt;wsp:rsid wsp:val=&quot;00055921&quot;/&gt;&lt;wsp:rsid wsp:val=&quot;000559D7&quot;/&gt;&lt;wsp:rsid wsp:val=&quot;000565A0&quot;/&gt;&lt;wsp:rsid wsp:val=&quot;0005668B&quot;/&gt;&lt;wsp:rsid wsp:val=&quot;00056FD3&quot;/&gt;&lt;wsp:rsid wsp:val=&quot;000571FE&quot;/&gt;&lt;wsp:rsid wsp:val=&quot;000574BB&quot;/&gt;&lt;wsp:rsid wsp:val=&quot;000574FB&quot;/&gt;&lt;wsp:rsid wsp:val=&quot;0005788E&quot;/&gt;&lt;wsp:rsid wsp:val=&quot;000579EA&quot;/&gt;&lt;wsp:rsid wsp:val=&quot;00057F74&quot;/&gt;&lt;wsp:rsid wsp:val=&quot;0006034F&quot;/&gt;&lt;wsp:rsid wsp:val=&quot;000604AF&quot;/&gt;&lt;wsp:rsid wsp:val=&quot;000605C8&quot;/&gt;&lt;wsp:rsid wsp:val=&quot;000605D0&quot;/&gt;&lt;wsp:rsid wsp:val=&quot;000607A0&quot;/&gt;&lt;wsp:rsid wsp:val=&quot;00060D7A&quot;/&gt;&lt;wsp:rsid wsp:val=&quot;00061449&quot;/&gt;&lt;wsp:rsid wsp:val=&quot;000615CE&quot;/&gt;&lt;wsp:rsid wsp:val=&quot;00061BC5&quot;/&gt;&lt;wsp:rsid wsp:val=&quot;00062605&quot;/&gt;&lt;wsp:rsid wsp:val=&quot;00062789&quot;/&gt;&lt;wsp:rsid wsp:val=&quot;0006294E&quot;/&gt;&lt;wsp:rsid wsp:val=&quot;00062E9A&quot;/&gt;&lt;wsp:rsid wsp:val=&quot;00062F20&quot;/&gt;&lt;wsp:rsid wsp:val=&quot;000630EE&quot;/&gt;&lt;wsp:rsid wsp:val=&quot;00063331&quot;/&gt;&lt;wsp:rsid wsp:val=&quot;000633C9&quot;/&gt;&lt;wsp:rsid wsp:val=&quot;000634AD&quot;/&gt;&lt;wsp:rsid wsp:val=&quot;000634F9&quot;/&gt;&lt;wsp:rsid wsp:val=&quot;00063C6F&quot;/&gt;&lt;wsp:rsid wsp:val=&quot;00063DAB&quot;/&gt;&lt;wsp:rsid wsp:val=&quot;00063DD7&quot;/&gt;&lt;wsp:rsid wsp:val=&quot;000644F5&quot;/&gt;&lt;wsp:rsid wsp:val=&quot;00064897&quot;/&gt;&lt;wsp:rsid wsp:val=&quot;00064AC0&quot;/&gt;&lt;wsp:rsid wsp:val=&quot;00064F0D&quot;/&gt;&lt;wsp:rsid wsp:val=&quot;00065009&quot;/&gt;&lt;wsp:rsid wsp:val=&quot;000650D3&quot;/&gt;&lt;wsp:rsid wsp:val=&quot;0006511E&quot;/&gt;&lt;wsp:rsid wsp:val=&quot;000665AB&quot;/&gt;&lt;wsp:rsid wsp:val=&quot;00066B8C&quot;/&gt;&lt;wsp:rsid wsp:val=&quot;00066E9B&quot;/&gt;&lt;wsp:rsid wsp:val=&quot;000704DC&quot;/&gt;&lt;wsp:rsid wsp:val=&quot;00070874&quot;/&gt;&lt;wsp:rsid wsp:val=&quot;000709D4&quot;/&gt;&lt;wsp:rsid wsp:val=&quot;00070AA8&quot;/&gt;&lt;wsp:rsid wsp:val=&quot;00070BA1&quot;/&gt;&lt;wsp:rsid wsp:val=&quot;00070C21&quot;/&gt;&lt;wsp:rsid wsp:val=&quot;00070C5C&quot;/&gt;&lt;wsp:rsid wsp:val=&quot;00070CC0&quot;/&gt;&lt;wsp:rsid wsp:val=&quot;00070E47&quot;/&gt;&lt;wsp:rsid wsp:val=&quot;000711AC&quot;/&gt;&lt;wsp:rsid wsp:val=&quot;00071766&quot;/&gt;&lt;wsp:rsid wsp:val=&quot;0007180D&quot;/&gt;&lt;wsp:rsid wsp:val=&quot;00071EE9&quot;/&gt;&lt;wsp:rsid wsp:val=&quot;00072141&quot;/&gt;&lt;wsp:rsid wsp:val=&quot;000722CE&quot;/&gt;&lt;wsp:rsid wsp:val=&quot;00072865&quot;/&gt;&lt;wsp:rsid wsp:val=&quot;00073358&quot;/&gt;&lt;wsp:rsid wsp:val=&quot;00073529&quot;/&gt;&lt;wsp:rsid wsp:val=&quot;00073A1E&quot;/&gt;&lt;wsp:rsid wsp:val=&quot;00073C08&quot;/&gt;&lt;wsp:rsid wsp:val=&quot;00073EA0&quot;/&gt;&lt;wsp:rsid wsp:val=&quot;000743FF&quot;/&gt;&lt;wsp:rsid wsp:val=&quot;0007461F&quot;/&gt;&lt;wsp:rsid wsp:val=&quot;000748D5&quot;/&gt;&lt;wsp:rsid wsp:val=&quot;00074D3B&quot;/&gt;&lt;wsp:rsid wsp:val=&quot;000755BD&quot;/&gt;&lt;wsp:rsid wsp:val=&quot;00075950&quot;/&gt;&lt;wsp:rsid wsp:val=&quot;000760E5&quot;/&gt;&lt;wsp:rsid wsp:val=&quot;00076E49&quot;/&gt;&lt;wsp:rsid wsp:val=&quot;0007729B&quot;/&gt;&lt;wsp:rsid wsp:val=&quot;00077359&quot;/&gt;&lt;wsp:rsid wsp:val=&quot;000775E0&quot;/&gt;&lt;wsp:rsid wsp:val=&quot;000776E5&quot;/&gt;&lt;wsp:rsid wsp:val=&quot;000778AE&quot;/&gt;&lt;wsp:rsid wsp:val=&quot;00080019&quot;/&gt;&lt;wsp:rsid wsp:val=&quot;00080076&quot;/&gt;&lt;wsp:rsid wsp:val=&quot;00080118&quot;/&gt;&lt;wsp:rsid wsp:val=&quot;000802B6&quot;/&gt;&lt;wsp:rsid wsp:val=&quot;000806C0&quot;/&gt;&lt;wsp:rsid wsp:val=&quot;0008078C&quot;/&gt;&lt;wsp:rsid wsp:val=&quot;00080E75&quot;/&gt;&lt;wsp:rsid wsp:val=&quot;00080EC3&quot;/&gt;&lt;wsp:rsid wsp:val=&quot;0008104D&quot;/&gt;&lt;wsp:rsid wsp:val=&quot;000812CE&quot;/&gt;&lt;wsp:rsid wsp:val=&quot;00081352&quot;/&gt;&lt;wsp:rsid wsp:val=&quot;0008137F&quot;/&gt;&lt;wsp:rsid wsp:val=&quot;00081704&quot;/&gt;&lt;wsp:rsid wsp:val=&quot;000817CA&quot;/&gt;&lt;wsp:rsid wsp:val=&quot;000824EC&quot;/&gt;&lt;wsp:rsid wsp:val=&quot;00082998&quot;/&gt;&lt;wsp:rsid wsp:val=&quot;000833C2&quot;/&gt;&lt;wsp:rsid wsp:val=&quot;00083C89&quot;/&gt;&lt;wsp:rsid wsp:val=&quot;00083FF1&quot;/&gt;&lt;wsp:rsid wsp:val=&quot;00084179&quot;/&gt;&lt;wsp:rsid wsp:val=&quot;000841DD&quot;/&gt;&lt;wsp:rsid wsp:val=&quot;00084D7D&quot;/&gt;&lt;wsp:rsid wsp:val=&quot;000850E9&quot;/&gt;&lt;wsp:rsid wsp:val=&quot;0008547F&quot;/&gt;&lt;wsp:rsid wsp:val=&quot;00085CE9&quot;/&gt;&lt;wsp:rsid wsp:val=&quot;00085FB8&quot;/&gt;&lt;wsp:rsid wsp:val=&quot;00086230&quot;/&gt;&lt;wsp:rsid wsp:val=&quot;00086463&quot;/&gt;&lt;wsp:rsid wsp:val=&quot;000868A9&quot;/&gt;&lt;wsp:rsid wsp:val=&quot;00086BC4&quot;/&gt;&lt;wsp:rsid wsp:val=&quot;00086EF2&quot;/&gt;&lt;wsp:rsid wsp:val=&quot;00086F24&quot;/&gt;&lt;wsp:rsid wsp:val=&quot;00086F6C&quot;/&gt;&lt;wsp:rsid wsp:val=&quot;0008705C&quot;/&gt;&lt;wsp:rsid wsp:val=&quot;000872F3&quot;/&gt;&lt;wsp:rsid wsp:val=&quot;000873F0&quot;/&gt;&lt;wsp:rsid wsp:val=&quot;000905D1&quot;/&gt;&lt;wsp:rsid wsp:val=&quot;00090804&quot;/&gt;&lt;wsp:rsid wsp:val=&quot;000910E1&quot;/&gt;&lt;wsp:rsid wsp:val=&quot;000913E3&quot;/&gt;&lt;wsp:rsid wsp:val=&quot;0009140F&quot;/&gt;&lt;wsp:rsid wsp:val=&quot;0009178D&quot;/&gt;&lt;wsp:rsid wsp:val=&quot;000917BF&quot;/&gt;&lt;wsp:rsid wsp:val=&quot;00091AFE&quot;/&gt;&lt;wsp:rsid wsp:val=&quot;00091FCD&quot;/&gt;&lt;wsp:rsid wsp:val=&quot;000920EA&quot;/&gt;&lt;wsp:rsid wsp:val=&quot;000922B6&quot;/&gt;&lt;wsp:rsid wsp:val=&quot;000923CF&quot;/&gt;&lt;wsp:rsid wsp:val=&quot;000925B3&quot;/&gt;&lt;wsp:rsid wsp:val=&quot;00092AA8&quot;/&gt;&lt;wsp:rsid wsp:val=&quot;00093063&quot;/&gt;&lt;wsp:rsid wsp:val=&quot;000930E2&quot;/&gt;&lt;wsp:rsid wsp:val=&quot;00093437&quot;/&gt;&lt;wsp:rsid wsp:val=&quot;00093915&quot;/&gt;&lt;wsp:rsid wsp:val=&quot;00093BE5&quot;/&gt;&lt;wsp:rsid wsp:val=&quot;00094230&quot;/&gt;&lt;wsp:rsid wsp:val=&quot;00094265&quot;/&gt;&lt;wsp:rsid wsp:val=&quot;0009545C&quot;/&gt;&lt;wsp:rsid wsp:val=&quot;00095AE1&quot;/&gt;&lt;wsp:rsid wsp:val=&quot;00095E49&quot;/&gt;&lt;wsp:rsid wsp:val=&quot;00096D95&quot;/&gt;&lt;wsp:rsid wsp:val=&quot;00096FDA&quot;/&gt;&lt;wsp:rsid wsp:val=&quot;0009706D&quot;/&gt;&lt;wsp:rsid wsp:val=&quot;000974DB&quot;/&gt;&lt;wsp:rsid wsp:val=&quot;0009784E&quot;/&gt;&lt;wsp:rsid wsp:val=&quot;00097BD6&quot;/&gt;&lt;wsp:rsid wsp:val=&quot;00097D64&quot;/&gt;&lt;wsp:rsid wsp:val=&quot;000A03A4&quot;/&gt;&lt;wsp:rsid wsp:val=&quot;000A06F2&quot;/&gt;&lt;wsp:rsid wsp:val=&quot;000A0F1A&quot;/&gt;&lt;wsp:rsid wsp:val=&quot;000A0F71&quot;/&gt;&lt;wsp:rsid wsp:val=&quot;000A1032&quot;/&gt;&lt;wsp:rsid wsp:val=&quot;000A124B&quot;/&gt;&lt;wsp:rsid wsp:val=&quot;000A135B&quot;/&gt;&lt;wsp:rsid wsp:val=&quot;000A13F4&quot;/&gt;&lt;wsp:rsid wsp:val=&quot;000A1413&quot;/&gt;&lt;wsp:rsid wsp:val=&quot;000A16F3&quot;/&gt;&lt;wsp:rsid wsp:val=&quot;000A18A7&quot;/&gt;&lt;wsp:rsid wsp:val=&quot;000A18E1&quot;/&gt;&lt;wsp:rsid wsp:val=&quot;000A1AEC&quot;/&gt;&lt;wsp:rsid wsp:val=&quot;000A1D2B&quot;/&gt;&lt;wsp:rsid wsp:val=&quot;000A24DE&quot;/&gt;&lt;wsp:rsid wsp:val=&quot;000A270F&quot;/&gt;&lt;wsp:rsid wsp:val=&quot;000A2AE2&quot;/&gt;&lt;wsp:rsid wsp:val=&quot;000A2B7B&quot;/&gt;&lt;wsp:rsid wsp:val=&quot;000A3533&quot;/&gt;&lt;wsp:rsid wsp:val=&quot;000A3CEC&quot;/&gt;&lt;wsp:rsid wsp:val=&quot;000A43CF&quot;/&gt;&lt;wsp:rsid wsp:val=&quot;000A4744&quot;/&gt;&lt;wsp:rsid wsp:val=&quot;000A47EE&quot;/&gt;&lt;wsp:rsid wsp:val=&quot;000A4A8A&quot;/&gt;&lt;wsp:rsid wsp:val=&quot;000A4FC8&quot;/&gt;&lt;wsp:rsid wsp:val=&quot;000A517A&quot;/&gt;&lt;wsp:rsid wsp:val=&quot;000A57EC&quot;/&gt;&lt;wsp:rsid wsp:val=&quot;000A585F&quot;/&gt;&lt;wsp:rsid wsp:val=&quot;000A587C&quot;/&gt;&lt;wsp:rsid wsp:val=&quot;000A5BEC&quot;/&gt;&lt;wsp:rsid wsp:val=&quot;000A5CBD&quot;/&gt;&lt;wsp:rsid wsp:val=&quot;000A63F8&quot;/&gt;&lt;wsp:rsid wsp:val=&quot;000A6B03&quot;/&gt;&lt;wsp:rsid wsp:val=&quot;000A6F75&quot;/&gt;&lt;wsp:rsid wsp:val=&quot;000A7342&quot;/&gt;&lt;wsp:rsid wsp:val=&quot;000A734B&quot;/&gt;&lt;wsp:rsid wsp:val=&quot;000A74F2&quot;/&gt;&lt;wsp:rsid wsp:val=&quot;000A7534&quot;/&gt;&lt;wsp:rsid wsp:val=&quot;000A75D3&quot;/&gt;&lt;wsp:rsid wsp:val=&quot;000A7F0B&quot;/&gt;&lt;wsp:rsid wsp:val=&quot;000B01C1&quot;/&gt;&lt;wsp:rsid wsp:val=&quot;000B062E&quot;/&gt;&lt;wsp:rsid wsp:val=&quot;000B13FF&quot;/&gt;&lt;wsp:rsid wsp:val=&quot;000B1EEA&quot;/&gt;&lt;wsp:rsid wsp:val=&quot;000B1F1C&quot;/&gt;&lt;wsp:rsid wsp:val=&quot;000B2732&quot;/&gt;&lt;wsp:rsid wsp:val=&quot;000B29ED&quot;/&gt;&lt;wsp:rsid wsp:val=&quot;000B2DE4&quot;/&gt;&lt;wsp:rsid wsp:val=&quot;000B32BA&quot;/&gt;&lt;wsp:rsid wsp:val=&quot;000B3B50&quot;/&gt;&lt;wsp:rsid wsp:val=&quot;000B3DD2&quot;/&gt;&lt;wsp:rsid wsp:val=&quot;000B46D1&quot;/&gt;&lt;wsp:rsid wsp:val=&quot;000B4850&quot;/&gt;&lt;wsp:rsid wsp:val=&quot;000B48BB&quot;/&gt;&lt;wsp:rsid wsp:val=&quot;000B5974&quot;/&gt;&lt;wsp:rsid wsp:val=&quot;000B6164&quot;/&gt;&lt;wsp:rsid wsp:val=&quot;000B63A8&quot;/&gt;&lt;wsp:rsid wsp:val=&quot;000B655A&quot;/&gt;&lt;wsp:rsid wsp:val=&quot;000B6C16&quot;/&gt;&lt;wsp:rsid wsp:val=&quot;000B7280&quot;/&gt;&lt;wsp:rsid wsp:val=&quot;000B7512&quot;/&gt;&lt;wsp:rsid wsp:val=&quot;000B761B&quot;/&gt;&lt;wsp:rsid wsp:val=&quot;000B7945&quot;/&gt;&lt;wsp:rsid wsp:val=&quot;000B7B03&quot;/&gt;&lt;wsp:rsid wsp:val=&quot;000B7CBF&quot;/&gt;&lt;wsp:rsid wsp:val=&quot;000B7EF3&quot;/&gt;&lt;wsp:rsid wsp:val=&quot;000C00F9&quot;/&gt;&lt;wsp:rsid wsp:val=&quot;000C015B&quot;/&gt;&lt;wsp:rsid wsp:val=&quot;000C01C0&quot;/&gt;&lt;wsp:rsid wsp:val=&quot;000C02D4&quot;/&gt;&lt;wsp:rsid wsp:val=&quot;000C0426&quot;/&gt;&lt;wsp:rsid wsp:val=&quot;000C074C&quot;/&gt;&lt;wsp:rsid wsp:val=&quot;000C07E6&quot;/&gt;&lt;wsp:rsid wsp:val=&quot;000C0B1A&quot;/&gt;&lt;wsp:rsid wsp:val=&quot;000C10DD&quot;/&gt;&lt;wsp:rsid wsp:val=&quot;000C1570&quot;/&gt;&lt;wsp:rsid wsp:val=&quot;000C1D3B&quot;/&gt;&lt;wsp:rsid wsp:val=&quot;000C25DC&quot;/&gt;&lt;wsp:rsid wsp:val=&quot;000C26C2&quot;/&gt;&lt;wsp:rsid wsp:val=&quot;000C26D6&quot;/&gt;&lt;wsp:rsid wsp:val=&quot;000C2757&quot;/&gt;&lt;wsp:rsid wsp:val=&quot;000C2DF7&quot;/&gt;&lt;wsp:rsid wsp:val=&quot;000C317D&quot;/&gt;&lt;wsp:rsid wsp:val=&quot;000C32B8&quot;/&gt;&lt;wsp:rsid wsp:val=&quot;000C34E5&quot;/&gt;&lt;wsp:rsid wsp:val=&quot;000C3554&quot;/&gt;&lt;wsp:rsid wsp:val=&quot;000C3E6C&quot;/&gt;&lt;wsp:rsid wsp:val=&quot;000C40BB&quot;/&gt;&lt;wsp:rsid wsp:val=&quot;000C4312&quot;/&gt;&lt;wsp:rsid wsp:val=&quot;000C46FA&quot;/&gt;&lt;wsp:rsid wsp:val=&quot;000C47E3&quot;/&gt;&lt;wsp:rsid wsp:val=&quot;000C4A1B&quot;/&gt;&lt;wsp:rsid wsp:val=&quot;000C4D16&quot;/&gt;&lt;wsp:rsid wsp:val=&quot;000C4E25&quot;/&gt;&lt;wsp:rsid wsp:val=&quot;000C50A8&quot;/&gt;&lt;wsp:rsid wsp:val=&quot;000C5A9D&quot;/&gt;&lt;wsp:rsid wsp:val=&quot;000C5D2A&quot;/&gt;&lt;wsp:rsid wsp:val=&quot;000C65D2&quot;/&gt;&lt;wsp:rsid wsp:val=&quot;000C660C&quot;/&gt;&lt;wsp:rsid wsp:val=&quot;000C6DA0&quot;/&gt;&lt;wsp:rsid wsp:val=&quot;000C7091&quot;/&gt;&lt;wsp:rsid wsp:val=&quot;000C70AA&quot;/&gt;&lt;wsp:rsid wsp:val=&quot;000C7181&quot;/&gt;&lt;wsp:rsid wsp:val=&quot;000C75A5&quot;/&gt;&lt;wsp:rsid wsp:val=&quot;000C7706&quot;/&gt;&lt;wsp:rsid wsp:val=&quot;000C7744&quot;/&gt;&lt;wsp:rsid wsp:val=&quot;000C7DC8&quot;/&gt;&lt;wsp:rsid wsp:val=&quot;000C7F1F&quot;/&gt;&lt;wsp:rsid wsp:val=&quot;000D0035&quot;/&gt;&lt;wsp:rsid wsp:val=&quot;000D0176&quot;/&gt;&lt;wsp:rsid wsp:val=&quot;000D0DB4&quot;/&gt;&lt;wsp:rsid wsp:val=&quot;000D11F6&quot;/&gt;&lt;wsp:rsid wsp:val=&quot;000D133B&quot;/&gt;&lt;wsp:rsid wsp:val=&quot;000D179F&quot;/&gt;&lt;wsp:rsid wsp:val=&quot;000D199F&quot;/&gt;&lt;wsp:rsid wsp:val=&quot;000D1BD8&quot;/&gt;&lt;wsp:rsid wsp:val=&quot;000D1DEE&quot;/&gt;&lt;wsp:rsid wsp:val=&quot;000D20A4&quot;/&gt;&lt;wsp:rsid wsp:val=&quot;000D2299&quot;/&gt;&lt;wsp:rsid wsp:val=&quot;000D34B8&quot;/&gt;&lt;wsp:rsid wsp:val=&quot;000D364E&quot;/&gt;&lt;wsp:rsid wsp:val=&quot;000D3952&quot;/&gt;&lt;wsp:rsid wsp:val=&quot;000D3F80&quot;/&gt;&lt;wsp:rsid wsp:val=&quot;000D428E&quot;/&gt;&lt;wsp:rsid wsp:val=&quot;000D439C&quot;/&gt;&lt;wsp:rsid wsp:val=&quot;000D4EFD&quot;/&gt;&lt;wsp:rsid wsp:val=&quot;000D5584&quot;/&gt;&lt;wsp:rsid wsp:val=&quot;000D56AD&quot;/&gt;&lt;wsp:rsid wsp:val=&quot;000D5823&quot;/&gt;&lt;wsp:rsid wsp:val=&quot;000D5C70&quot;/&gt;&lt;wsp:rsid wsp:val=&quot;000D5F96&quot;/&gt;&lt;wsp:rsid wsp:val=&quot;000D6A6A&quot;/&gt;&lt;wsp:rsid wsp:val=&quot;000D7292&quot;/&gt;&lt;wsp:rsid wsp:val=&quot;000D746D&quot;/&gt;&lt;wsp:rsid wsp:val=&quot;000E0007&quot;/&gt;&lt;wsp:rsid wsp:val=&quot;000E01D4&quot;/&gt;&lt;wsp:rsid wsp:val=&quot;000E076C&quot;/&gt;&lt;wsp:rsid wsp:val=&quot;000E1042&quot;/&gt;&lt;wsp:rsid wsp:val=&quot;000E11FC&quot;/&gt;&lt;wsp:rsid wsp:val=&quot;000E12A9&quot;/&gt;&lt;wsp:rsid wsp:val=&quot;000E1330&quot;/&gt;&lt;wsp:rsid wsp:val=&quot;000E1606&quot;/&gt;&lt;wsp:rsid wsp:val=&quot;000E1980&quot;/&gt;&lt;wsp:rsid wsp:val=&quot;000E1AFE&quot;/&gt;&lt;wsp:rsid wsp:val=&quot;000E1E99&quot;/&gt;&lt;wsp:rsid wsp:val=&quot;000E2030&quot;/&gt;&lt;wsp:rsid wsp:val=&quot;000E21D5&quot;/&gt;&lt;wsp:rsid wsp:val=&quot;000E2419&quot;/&gt;&lt;wsp:rsid wsp:val=&quot;000E2513&quot;/&gt;&lt;wsp:rsid wsp:val=&quot;000E2AF2&quot;/&gt;&lt;wsp:rsid wsp:val=&quot;000E3A55&quot;/&gt;&lt;wsp:rsid wsp:val=&quot;000E3AA3&quot;/&gt;&lt;wsp:rsid wsp:val=&quot;000E3BD3&quot;/&gt;&lt;wsp:rsid wsp:val=&quot;000E3DF6&quot;/&gt;&lt;wsp:rsid wsp:val=&quot;000E3FBD&quot;/&gt;&lt;wsp:rsid wsp:val=&quot;000E4487&quot;/&gt;&lt;wsp:rsid wsp:val=&quot;000E536B&quot;/&gt;&lt;wsp:rsid wsp:val=&quot;000E55EC&quot;/&gt;&lt;wsp:rsid wsp:val=&quot;000E5B40&quot;/&gt;&lt;wsp:rsid wsp:val=&quot;000E5BA2&quot;/&gt;&lt;wsp:rsid wsp:val=&quot;000E5DBB&quot;/&gt;&lt;wsp:rsid wsp:val=&quot;000E5DD8&quot;/&gt;&lt;wsp:rsid wsp:val=&quot;000E60F3&quot;/&gt;&lt;wsp:rsid wsp:val=&quot;000E6583&quot;/&gt;&lt;wsp:rsid wsp:val=&quot;000E65AC&quot;/&gt;&lt;wsp:rsid wsp:val=&quot;000E6DD5&quot;/&gt;&lt;wsp:rsid wsp:val=&quot;000E7013&quot;/&gt;&lt;wsp:rsid wsp:val=&quot;000E7077&quot;/&gt;&lt;wsp:rsid wsp:val=&quot;000E7089&quot;/&gt;&lt;wsp:rsid wsp:val=&quot;000E75AF&quot;/&gt;&lt;wsp:rsid wsp:val=&quot;000E7698&quot;/&gt;&lt;wsp:rsid wsp:val=&quot;000E790E&quot;/&gt;&lt;wsp:rsid wsp:val=&quot;000E7A23&quot;/&gt;&lt;wsp:rsid wsp:val=&quot;000F036A&quot;/&gt;&lt;wsp:rsid wsp:val=&quot;000F03E3&quot;/&gt;&lt;wsp:rsid wsp:val=&quot;000F0505&quot;/&gt;&lt;wsp:rsid wsp:val=&quot;000F0696&quot;/&gt;&lt;wsp:rsid wsp:val=&quot;000F0B35&quot;/&gt;&lt;wsp:rsid wsp:val=&quot;000F0F34&quot;/&gt;&lt;wsp:rsid wsp:val=&quot;000F1608&quot;/&gt;&lt;wsp:rsid wsp:val=&quot;000F1D0F&quot;/&gt;&lt;wsp:rsid wsp:val=&quot;000F1F11&quot;/&gt;&lt;wsp:rsid wsp:val=&quot;000F2D83&quot;/&gt;&lt;wsp:rsid wsp:val=&quot;000F30D6&quot;/&gt;&lt;wsp:rsid wsp:val=&quot;000F32D6&quot;/&gt;&lt;wsp:rsid wsp:val=&quot;000F3678&quot;/&gt;&lt;wsp:rsid wsp:val=&quot;000F378E&quot;/&gt;&lt;wsp:rsid wsp:val=&quot;000F3C15&quot;/&gt;&lt;wsp:rsid wsp:val=&quot;000F3FD9&quot;/&gt;&lt;wsp:rsid wsp:val=&quot;000F4001&quot;/&gt;&lt;wsp:rsid wsp:val=&quot;000F413B&quot;/&gt;&lt;wsp:rsid wsp:val=&quot;000F42E9&quot;/&gt;&lt;wsp:rsid wsp:val=&quot;000F4599&quot;/&gt;&lt;wsp:rsid wsp:val=&quot;000F45A6&quot;/&gt;&lt;wsp:rsid wsp:val=&quot;000F48CD&quot;/&gt;&lt;wsp:rsid wsp:val=&quot;000F4A63&quot;/&gt;&lt;wsp:rsid wsp:val=&quot;000F59E1&quot;/&gt;&lt;wsp:rsid wsp:val=&quot;000F5C77&quot;/&gt;&lt;wsp:rsid wsp:val=&quot;000F5E02&quot;/&gt;&lt;wsp:rsid wsp:val=&quot;000F5EAD&quot;/&gt;&lt;wsp:rsid wsp:val=&quot;000F5EB4&quot;/&gt;&lt;wsp:rsid wsp:val=&quot;000F5FC5&quot;/&gt;&lt;wsp:rsid wsp:val=&quot;000F6061&quot;/&gt;&lt;wsp:rsid wsp:val=&quot;000F6DC0&quot;/&gt;&lt;wsp:rsid wsp:val=&quot;000F7029&quot;/&gt;&lt;wsp:rsid wsp:val=&quot;000F7154&quot;/&gt;&lt;wsp:rsid wsp:val=&quot;000F7171&quot;/&gt;&lt;wsp:rsid wsp:val=&quot;000F761B&quot;/&gt;&lt;wsp:rsid wsp:val=&quot;000F7942&quot;/&gt;&lt;wsp:rsid wsp:val=&quot;001000D3&quot;/&gt;&lt;wsp:rsid wsp:val=&quot;001002CE&quot;/&gt;&lt;wsp:rsid wsp:val=&quot;001005FA&quot;/&gt;&lt;wsp:rsid wsp:val=&quot;001006FA&quot;/&gt;&lt;wsp:rsid wsp:val=&quot;0010086A&quot;/&gt;&lt;wsp:rsid wsp:val=&quot;00100891&quot;/&gt;&lt;wsp:rsid wsp:val=&quot;00101B20&quot;/&gt;&lt;wsp:rsid wsp:val=&quot;00101C64&quot;/&gt;&lt;wsp:rsid wsp:val=&quot;00101FC9&quot;/&gt;&lt;wsp:rsid wsp:val=&quot;00102191&quot;/&gt;&lt;wsp:rsid wsp:val=&quot;0010279B&quot;/&gt;&lt;wsp:rsid wsp:val=&quot;00102AC3&quot;/&gt;&lt;wsp:rsid wsp:val=&quot;00102D26&quot;/&gt;&lt;wsp:rsid wsp:val=&quot;00102DD6&quot;/&gt;&lt;wsp:rsid wsp:val=&quot;00102E9C&quot;/&gt;&lt;wsp:rsid wsp:val=&quot;00103183&quot;/&gt;&lt;wsp:rsid wsp:val=&quot;0010318F&quot;/&gt;&lt;wsp:rsid wsp:val=&quot;00103204&quot;/&gt;&lt;wsp:rsid wsp:val=&quot;0010434A&quot;/&gt;&lt;wsp:rsid wsp:val=&quot;00104417&quot;/&gt;&lt;wsp:rsid wsp:val=&quot;001045C6&quot;/&gt;&lt;wsp:rsid wsp:val=&quot;00104C59&quot;/&gt;&lt;wsp:rsid wsp:val=&quot;00104E37&quot;/&gt;&lt;wsp:rsid wsp:val=&quot;00105006&quot;/&gt;&lt;wsp:rsid wsp:val=&quot;00105122&quot;/&gt;&lt;wsp:rsid wsp:val=&quot;001053CC&quot;/&gt;&lt;wsp:rsid wsp:val=&quot;001053FD&quot;/&gt;&lt;wsp:rsid wsp:val=&quot;001055CA&quot;/&gt;&lt;wsp:rsid wsp:val=&quot;00105896&quot;/&gt;&lt;wsp:rsid wsp:val=&quot;00105F9E&quot;/&gt;&lt;wsp:rsid wsp:val=&quot;0010604E&quot;/&gt;&lt;wsp:rsid wsp:val=&quot;00106101&quot;/&gt;&lt;wsp:rsid wsp:val=&quot;00106302&quot;/&gt;&lt;wsp:rsid wsp:val=&quot;001064D4&quot;/&gt;&lt;wsp:rsid wsp:val=&quot;00106DC4&quot;/&gt;&lt;wsp:rsid wsp:val=&quot;00106F5D&quot;/&gt;&lt;wsp:rsid wsp:val=&quot;001072A0&quot;/&gt;&lt;wsp:rsid wsp:val=&quot;001074EA&quot;/&gt;&lt;wsp:rsid wsp:val=&quot;00107634&quot;/&gt;&lt;wsp:rsid wsp:val=&quot;001078F5&quot;/&gt;&lt;wsp:rsid wsp:val=&quot;00107932&quot;/&gt;&lt;wsp:rsid wsp:val=&quot;00107B2F&quot;/&gt;&lt;wsp:rsid wsp:val=&quot;00107B99&quot;/&gt;&lt;wsp:rsid wsp:val=&quot;00110154&quot;/&gt;&lt;wsp:rsid wsp:val=&quot;001101A7&quot;/&gt;&lt;wsp:rsid wsp:val=&quot;001101D7&quot;/&gt;&lt;wsp:rsid wsp:val=&quot;001104B9&quot;/&gt;&lt;wsp:rsid wsp:val=&quot;00110A15&quot;/&gt;&lt;wsp:rsid wsp:val=&quot;00110F2E&quot;/&gt;&lt;wsp:rsid wsp:val=&quot;00111E65&quot;/&gt;&lt;wsp:rsid wsp:val=&quot;00112772&quot;/&gt;&lt;wsp:rsid wsp:val=&quot;00113199&quot;/&gt;&lt;wsp:rsid wsp:val=&quot;00113304&quot;/&gt;&lt;wsp:rsid wsp:val=&quot;00113970&quot;/&gt;&lt;wsp:rsid wsp:val=&quot;00113BF5&quot;/&gt;&lt;wsp:rsid wsp:val=&quot;00114FA8&quot;/&gt;&lt;wsp:rsid wsp:val=&quot;00115031&quot;/&gt;&lt;wsp:rsid wsp:val=&quot;00115373&quot;/&gt;&lt;wsp:rsid wsp:val=&quot;00115AC4&quot;/&gt;&lt;wsp:rsid wsp:val=&quot;00115ADC&quot;/&gt;&lt;wsp:rsid wsp:val=&quot;00115E7B&quot;/&gt;&lt;wsp:rsid wsp:val=&quot;00116479&quot;/&gt;&lt;wsp:rsid wsp:val=&quot;0011729B&quot;/&gt;&lt;wsp:rsid wsp:val=&quot;001178B4&quot;/&gt;&lt;wsp:rsid wsp:val=&quot;001201A5&quot;/&gt;&lt;wsp:rsid wsp:val=&quot;001202B0&quot;/&gt;&lt;wsp:rsid wsp:val=&quot;001203CC&quot;/&gt;&lt;wsp:rsid wsp:val=&quot;00120487&quot;/&gt;&lt;wsp:rsid wsp:val=&quot;00120A4F&quot;/&gt;&lt;wsp:rsid wsp:val=&quot;00120A5B&quot;/&gt;&lt;wsp:rsid wsp:val=&quot;00120ACD&quot;/&gt;&lt;wsp:rsid wsp:val=&quot;001217DC&quot;/&gt;&lt;wsp:rsid wsp:val=&quot;00121869&quot;/&gt;&lt;wsp:rsid wsp:val=&quot;00121A78&quot;/&gt;&lt;wsp:rsid wsp:val=&quot;00121AAD&quot;/&gt;&lt;wsp:rsid wsp:val=&quot;00121D97&quot;/&gt;&lt;wsp:rsid wsp:val=&quot;00122520&quot;/&gt;&lt;wsp:rsid wsp:val=&quot;0012263D&quot;/&gt;&lt;wsp:rsid wsp:val=&quot;00122837&quot;/&gt;&lt;wsp:rsid wsp:val=&quot;00122A2A&quot;/&gt;&lt;wsp:rsid wsp:val=&quot;00122AB3&quot;/&gt;&lt;wsp:rsid wsp:val=&quot;00122CCC&quot;/&gt;&lt;wsp:rsid wsp:val=&quot;00122E95&quot;/&gt;&lt;wsp:rsid wsp:val=&quot;00123025&quot;/&gt;&lt;wsp:rsid wsp:val=&quot;00123093&quot;/&gt;&lt;wsp:rsid wsp:val=&quot;001238DB&quot;/&gt;&lt;wsp:rsid wsp:val=&quot;00123D37&quot;/&gt;&lt;wsp:rsid wsp:val=&quot;00124289&quot;/&gt;&lt;wsp:rsid wsp:val=&quot;00125110&quot;/&gt;&lt;wsp:rsid wsp:val=&quot;0012561C&quot;/&gt;&lt;wsp:rsid wsp:val=&quot;00125B6F&quot;/&gt;&lt;wsp:rsid wsp:val=&quot;00125C03&quot;/&gt;&lt;wsp:rsid wsp:val=&quot;00125D60&quot;/&gt;&lt;wsp:rsid wsp:val=&quot;001261D2&quot;/&gt;&lt;wsp:rsid wsp:val=&quot;00126699&quot;/&gt;&lt;wsp:rsid wsp:val=&quot;00126CAF&quot;/&gt;&lt;wsp:rsid wsp:val=&quot;00127EF4&quot;/&gt;&lt;wsp:rsid wsp:val=&quot;001307F1&quot;/&gt;&lt;wsp:rsid wsp:val=&quot;001308A8&quot;/&gt;&lt;wsp:rsid wsp:val=&quot;00130E68&quot;/&gt;&lt;wsp:rsid wsp:val=&quot;00130EF3&quot;/&gt;&lt;wsp:rsid wsp:val=&quot;00130F40&quot;/&gt;&lt;wsp:rsid wsp:val=&quot;00130FBB&quot;/&gt;&lt;wsp:rsid wsp:val=&quot;00131119&quot;/&gt;&lt;wsp:rsid wsp:val=&quot;001316D7&quot;/&gt;&lt;wsp:rsid wsp:val=&quot;0013192D&quot;/&gt;&lt;wsp:rsid wsp:val=&quot;00131A85&quot;/&gt;&lt;wsp:rsid wsp:val=&quot;00131B4D&quot;/&gt;&lt;wsp:rsid wsp:val=&quot;00131E42&quot;/&gt;&lt;wsp:rsid wsp:val=&quot;0013225D&quot;/&gt;&lt;wsp:rsid wsp:val=&quot;001323EF&quot;/&gt;&lt;wsp:rsid wsp:val=&quot;001326E8&quot;/&gt;&lt;wsp:rsid wsp:val=&quot;001329E9&quot;/&gt;&lt;wsp:rsid wsp:val=&quot;00132D0E&quot;/&gt;&lt;wsp:rsid wsp:val=&quot;00133657&quot;/&gt;&lt;wsp:rsid wsp:val=&quot;00133A33&quot;/&gt;&lt;wsp:rsid wsp:val=&quot;00133E4D&quot;/&gt;&lt;wsp:rsid wsp:val=&quot;00134174&quot;/&gt;&lt;wsp:rsid wsp:val=&quot;00134B32&quot;/&gt;&lt;wsp:rsid wsp:val=&quot;00134D87&quot;/&gt;&lt;wsp:rsid wsp:val=&quot;001355DD&quot;/&gt;&lt;wsp:rsid wsp:val=&quot;0013649C&quot;/&gt;&lt;wsp:rsid wsp:val=&quot;0013666D&quot;/&gt;&lt;wsp:rsid wsp:val=&quot;00136BE3&quot;/&gt;&lt;wsp:rsid wsp:val=&quot;001374C4&quot;/&gt;&lt;wsp:rsid wsp:val=&quot;00137ADF&quot;/&gt;&lt;wsp:rsid wsp:val=&quot;00137D31&quot;/&gt;&lt;wsp:rsid wsp:val=&quot;00137E6E&quot;/&gt;&lt;wsp:rsid wsp:val=&quot;001402A7&quot;/&gt;&lt;wsp:rsid wsp:val=&quot;0014046A&quot;/&gt;&lt;wsp:rsid wsp:val=&quot;00140891&quot;/&gt;&lt;wsp:rsid wsp:val=&quot;00140D71&quot;/&gt;&lt;wsp:rsid wsp:val=&quot;001411A4&quot;/&gt;&lt;wsp:rsid wsp:val=&quot;001416D8&quot;/&gt;&lt;wsp:rsid wsp:val=&quot;00141C0F&quot;/&gt;&lt;wsp:rsid wsp:val=&quot;00141EE1&quot;/&gt;&lt;wsp:rsid wsp:val=&quot;00142089&quot;/&gt;&lt;wsp:rsid wsp:val=&quot;00142621&quot;/&gt;&lt;wsp:rsid wsp:val=&quot;00142712&quot;/&gt;&lt;wsp:rsid wsp:val=&quot;00142808&quot;/&gt;&lt;wsp:rsid wsp:val=&quot;00143125&quot;/&gt;&lt;wsp:rsid wsp:val=&quot;00143193&quot;/&gt;&lt;wsp:rsid wsp:val=&quot;0014332D&quot;/&gt;&lt;wsp:rsid wsp:val=&quot;001433FE&quot;/&gt;&lt;wsp:rsid wsp:val=&quot;00143D03&quot;/&gt;&lt;wsp:rsid wsp:val=&quot;00143F75&quot;/&gt;&lt;wsp:rsid wsp:val=&quot;0014424B&quot;/&gt;&lt;wsp:rsid wsp:val=&quot;00144332&quot;/&gt;&lt;wsp:rsid wsp:val=&quot;001446CA&quot;/&gt;&lt;wsp:rsid wsp:val=&quot;00144B1A&quot;/&gt;&lt;wsp:rsid wsp:val=&quot;00144E08&quot;/&gt;&lt;wsp:rsid wsp:val=&quot;00145063&quot;/&gt;&lt;wsp:rsid wsp:val=&quot;00145CB7&quot;/&gt;&lt;wsp:rsid wsp:val=&quot;00145F8F&quot;/&gt;&lt;wsp:rsid wsp:val=&quot;00145FA9&quot;/&gt;&lt;wsp:rsid wsp:val=&quot;001465DA&quot;/&gt;&lt;wsp:rsid wsp:val=&quot;001469B3&quot;/&gt;&lt;wsp:rsid wsp:val=&quot;001469B6&quot;/&gt;&lt;wsp:rsid wsp:val=&quot;00146B13&quot;/&gt;&lt;wsp:rsid wsp:val=&quot;00146F13&quot;/&gt;&lt;wsp:rsid wsp:val=&quot;001474B7&quot;/&gt;&lt;wsp:rsid wsp:val=&quot;00147518&quot;/&gt;&lt;wsp:rsid wsp:val=&quot;0014785D&quot;/&gt;&lt;wsp:rsid wsp:val=&quot;00147D6C&quot;/&gt;&lt;wsp:rsid wsp:val=&quot;001504C8&quot;/&gt;&lt;wsp:rsid wsp:val=&quot;00150864&quot;/&gt;&lt;wsp:rsid wsp:val=&quot;00150E58&quot;/&gt;&lt;wsp:rsid wsp:val=&quot;001510FD&quot;/&gt;&lt;wsp:rsid wsp:val=&quot;00151515&quot;/&gt;&lt;wsp:rsid wsp:val=&quot;0015158C&quot;/&gt;&lt;wsp:rsid wsp:val=&quot;00151836&quot;/&gt;&lt;wsp:rsid wsp:val=&quot;00151EBD&quot;/&gt;&lt;wsp:rsid wsp:val=&quot;001521B6&quot;/&gt;&lt;wsp:rsid wsp:val=&quot;00152369&quot;/&gt;&lt;wsp:rsid wsp:val=&quot;00152AC0&quot;/&gt;&lt;wsp:rsid wsp:val=&quot;00152CE4&quot;/&gt;&lt;wsp:rsid wsp:val=&quot;00152F2F&quot;/&gt;&lt;wsp:rsid wsp:val=&quot;00153136&quot;/&gt;&lt;wsp:rsid wsp:val=&quot;00153716&quot;/&gt;&lt;wsp:rsid wsp:val=&quot;0015392C&quot;/&gt;&lt;wsp:rsid wsp:val=&quot;00154596&quot;/&gt;&lt;wsp:rsid wsp:val=&quot;001547B7&quot;/&gt;&lt;wsp:rsid wsp:val=&quot;001554AA&quot;/&gt;&lt;wsp:rsid wsp:val=&quot;001558E8&quot;/&gt;&lt;wsp:rsid wsp:val=&quot;00155973&quot;/&gt;&lt;wsp:rsid wsp:val=&quot;001559F7&quot;/&gt;&lt;wsp:rsid wsp:val=&quot;00155C81&quot;/&gt;&lt;wsp:rsid wsp:val=&quot;0015661A&quot;/&gt;&lt;wsp:rsid wsp:val=&quot;001567FE&quot;/&gt;&lt;wsp:rsid wsp:val=&quot;001567FF&quot;/&gt;&lt;wsp:rsid wsp:val=&quot;00156A1F&quot;/&gt;&lt;wsp:rsid wsp:val=&quot;00156CD1&quot;/&gt;&lt;wsp:rsid wsp:val=&quot;00157196&quot;/&gt;&lt;wsp:rsid wsp:val=&quot;0015725B&quot;/&gt;&lt;wsp:rsid wsp:val=&quot;0015769E&quot;/&gt;&lt;wsp:rsid wsp:val=&quot;001576C0&quot;/&gt;&lt;wsp:rsid wsp:val=&quot;00157A85&quot;/&gt;&lt;wsp:rsid wsp:val=&quot;00157B30&quot;/&gt;&lt;wsp:rsid wsp:val=&quot;00157CAB&quot;/&gt;&lt;wsp:rsid wsp:val=&quot;00157D17&quot;/&gt;&lt;wsp:rsid wsp:val=&quot;00160621&quot;/&gt;&lt;wsp:rsid wsp:val=&quot;0016087D&quot;/&gt;&lt;wsp:rsid wsp:val=&quot;001608CD&quot;/&gt;&lt;wsp:rsid wsp:val=&quot;00160AE1&quot;/&gt;&lt;wsp:rsid wsp:val=&quot;001610C1&quot;/&gt;&lt;wsp:rsid wsp:val=&quot;00161227&quot;/&gt;&lt;wsp:rsid wsp:val=&quot;0016175B&quot;/&gt;&lt;wsp:rsid wsp:val=&quot;0016236E&quot;/&gt;&lt;wsp:rsid wsp:val=&quot;001624C4&quot;/&gt;&lt;wsp:rsid wsp:val=&quot;00162671&quot;/&gt;&lt;wsp:rsid wsp:val=&quot;001627F3&quot;/&gt;&lt;wsp:rsid wsp:val=&quot;00162A45&quot;/&gt;&lt;wsp:rsid wsp:val=&quot;00163390&quot;/&gt;&lt;wsp:rsid wsp:val=&quot;00163845&quot;/&gt;&lt;wsp:rsid wsp:val=&quot;001639DD&quot;/&gt;&lt;wsp:rsid wsp:val=&quot;00163D3E&quot;/&gt;&lt;wsp:rsid wsp:val=&quot;00163D67&quot;/&gt;&lt;wsp:rsid wsp:val=&quot;00163E34&quot;/&gt;&lt;wsp:rsid wsp:val=&quot;00163F10&quot;/&gt;&lt;wsp:rsid wsp:val=&quot;00164239&quot;/&gt;&lt;wsp:rsid wsp:val=&quot;0016424E&quot;/&gt;&lt;wsp:rsid wsp:val=&quot;001642B9&quot;/&gt;&lt;wsp:rsid wsp:val=&quot;001643D3&quot;/&gt;&lt;wsp:rsid wsp:val=&quot;001643E2&quot;/&gt;&lt;wsp:rsid wsp:val=&quot;00164586&quot;/&gt;&lt;wsp:rsid wsp:val=&quot;001645F9&quot;/&gt;&lt;wsp:rsid wsp:val=&quot;00164832&quot;/&gt;&lt;wsp:rsid wsp:val=&quot;001649E9&quot;/&gt;&lt;wsp:rsid wsp:val=&quot;00164BFD&quot;/&gt;&lt;wsp:rsid wsp:val=&quot;001654C1&quot;/&gt;&lt;wsp:rsid wsp:val=&quot;00165857&quot;/&gt;&lt;wsp:rsid wsp:val=&quot;0016637F&quot;/&gt;&lt;wsp:rsid wsp:val=&quot;001668A6&quot;/&gt;&lt;wsp:rsid wsp:val=&quot;001670B6&quot;/&gt;&lt;wsp:rsid wsp:val=&quot;001670E3&quot;/&gt;&lt;wsp:rsid wsp:val=&quot;001675D0&quot;/&gt;&lt;wsp:rsid wsp:val=&quot;001677DC&quot;/&gt;&lt;wsp:rsid wsp:val=&quot;00170B77&quot;/&gt;&lt;wsp:rsid wsp:val=&quot;00170C5D&quot;/&gt;&lt;wsp:rsid wsp:val=&quot;00170CB1&quot;/&gt;&lt;wsp:rsid wsp:val=&quot;001714D3&quot;/&gt;&lt;wsp:rsid wsp:val=&quot;001715FF&quot;/&gt;&lt;wsp:rsid wsp:val=&quot;001718FC&quot;/&gt;&lt;wsp:rsid wsp:val=&quot;00171FFB&quot;/&gt;&lt;wsp:rsid wsp:val=&quot;00172265&quot;/&gt;&lt;wsp:rsid wsp:val=&quot;001723DE&quot;/&gt;&lt;wsp:rsid wsp:val=&quot;001725DE&quot;/&gt;&lt;wsp:rsid wsp:val=&quot;00172A0C&quot;/&gt;&lt;wsp:rsid wsp:val=&quot;00172A89&quot;/&gt;&lt;wsp:rsid wsp:val=&quot;00172B28&quot;/&gt;&lt;wsp:rsid wsp:val=&quot;00173717&quot;/&gt;&lt;wsp:rsid wsp:val=&quot;00173815&quot;/&gt;&lt;wsp:rsid wsp:val=&quot;00173EA5&quot;/&gt;&lt;wsp:rsid wsp:val=&quot;00173EF1&quot;/&gt;&lt;wsp:rsid wsp:val=&quot;00173F78&quot;/&gt;&lt;wsp:rsid wsp:val=&quot;00174011&quot;/&gt;&lt;wsp:rsid wsp:val=&quot;00174244&quot;/&gt;&lt;wsp:rsid wsp:val=&quot;0017454A&quot;/&gt;&lt;wsp:rsid wsp:val=&quot;0017498B&quot;/&gt;&lt;wsp:rsid wsp:val=&quot;00174AAB&quot;/&gt;&lt;wsp:rsid wsp:val=&quot;001750C2&quot;/&gt;&lt;wsp:rsid wsp:val=&quot;001758CB&quot;/&gt;&lt;wsp:rsid wsp:val=&quot;00175E00&quot;/&gt;&lt;wsp:rsid wsp:val=&quot;00176347&quot;/&gt;&lt;wsp:rsid wsp:val=&quot;00176849&quot;/&gt;&lt;wsp:rsid wsp:val=&quot;0017732A&quot;/&gt;&lt;wsp:rsid wsp:val=&quot;001776F7&quot;/&gt;&lt;wsp:rsid wsp:val=&quot;001779D0&quot;/&gt;&lt;wsp:rsid wsp:val=&quot;00177F22&quot;/&gt;&lt;wsp:rsid wsp:val=&quot;0018015D&quot;/&gt;&lt;wsp:rsid wsp:val=&quot;001802BF&quot;/&gt;&lt;wsp:rsid wsp:val=&quot;00180359&quot;/&gt;&lt;wsp:rsid wsp:val=&quot;00180524&quot;/&gt;&lt;wsp:rsid wsp:val=&quot;00180611&quot;/&gt;&lt;wsp:rsid wsp:val=&quot;0018064C&quot;/&gt;&lt;wsp:rsid wsp:val=&quot;001808A1&quot;/&gt;&lt;wsp:rsid wsp:val=&quot;00180E50&quot;/&gt;&lt;wsp:rsid wsp:val=&quot;00180EAD&quot;/&gt;&lt;wsp:rsid wsp:val=&quot;0018119B&quot;/&gt;&lt;wsp:rsid wsp:val=&quot;001812F0&quot;/&gt;&lt;wsp:rsid wsp:val=&quot;0018195D&quot;/&gt;&lt;wsp:rsid wsp:val=&quot;00181981&quot;/&gt;&lt;wsp:rsid wsp:val=&quot;00181CAB&quot;/&gt;&lt;wsp:rsid wsp:val=&quot;001820E0&quot;/&gt;&lt;wsp:rsid wsp:val=&quot;0018238E&quot;/&gt;&lt;wsp:rsid wsp:val=&quot;00182581&quot;/&gt;&lt;wsp:rsid wsp:val=&quot;001830D2&quot;/&gt;&lt;wsp:rsid wsp:val=&quot;001843C4&quot;/&gt;&lt;wsp:rsid wsp:val=&quot;0018463C&quot;/&gt;&lt;wsp:rsid wsp:val=&quot;00184808&quot;/&gt;&lt;wsp:rsid wsp:val=&quot;00184FFF&quot;/&gt;&lt;wsp:rsid wsp:val=&quot;00185710&quot;/&gt;&lt;wsp:rsid wsp:val=&quot;0018574D&quot;/&gt;&lt;wsp:rsid wsp:val=&quot;00185855&quot;/&gt;&lt;wsp:rsid wsp:val=&quot;00185FEC&quot;/&gt;&lt;wsp:rsid wsp:val=&quot;00186285&quot;/&gt;&lt;wsp:rsid wsp:val=&quot;00186B12&quot;/&gt;&lt;wsp:rsid wsp:val=&quot;00187249&quot;/&gt;&lt;wsp:rsid wsp:val=&quot;001875FD&quot;/&gt;&lt;wsp:rsid wsp:val=&quot;00187821&quot;/&gt;&lt;wsp:rsid wsp:val=&quot;00187D64&quot;/&gt;&lt;wsp:rsid wsp:val=&quot;00187D71&quot;/&gt;&lt;wsp:rsid wsp:val=&quot;00190B19&quot;/&gt;&lt;wsp:rsid wsp:val=&quot;00190CA2&quot;/&gt;&lt;wsp:rsid wsp:val=&quot;001910A2&quot;/&gt;&lt;wsp:rsid wsp:val=&quot;00191210&quot;/&gt;&lt;wsp:rsid wsp:val=&quot;0019179C&quot;/&gt;&lt;wsp:rsid wsp:val=&quot;00191DB1&quot;/&gt;&lt;wsp:rsid wsp:val=&quot;00191E24&quot;/&gt;&lt;wsp:rsid wsp:val=&quot;00192359&quot;/&gt;&lt;wsp:rsid wsp:val=&quot;001934BD&quot;/&gt;&lt;wsp:rsid wsp:val=&quot;001934D3&quot;/&gt;&lt;wsp:rsid wsp:val=&quot;0019379E&quot;/&gt;&lt;wsp:rsid wsp:val=&quot;00193E37&quot;/&gt;&lt;wsp:rsid wsp:val=&quot;00193EF6&quot;/&gt;&lt;wsp:rsid wsp:val=&quot;00194574&quot;/&gt;&lt;wsp:rsid wsp:val=&quot;00194951&quot;/&gt;&lt;wsp:rsid wsp:val=&quot;00194F6D&quot;/&gt;&lt;wsp:rsid wsp:val=&quot;0019535E&quot;/&gt;&lt;wsp:rsid wsp:val=&quot;00195408&quot;/&gt;&lt;wsp:rsid wsp:val=&quot;001956D4&quot;/&gt;&lt;wsp:rsid wsp:val=&quot;00195828&quot;/&gt;&lt;wsp:rsid wsp:val=&quot;00195D2C&quot;/&gt;&lt;wsp:rsid wsp:val=&quot;00195D49&quot;/&gt;&lt;wsp:rsid wsp:val=&quot;00195E63&quot;/&gt;&lt;wsp:rsid wsp:val=&quot;00195EB9&quot;/&gt;&lt;wsp:rsid wsp:val=&quot;00195F57&quot;/&gt;&lt;wsp:rsid wsp:val=&quot;00196B1E&quot;/&gt;&lt;wsp:rsid wsp:val=&quot;00196B8E&quot;/&gt;&lt;wsp:rsid wsp:val=&quot;00196F60&quot;/&gt;&lt;wsp:rsid wsp:val=&quot;001971C8&quot;/&gt;&lt;wsp:rsid wsp:val=&quot;00197569&quot;/&gt;&lt;wsp:rsid wsp:val=&quot;001975C2&quot;/&gt;&lt;wsp:rsid wsp:val=&quot;00197848&quot;/&gt;&lt;wsp:rsid wsp:val=&quot;00197CAD&quot;/&gt;&lt;wsp:rsid wsp:val=&quot;00197F08&quot;/&gt;&lt;wsp:rsid wsp:val=&quot;001A0029&quot;/&gt;&lt;wsp:rsid wsp:val=&quot;001A04E1&quot;/&gt;&lt;wsp:rsid wsp:val=&quot;001A0528&quot;/&gt;&lt;wsp:rsid wsp:val=&quot;001A0609&quot;/&gt;&lt;wsp:rsid wsp:val=&quot;001A06B0&quot;/&gt;&lt;wsp:rsid wsp:val=&quot;001A07AE&quot;/&gt;&lt;wsp:rsid wsp:val=&quot;001A0A1B&quot;/&gt;&lt;wsp:rsid wsp:val=&quot;001A0B7D&quot;/&gt;&lt;wsp:rsid wsp:val=&quot;001A11D6&quot;/&gt;&lt;wsp:rsid wsp:val=&quot;001A13FA&quot;/&gt;&lt;wsp:rsid wsp:val=&quot;001A173A&quot;/&gt;&lt;wsp:rsid wsp:val=&quot;001A1822&quot;/&gt;&lt;wsp:rsid wsp:val=&quot;001A18B5&quot;/&gt;&lt;wsp:rsid wsp:val=&quot;001A1DDB&quot;/&gt;&lt;wsp:rsid wsp:val=&quot;001A1DF9&quot;/&gt;&lt;wsp:rsid wsp:val=&quot;001A2455&quot;/&gt;&lt;wsp:rsid wsp:val=&quot;001A25AE&quot;/&gt;&lt;wsp:rsid wsp:val=&quot;001A27A2&quot;/&gt;&lt;wsp:rsid wsp:val=&quot;001A29AA&quot;/&gt;&lt;wsp:rsid wsp:val=&quot;001A2D78&quot;/&gt;&lt;wsp:rsid wsp:val=&quot;001A2ED5&quot;/&gt;&lt;wsp:rsid wsp:val=&quot;001A3372&quot;/&gt;&lt;wsp:rsid wsp:val=&quot;001A3D9C&quot;/&gt;&lt;wsp:rsid wsp:val=&quot;001A46A0&quot;/&gt;&lt;wsp:rsid wsp:val=&quot;001A4A0B&quot;/&gt;&lt;wsp:rsid wsp:val=&quot;001A4ACD&quot;/&gt;&lt;wsp:rsid wsp:val=&quot;001A4D25&quot;/&gt;&lt;wsp:rsid wsp:val=&quot;001A5131&quot;/&gt;&lt;wsp:rsid wsp:val=&quot;001A575B&quot;/&gt;&lt;wsp:rsid wsp:val=&quot;001A5A96&quot;/&gt;&lt;wsp:rsid wsp:val=&quot;001A5EFE&quot;/&gt;&lt;wsp:rsid wsp:val=&quot;001A5F12&quot;/&gt;&lt;wsp:rsid wsp:val=&quot;001A5F6E&quot;/&gt;&lt;wsp:rsid wsp:val=&quot;001A6000&quot;/&gt;&lt;wsp:rsid wsp:val=&quot;001A61AC&quot;/&gt;&lt;wsp:rsid wsp:val=&quot;001A6DAF&quot;/&gt;&lt;wsp:rsid wsp:val=&quot;001A6F4F&quot;/&gt;&lt;wsp:rsid wsp:val=&quot;001A754C&quot;/&gt;&lt;wsp:rsid wsp:val=&quot;001A7658&quot;/&gt;&lt;wsp:rsid wsp:val=&quot;001A7851&quot;/&gt;&lt;wsp:rsid wsp:val=&quot;001A78B6&quot;/&gt;&lt;wsp:rsid wsp:val=&quot;001A79A9&quot;/&gt;&lt;wsp:rsid wsp:val=&quot;001A7A5D&quot;/&gt;&lt;wsp:rsid wsp:val=&quot;001B0153&quot;/&gt;&lt;wsp:rsid wsp:val=&quot;001B0389&quot;/&gt;&lt;wsp:rsid wsp:val=&quot;001B0616&quot;/&gt;&lt;wsp:rsid wsp:val=&quot;001B078A&quot;/&gt;&lt;wsp:rsid wsp:val=&quot;001B07F6&quot;/&gt;&lt;wsp:rsid wsp:val=&quot;001B0989&quot;/&gt;&lt;wsp:rsid wsp:val=&quot;001B0E7D&quot;/&gt;&lt;wsp:rsid wsp:val=&quot;001B176F&quot;/&gt;&lt;wsp:rsid wsp:val=&quot;001B1B89&quot;/&gt;&lt;wsp:rsid wsp:val=&quot;001B1E23&quot;/&gt;&lt;wsp:rsid wsp:val=&quot;001B1E67&quot;/&gt;&lt;wsp:rsid wsp:val=&quot;001B2110&quot;/&gt;&lt;wsp:rsid wsp:val=&quot;001B233E&quot;/&gt;&lt;wsp:rsid wsp:val=&quot;001B249B&quot;/&gt;&lt;wsp:rsid wsp:val=&quot;001B28FE&quot;/&gt;&lt;wsp:rsid wsp:val=&quot;001B2B70&quot;/&gt;&lt;wsp:rsid wsp:val=&quot;001B2EC8&quot;/&gt;&lt;wsp:rsid wsp:val=&quot;001B3274&quot;/&gt;&lt;wsp:rsid wsp:val=&quot;001B3503&quot;/&gt;&lt;wsp:rsid wsp:val=&quot;001B3646&quot;/&gt;&lt;wsp:rsid wsp:val=&quot;001B388C&quot;/&gt;&lt;wsp:rsid wsp:val=&quot;001B3BEA&quot;/&gt;&lt;wsp:rsid wsp:val=&quot;001B4149&quot;/&gt;&lt;wsp:rsid wsp:val=&quot;001B452F&quot;/&gt;&lt;wsp:rsid wsp:val=&quot;001B47BB&quot;/&gt;&lt;wsp:rsid wsp:val=&quot;001B49BA&quot;/&gt;&lt;wsp:rsid wsp:val=&quot;001B5268&quot;/&gt;&lt;wsp:rsid wsp:val=&quot;001B592D&quot;/&gt;&lt;wsp:rsid wsp:val=&quot;001B59F8&quot;/&gt;&lt;wsp:rsid wsp:val=&quot;001B5AEC&quot;/&gt;&lt;wsp:rsid wsp:val=&quot;001B6451&quot;/&gt;&lt;wsp:rsid wsp:val=&quot;001B682F&quot;/&gt;&lt;wsp:rsid wsp:val=&quot;001B6BD8&quot;/&gt;&lt;wsp:rsid wsp:val=&quot;001B6D2B&quot;/&gt;&lt;wsp:rsid wsp:val=&quot;001B6DF4&quot;/&gt;&lt;wsp:rsid wsp:val=&quot;001B6EE3&quot;/&gt;&lt;wsp:rsid wsp:val=&quot;001B6FFD&quot;/&gt;&lt;wsp:rsid wsp:val=&quot;001B7151&quot;/&gt;&lt;wsp:rsid wsp:val=&quot;001B72DC&quot;/&gt;&lt;wsp:rsid wsp:val=&quot;001B75B3&quot;/&gt;&lt;wsp:rsid wsp:val=&quot;001B761D&quot;/&gt;&lt;wsp:rsid wsp:val=&quot;001B7732&quot;/&gt;&lt;wsp:rsid wsp:val=&quot;001B7AF0&quot;/&gt;&lt;wsp:rsid wsp:val=&quot;001B7B52&quot;/&gt;&lt;wsp:rsid wsp:val=&quot;001B7FA1&quot;/&gt;&lt;wsp:rsid wsp:val=&quot;001C01E5&quot;/&gt;&lt;wsp:rsid wsp:val=&quot;001C09C1&quot;/&gt;&lt;wsp:rsid wsp:val=&quot;001C0E3E&quot;/&gt;&lt;wsp:rsid wsp:val=&quot;001C155C&quot;/&gt;&lt;wsp:rsid wsp:val=&quot;001C1B66&quot;/&gt;&lt;wsp:rsid wsp:val=&quot;001C2109&quot;/&gt;&lt;wsp:rsid wsp:val=&quot;001C231C&quot;/&gt;&lt;wsp:rsid wsp:val=&quot;001C2E48&quot;/&gt;&lt;wsp:rsid wsp:val=&quot;001C2F7D&quot;/&gt;&lt;wsp:rsid wsp:val=&quot;001C3256&quot;/&gt;&lt;wsp:rsid wsp:val=&quot;001C4034&quot;/&gt;&lt;wsp:rsid wsp:val=&quot;001C4479&quot;/&gt;&lt;wsp:rsid wsp:val=&quot;001C4CFC&quot;/&gt;&lt;wsp:rsid wsp:val=&quot;001C5081&quot;/&gt;&lt;wsp:rsid wsp:val=&quot;001C5730&quot;/&gt;&lt;wsp:rsid wsp:val=&quot;001C5E81&quot;/&gt;&lt;wsp:rsid wsp:val=&quot;001C63AA&quot;/&gt;&lt;wsp:rsid wsp:val=&quot;001C63F2&quot;/&gt;&lt;wsp:rsid wsp:val=&quot;001C77CC&quot;/&gt;&lt;wsp:rsid wsp:val=&quot;001C77DC&quot;/&gt;&lt;wsp:rsid wsp:val=&quot;001D0497&quot;/&gt;&lt;wsp:rsid wsp:val=&quot;001D061A&quot;/&gt;&lt;wsp:rsid wsp:val=&quot;001D0BA0&quot;/&gt;&lt;wsp:rsid wsp:val=&quot;001D0C8D&quot;/&gt;&lt;wsp:rsid wsp:val=&quot;001D0CE5&quot;/&gt;&lt;wsp:rsid wsp:val=&quot;001D0EBB&quot;/&gt;&lt;wsp:rsid wsp:val=&quot;001D0EC4&quot;/&gt;&lt;wsp:rsid wsp:val=&quot;001D1405&quot;/&gt;&lt;wsp:rsid wsp:val=&quot;001D1B73&quot;/&gt;&lt;wsp:rsid wsp:val=&quot;001D1E60&quot;/&gt;&lt;wsp:rsid wsp:val=&quot;001D2606&quot;/&gt;&lt;wsp:rsid wsp:val=&quot;001D2661&quot;/&gt;&lt;wsp:rsid wsp:val=&quot;001D266F&quot;/&gt;&lt;wsp:rsid wsp:val=&quot;001D2680&quot;/&gt;&lt;wsp:rsid wsp:val=&quot;001D2870&quot;/&gt;&lt;wsp:rsid wsp:val=&quot;001D2974&quot;/&gt;&lt;wsp:rsid wsp:val=&quot;001D2B53&quot;/&gt;&lt;wsp:rsid wsp:val=&quot;001D2D29&quot;/&gt;&lt;wsp:rsid wsp:val=&quot;001D2ED0&quot;/&gt;&lt;wsp:rsid wsp:val=&quot;001D3A74&quot;/&gt;&lt;wsp:rsid wsp:val=&quot;001D3C82&quot;/&gt;&lt;wsp:rsid wsp:val=&quot;001D3EED&quot;/&gt;&lt;wsp:rsid wsp:val=&quot;001D3F15&quot;/&gt;&lt;wsp:rsid wsp:val=&quot;001D406D&quot;/&gt;&lt;wsp:rsid wsp:val=&quot;001D4256&quot;/&gt;&lt;wsp:rsid wsp:val=&quot;001D427E&quot;/&gt;&lt;wsp:rsid wsp:val=&quot;001D44A5&quot;/&gt;&lt;wsp:rsid wsp:val=&quot;001D44CA&quot;/&gt;&lt;wsp:rsid wsp:val=&quot;001D4847&quot;/&gt;&lt;wsp:rsid wsp:val=&quot;001D4B2F&quot;/&gt;&lt;wsp:rsid wsp:val=&quot;001D4CE4&quot;/&gt;&lt;wsp:rsid wsp:val=&quot;001D5D5A&quot;/&gt;&lt;wsp:rsid wsp:val=&quot;001D61CC&quot;/&gt;&lt;wsp:rsid wsp:val=&quot;001D64D5&quot;/&gt;&lt;wsp:rsid wsp:val=&quot;001D7468&quot;/&gt;&lt;wsp:rsid wsp:val=&quot;001D765B&quot;/&gt;&lt;wsp:rsid wsp:val=&quot;001D7EB3&quot;/&gt;&lt;wsp:rsid wsp:val=&quot;001E0117&quot;/&gt;&lt;wsp:rsid wsp:val=&quot;001E023D&quot;/&gt;&lt;wsp:rsid wsp:val=&quot;001E0251&quot;/&gt;&lt;wsp:rsid wsp:val=&quot;001E04D7&quot;/&gt;&lt;wsp:rsid wsp:val=&quot;001E0513&quot;/&gt;&lt;wsp:rsid wsp:val=&quot;001E0BB6&quot;/&gt;&lt;wsp:rsid wsp:val=&quot;001E0EDA&quot;/&gt;&lt;wsp:rsid wsp:val=&quot;001E0F25&quot;/&gt;&lt;wsp:rsid wsp:val=&quot;001E1094&quot;/&gt;&lt;wsp:rsid wsp:val=&quot;001E1255&quot;/&gt;&lt;wsp:rsid wsp:val=&quot;001E12A0&quot;/&gt;&lt;wsp:rsid wsp:val=&quot;001E12FF&quot;/&gt;&lt;wsp:rsid wsp:val=&quot;001E1362&quot;/&gt;&lt;wsp:rsid wsp:val=&quot;001E13A8&quot;/&gt;&lt;wsp:rsid wsp:val=&quot;001E13C5&quot;/&gt;&lt;wsp:rsid wsp:val=&quot;001E17BA&quot;/&gt;&lt;wsp:rsid wsp:val=&quot;001E1F55&quot;/&gt;&lt;wsp:rsid wsp:val=&quot;001E2095&quot;/&gt;&lt;wsp:rsid wsp:val=&quot;001E29D6&quot;/&gt;&lt;wsp:rsid wsp:val=&quot;001E33C6&quot;/&gt;&lt;wsp:rsid wsp:val=&quot;001E34A1&quot;/&gt;&lt;wsp:rsid wsp:val=&quot;001E388B&quot;/&gt;&lt;wsp:rsid wsp:val=&quot;001E3DB2&quot;/&gt;&lt;wsp:rsid wsp:val=&quot;001E3EB9&quot;/&gt;&lt;wsp:rsid wsp:val=&quot;001E4659&quot;/&gt;&lt;wsp:rsid wsp:val=&quot;001E4DB3&quot;/&gt;&lt;wsp:rsid wsp:val=&quot;001E5176&quot;/&gt;&lt;wsp:rsid wsp:val=&quot;001E5308&quot;/&gt;&lt;wsp:rsid wsp:val=&quot;001E5395&quot;/&gt;&lt;wsp:rsid wsp:val=&quot;001E5492&quot;/&gt;&lt;wsp:rsid wsp:val=&quot;001E5855&quot;/&gt;&lt;wsp:rsid wsp:val=&quot;001E59D6&quot;/&gt;&lt;wsp:rsid wsp:val=&quot;001E5A20&quot;/&gt;&lt;wsp:rsid wsp:val=&quot;001E5E85&quot;/&gt;&lt;wsp:rsid wsp:val=&quot;001E6257&quot;/&gt;&lt;wsp:rsid wsp:val=&quot;001E663B&quot;/&gt;&lt;wsp:rsid wsp:val=&quot;001E6CFE&quot;/&gt;&lt;wsp:rsid wsp:val=&quot;001E7B8F&quot;/&gt;&lt;wsp:rsid wsp:val=&quot;001E7C68&quot;/&gt;&lt;wsp:rsid wsp:val=&quot;001F00FC&quot;/&gt;&lt;wsp:rsid wsp:val=&quot;001F02BE&quot;/&gt;&lt;wsp:rsid wsp:val=&quot;001F0A05&quot;/&gt;&lt;wsp:rsid wsp:val=&quot;001F1256&quot;/&gt;&lt;wsp:rsid wsp:val=&quot;001F14EC&quot;/&gt;&lt;wsp:rsid wsp:val=&quot;001F1DDE&quot;/&gt;&lt;wsp:rsid wsp:val=&quot;001F24FC&quot;/&gt;&lt;wsp:rsid wsp:val=&quot;001F25A4&quot;/&gt;&lt;wsp:rsid wsp:val=&quot;001F2BEF&quot;/&gt;&lt;wsp:rsid wsp:val=&quot;001F2F01&quot;/&gt;&lt;wsp:rsid wsp:val=&quot;001F3421&quot;/&gt;&lt;wsp:rsid wsp:val=&quot;001F3553&quot;/&gt;&lt;wsp:rsid wsp:val=&quot;001F3C8E&quot;/&gt;&lt;wsp:rsid wsp:val=&quot;001F3E0A&quot;/&gt;&lt;wsp:rsid wsp:val=&quot;001F4255&quot;/&gt;&lt;wsp:rsid wsp:val=&quot;001F489E&quot;/&gt;&lt;wsp:rsid wsp:val=&quot;001F4945&quot;/&gt;&lt;wsp:rsid wsp:val=&quot;001F4CF8&quot;/&gt;&lt;wsp:rsid wsp:val=&quot;001F4F89&quot;/&gt;&lt;wsp:rsid wsp:val=&quot;001F53D5&quot;/&gt;&lt;wsp:rsid wsp:val=&quot;001F5C20&quot;/&gt;&lt;wsp:rsid wsp:val=&quot;001F5C54&quot;/&gt;&lt;wsp:rsid wsp:val=&quot;001F5DBE&quot;/&gt;&lt;wsp:rsid wsp:val=&quot;001F6184&quot;/&gt;&lt;wsp:rsid wsp:val=&quot;001F62AE&quot;/&gt;&lt;wsp:rsid wsp:val=&quot;001F6372&quot;/&gt;&lt;wsp:rsid wsp:val=&quot;001F645F&quot;/&gt;&lt;wsp:rsid wsp:val=&quot;001F6475&quot;/&gt;&lt;wsp:rsid wsp:val=&quot;001F6507&quot;/&gt;&lt;wsp:rsid wsp:val=&quot;001F6A59&quot;/&gt;&lt;wsp:rsid wsp:val=&quot;001F6E62&quot;/&gt;&lt;wsp:rsid wsp:val=&quot;001F6FBF&quot;/&gt;&lt;wsp:rsid wsp:val=&quot;001F73CE&quot;/&gt;&lt;wsp:rsid wsp:val=&quot;001F75B4&quot;/&gt;&lt;wsp:rsid wsp:val=&quot;001F7617&quot;/&gt;&lt;wsp:rsid wsp:val=&quot;001F7925&quot;/&gt;&lt;wsp:rsid wsp:val=&quot;001F7C73&quot;/&gt;&lt;wsp:rsid wsp:val=&quot;001F7EB4&quot;/&gt;&lt;wsp:rsid wsp:val=&quot;001F7F8C&quot;/&gt;&lt;wsp:rsid wsp:val=&quot;00200256&quot;/&gt;&lt;wsp:rsid wsp:val=&quot;0020041C&quot;/&gt;&lt;wsp:rsid wsp:val=&quot;00200897&quot;/&gt;&lt;wsp:rsid wsp:val=&quot;002008CE&quot;/&gt;&lt;wsp:rsid wsp:val=&quot;00200AC4&quot;/&gt;&lt;wsp:rsid wsp:val=&quot;00200CF7&quot;/&gt;&lt;wsp:rsid wsp:val=&quot;00201029&quot;/&gt;&lt;wsp:rsid wsp:val=&quot;002014E2&quot;/&gt;&lt;wsp:rsid wsp:val=&quot;0020151E&quot;/&gt;&lt;wsp:rsid wsp:val=&quot;002016AE&quot;/&gt;&lt;wsp:rsid wsp:val=&quot;00201B12&quot;/&gt;&lt;wsp:rsid wsp:val=&quot;002021B3&quot;/&gt;&lt;wsp:rsid wsp:val=&quot;00202795&quot;/&gt;&lt;wsp:rsid wsp:val=&quot;0020371B&quot;/&gt;&lt;wsp:rsid wsp:val=&quot;002039F7&quot;/&gt;&lt;wsp:rsid wsp:val=&quot;00203A71&quot;/&gt;&lt;wsp:rsid wsp:val=&quot;00203FBB&quot;/&gt;&lt;wsp:rsid wsp:val=&quot;00204554&quot;/&gt;&lt;wsp:rsid wsp:val=&quot;002048B6&quot;/&gt;&lt;wsp:rsid wsp:val=&quot;00205127&quot;/&gt;&lt;wsp:rsid wsp:val=&quot;00205157&quot;/&gt;&lt;wsp:rsid wsp:val=&quot;00205176&quot;/&gt;&lt;wsp:rsid wsp:val=&quot;00206172&quot;/&gt;&lt;wsp:rsid wsp:val=&quot;002061B0&quot;/&gt;&lt;wsp:rsid wsp:val=&quot;00206395&quot;/&gt;&lt;wsp:rsid wsp:val=&quot;00206AE4&quot;/&gt;&lt;wsp:rsid wsp:val=&quot;00207F01&quot;/&gt;&lt;wsp:rsid wsp:val=&quot;00207F8A&quot;/&gt;&lt;wsp:rsid wsp:val=&quot;00207FDB&quot;/&gt;&lt;wsp:rsid wsp:val=&quot;0021153A&quot;/&gt;&lt;wsp:rsid wsp:val=&quot;002119A0&quot;/&gt;&lt;wsp:rsid wsp:val=&quot;002119BC&quot;/&gt;&lt;wsp:rsid wsp:val=&quot;00211CEE&quot;/&gt;&lt;wsp:rsid wsp:val=&quot;00212216&quot;/&gt;&lt;wsp:rsid wsp:val=&quot;002123BB&quot;/&gt;&lt;wsp:rsid wsp:val=&quot;00212927&quot;/&gt;&lt;wsp:rsid wsp:val=&quot;00212D23&quot;/&gt;&lt;wsp:rsid wsp:val=&quot;00212E1B&quot;/&gt;&lt;wsp:rsid wsp:val=&quot;00213179&quot;/&gt;&lt;wsp:rsid wsp:val=&quot;0021328F&quot;/&gt;&lt;wsp:rsid wsp:val=&quot;00213553&quot;/&gt;&lt;wsp:rsid wsp:val=&quot;00213BF5&quot;/&gt;&lt;wsp:rsid wsp:val=&quot;00213FDC&quot;/&gt;&lt;wsp:rsid wsp:val=&quot;00214AAC&quot;/&gt;&lt;wsp:rsid wsp:val=&quot;00214C62&quot;/&gt;&lt;wsp:rsid wsp:val=&quot;002158FC&quot;/&gt;&lt;wsp:rsid wsp:val=&quot;00216291&quot;/&gt;&lt;wsp:rsid wsp:val=&quot;0021645B&quot;/&gt;&lt;wsp:rsid wsp:val=&quot;00216551&quot;/&gt;&lt;wsp:rsid wsp:val=&quot;00216C2B&quot;/&gt;&lt;wsp:rsid wsp:val=&quot;00216C66&quot;/&gt;&lt;wsp:rsid wsp:val=&quot;00216EBB&quot;/&gt;&lt;wsp:rsid wsp:val=&quot;00217463&quot;/&gt;&lt;wsp:rsid wsp:val=&quot;00217711&quot;/&gt;&lt;wsp:rsid wsp:val=&quot;002179D5&quot;/&gt;&lt;wsp:rsid wsp:val=&quot;00217F5F&quot;/&gt;&lt;wsp:rsid wsp:val=&quot;00220186&quot;/&gt;&lt;wsp:rsid wsp:val=&quot;00220419&quot;/&gt;&lt;wsp:rsid wsp:val=&quot;00220632&quot;/&gt;&lt;wsp:rsid wsp:val=&quot;002206FC&quot;/&gt;&lt;wsp:rsid wsp:val=&quot;00220F56&quot;/&gt;&lt;wsp:rsid wsp:val=&quot;002214DE&quot;/&gt;&lt;wsp:rsid wsp:val=&quot;00221744&quot;/&gt;&lt;wsp:rsid wsp:val=&quot;002217AC&quot;/&gt;&lt;wsp:rsid wsp:val=&quot;00221B07&quot;/&gt;&lt;wsp:rsid wsp:val=&quot;00221C1D&quot;/&gt;&lt;wsp:rsid wsp:val=&quot;00221F6A&quot;/&gt;&lt;wsp:rsid wsp:val=&quot;002228EC&quot;/&gt;&lt;wsp:rsid wsp:val=&quot;00222917&quot;/&gt;&lt;wsp:rsid wsp:val=&quot;00222D02&quot;/&gt;&lt;wsp:rsid wsp:val=&quot;002232C8&quot;/&gt;&lt;wsp:rsid wsp:val=&quot;0022355E&quot;/&gt;&lt;wsp:rsid wsp:val=&quot;002240F2&quot;/&gt;&lt;wsp:rsid wsp:val=&quot;002242E6&quot;/&gt;&lt;wsp:rsid wsp:val=&quot;00224392&quot;/&gt;&lt;wsp:rsid wsp:val=&quot;00224DA6&quot;/&gt;&lt;wsp:rsid wsp:val=&quot;00224EA4&quot;/&gt;&lt;wsp:rsid wsp:val=&quot;002253B1&quot;/&gt;&lt;wsp:rsid wsp:val=&quot;002255FC&quot;/&gt;&lt;wsp:rsid wsp:val=&quot;00225ECB&quot;/&gt;&lt;wsp:rsid wsp:val=&quot;00226058&quot;/&gt;&lt;wsp:rsid wsp:val=&quot;0022630A&quot;/&gt;&lt;wsp:rsid wsp:val=&quot;00226658&quot;/&gt;&lt;wsp:rsid wsp:val=&quot;00226A51&quot;/&gt;&lt;wsp:rsid wsp:val=&quot;00226AB6&quot;/&gt;&lt;wsp:rsid wsp:val=&quot;00226CA3&quot;/&gt;&lt;wsp:rsid wsp:val=&quot;00226CC7&quot;/&gt;&lt;wsp:rsid wsp:val=&quot;00227295&quot;/&gt;&lt;wsp:rsid wsp:val=&quot;002277BC&quot;/&gt;&lt;wsp:rsid wsp:val=&quot;00227A25&quot;/&gt;&lt;wsp:rsid wsp:val=&quot;00227A69&quot;/&gt;&lt;wsp:rsid wsp:val=&quot;00227A88&quot;/&gt;&lt;wsp:rsid wsp:val=&quot;00227E13&quot;/&gt;&lt;wsp:rsid wsp:val=&quot;00227E8F&quot;/&gt;&lt;wsp:rsid wsp:val=&quot;00227F66&quot;/&gt;&lt;wsp:rsid wsp:val=&quot;0023080F&quot;/&gt;&lt;wsp:rsid wsp:val=&quot;00230A14&quot;/&gt;&lt;wsp:rsid wsp:val=&quot;0023115C&quot;/&gt;&lt;wsp:rsid wsp:val=&quot;002311FD&quot;/&gt;&lt;wsp:rsid wsp:val=&quot;002319EC&quot;/&gt;&lt;wsp:rsid wsp:val=&quot;00231F9D&quot;/&gt;&lt;wsp:rsid wsp:val=&quot;00232183&quot;/&gt;&lt;wsp:rsid wsp:val=&quot;002321D7&quot;/&gt;&lt;wsp:rsid wsp:val=&quot;00232317&quot;/&gt;&lt;wsp:rsid wsp:val=&quot;002323DE&quot;/&gt;&lt;wsp:rsid wsp:val=&quot;00232608&quot;/&gt;&lt;wsp:rsid wsp:val=&quot;00232E18&quot;/&gt;&lt;wsp:rsid wsp:val=&quot;00232E98&quot;/&gt;&lt;wsp:rsid wsp:val=&quot;00232F4B&quot;/&gt;&lt;wsp:rsid wsp:val=&quot;00233901&quot;/&gt;&lt;wsp:rsid wsp:val=&quot;0023392E&quot;/&gt;&lt;wsp:rsid wsp:val=&quot;00233BEE&quot;/&gt;&lt;wsp:rsid wsp:val=&quot;00233D0F&quot;/&gt;&lt;wsp:rsid wsp:val=&quot;002343EB&quot;/&gt;&lt;wsp:rsid wsp:val=&quot;0023444A&quot;/&gt;&lt;wsp:rsid wsp:val=&quot;0023447B&quot;/&gt;&lt;wsp:rsid wsp:val=&quot;002345E7&quot;/&gt;&lt;wsp:rsid wsp:val=&quot;00234739&quot;/&gt;&lt;wsp:rsid wsp:val=&quot;002349B9&quot;/&gt;&lt;wsp:rsid wsp:val=&quot;00234A6E&quot;/&gt;&lt;wsp:rsid wsp:val=&quot;00234BD7&quot;/&gt;&lt;wsp:rsid wsp:val=&quot;00234CFB&quot;/&gt;&lt;wsp:rsid wsp:val=&quot;00234D9D&quot;/&gt;&lt;wsp:rsid wsp:val=&quot;00234E9E&quot;/&gt;&lt;wsp:rsid wsp:val=&quot;002350BC&quot;/&gt;&lt;wsp:rsid wsp:val=&quot;0023582E&quot;/&gt;&lt;wsp:rsid wsp:val=&quot;002359F7&quot;/&gt;&lt;wsp:rsid wsp:val=&quot;00235B7F&quot;/&gt;&lt;wsp:rsid wsp:val=&quot;00235D0E&quot;/&gt;&lt;wsp:rsid wsp:val=&quot;002369C3&quot;/&gt;&lt;wsp:rsid wsp:val=&quot;00236CBF&quot;/&gt;&lt;wsp:rsid wsp:val=&quot;00236ED3&quot;/&gt;&lt;wsp:rsid wsp:val=&quot;00237623&quot;/&gt;&lt;wsp:rsid wsp:val=&quot;00237D32&quot;/&gt;&lt;wsp:rsid wsp:val=&quot;00237DA9&quot;/&gt;&lt;wsp:rsid wsp:val=&quot;00240098&quot;/&gt;&lt;wsp:rsid wsp:val=&quot;002404A3&quot;/&gt;&lt;wsp:rsid wsp:val=&quot;002404D6&quot;/&gt;&lt;wsp:rsid wsp:val=&quot;00240639&quot;/&gt;&lt;wsp:rsid wsp:val=&quot;00240FDD&quot;/&gt;&lt;wsp:rsid wsp:val=&quot;00241209&quot;/&gt;&lt;wsp:rsid wsp:val=&quot;00242016&quot;/&gt;&lt;wsp:rsid wsp:val=&quot;00242227&quot;/&gt;&lt;wsp:rsid wsp:val=&quot;00242268&quot;/&gt;&lt;wsp:rsid wsp:val=&quot;002423EE&quot;/&gt;&lt;wsp:rsid wsp:val=&quot;002426C9&quot;/&gt;&lt;wsp:rsid wsp:val=&quot;00242811&quot;/&gt;&lt;wsp:rsid wsp:val=&quot;00242E36&quot;/&gt;&lt;wsp:rsid wsp:val=&quot;00242F14&quot;/&gt;&lt;wsp:rsid wsp:val=&quot;0024315E&quot;/&gt;&lt;wsp:rsid wsp:val=&quot;00243536&quot;/&gt;&lt;wsp:rsid wsp:val=&quot;0024395E&quot;/&gt;&lt;wsp:rsid wsp:val=&quot;002439AD&quot;/&gt;&lt;wsp:rsid wsp:val=&quot;002439C5&quot;/&gt;&lt;wsp:rsid wsp:val=&quot;00243F09&quot;/&gt;&lt;wsp:rsid wsp:val=&quot;002444E3&quot;/&gt;&lt;wsp:rsid wsp:val=&quot;00245084&quot;/&gt;&lt;wsp:rsid wsp:val=&quot;002455AE&quot;/&gt;&lt;wsp:rsid wsp:val=&quot;002457EB&quot;/&gt;&lt;wsp:rsid wsp:val=&quot;00245C83&quot;/&gt;&lt;wsp:rsid wsp:val=&quot;00245D4D&quot;/&gt;&lt;wsp:rsid wsp:val=&quot;00245DED&quot;/&gt;&lt;wsp:rsid wsp:val=&quot;0024620E&quot;/&gt;&lt;wsp:rsid wsp:val=&quot;002463D4&quot;/&gt;&lt;wsp:rsid wsp:val=&quot;00246857&quot;/&gt;&lt;wsp:rsid wsp:val=&quot;0024697C&quot;/&gt;&lt;wsp:rsid wsp:val=&quot;0024707E&quot;/&gt;&lt;wsp:rsid wsp:val=&quot;002472A1&quot;/&gt;&lt;wsp:rsid wsp:val=&quot;00247E43&quot;/&gt;&lt;wsp:rsid wsp:val=&quot;00247F9E&quot;/&gt;&lt;wsp:rsid wsp:val=&quot;00250156&quot;/&gt;&lt;wsp:rsid wsp:val=&quot;00250237&quot;/&gt;&lt;wsp:rsid wsp:val=&quot;002506BF&quot;/&gt;&lt;wsp:rsid wsp:val=&quot;00250979&quot;/&gt;&lt;wsp:rsid wsp:val=&quot;00250C6F&quot;/&gt;&lt;wsp:rsid wsp:val=&quot;00251E8E&quot;/&gt;&lt;wsp:rsid wsp:val=&quot;0025280F&quot;/&gt;&lt;wsp:rsid wsp:val=&quot;00252F4A&quot;/&gt;&lt;wsp:rsid wsp:val=&quot;00253567&quot;/&gt;&lt;wsp:rsid wsp:val=&quot;00254450&quot;/&gt;&lt;wsp:rsid wsp:val=&quot;002545BF&quot;/&gt;&lt;wsp:rsid wsp:val=&quot;00254D47&quot;/&gt;&lt;wsp:rsid wsp:val=&quot;00255051&quot;/&gt;&lt;wsp:rsid wsp:val=&quot;00255418&quot;/&gt;&lt;wsp:rsid wsp:val=&quot;00255768&quot;/&gt;&lt;wsp:rsid wsp:val=&quot;002558B5&quot;/&gt;&lt;wsp:rsid wsp:val=&quot;00255C5F&quot;/&gt;&lt;wsp:rsid wsp:val=&quot;002560F9&quot;/&gt;&lt;wsp:rsid wsp:val=&quot;002563A8&quot;/&gt;&lt;wsp:rsid wsp:val=&quot;00256A13&quot;/&gt;&lt;wsp:rsid wsp:val=&quot;00256C4E&quot;/&gt;&lt;wsp:rsid wsp:val=&quot;00256E6A&quot;/&gt;&lt;wsp:rsid wsp:val=&quot;00257904&quot;/&gt;&lt;wsp:rsid wsp:val=&quot;0025795E&quot;/&gt;&lt;wsp:rsid wsp:val=&quot;00257B9A&quot;/&gt;&lt;wsp:rsid wsp:val=&quot;002605BB&quot;/&gt;&lt;wsp:rsid wsp:val=&quot;0026083B&quot;/&gt;&lt;wsp:rsid wsp:val=&quot;00260B58&quot;/&gt;&lt;wsp:rsid wsp:val=&quot;00260C44&quot;/&gt;&lt;wsp:rsid wsp:val=&quot;00260D24&quot;/&gt;&lt;wsp:rsid wsp:val=&quot;00260E6B&quot;/&gt;&lt;wsp:rsid wsp:val=&quot;00261107&quot;/&gt;&lt;wsp:rsid wsp:val=&quot;0026119C&quot;/&gt;&lt;wsp:rsid wsp:val=&quot;00261CA0&quot;/&gt;&lt;wsp:rsid wsp:val=&quot;00262010&quot;/&gt;&lt;wsp:rsid wsp:val=&quot;002622C0&quot;/&gt;&lt;wsp:rsid wsp:val=&quot;002626CF&quot;/&gt;&lt;wsp:rsid wsp:val=&quot;00262719&quot;/&gt;&lt;wsp:rsid wsp:val=&quot;00262CA7&quot;/&gt;&lt;wsp:rsid wsp:val=&quot;002638AF&quot;/&gt;&lt;wsp:rsid wsp:val=&quot;00263C8B&quot;/&gt;&lt;wsp:rsid wsp:val=&quot;00264319&quot;/&gt;&lt;wsp:rsid wsp:val=&quot;00264380&quot;/&gt;&lt;wsp:rsid wsp:val=&quot;0026455C&quot;/&gt;&lt;wsp:rsid wsp:val=&quot;0026473B&quot;/&gt;&lt;wsp:rsid wsp:val=&quot;002649CD&quot;/&gt;&lt;wsp:rsid wsp:val=&quot;00264ED2&quot;/&gt;&lt;wsp:rsid wsp:val=&quot;00264FFF&quot;/&gt;&lt;wsp:rsid wsp:val=&quot;002655CF&quot;/&gt;&lt;wsp:rsid wsp:val=&quot;002656BF&quot;/&gt;&lt;wsp:rsid wsp:val=&quot;00265902&quot;/&gt;&lt;wsp:rsid wsp:val=&quot;002659A8&quot;/&gt;&lt;wsp:rsid wsp:val=&quot;00265AD0&quot;/&gt;&lt;wsp:rsid wsp:val=&quot;00265B21&quot;/&gt;&lt;wsp:rsid wsp:val=&quot;00266073&quot;/&gt;&lt;wsp:rsid wsp:val=&quot;002661D5&quot;/&gt;&lt;wsp:rsid wsp:val=&quot;00266253&quot;/&gt;&lt;wsp:rsid wsp:val=&quot;00266265&quot;/&gt;&lt;wsp:rsid wsp:val=&quot;002662A4&quot;/&gt;&lt;wsp:rsid wsp:val=&quot;0026640B&quot;/&gt;&lt;wsp:rsid wsp:val=&quot;00266801&quot;/&gt;&lt;wsp:rsid wsp:val=&quot;00266DCD&quot;/&gt;&lt;wsp:rsid wsp:val=&quot;00266E5E&quot;/&gt;&lt;wsp:rsid wsp:val=&quot;00267342&quot;/&gt;&lt;wsp:rsid wsp:val=&quot;0026735A&quot;/&gt;&lt;wsp:rsid wsp:val=&quot;002674CC&quot;/&gt;&lt;wsp:rsid wsp:val=&quot;00267793&quot;/&gt;&lt;wsp:rsid wsp:val=&quot;00267C22&quot;/&gt;&lt;wsp:rsid wsp:val=&quot;00267E10&quot;/&gt;&lt;wsp:rsid wsp:val=&quot;0027004D&quot;/&gt;&lt;wsp:rsid wsp:val=&quot;002700D8&quot;/&gt;&lt;wsp:rsid wsp:val=&quot;00270113&quot;/&gt;&lt;wsp:rsid wsp:val=&quot;002706DB&quot;/&gt;&lt;wsp:rsid wsp:val=&quot;00270953&quot;/&gt;&lt;wsp:rsid wsp:val=&quot;002709EF&quot;/&gt;&lt;wsp:rsid wsp:val=&quot;00270B11&quot;/&gt;&lt;wsp:rsid wsp:val=&quot;0027157B&quot;/&gt;&lt;wsp:rsid wsp:val=&quot;00272096&quot;/&gt;&lt;wsp:rsid wsp:val=&quot;0027221D&quot;/&gt;&lt;wsp:rsid wsp:val=&quot;0027249E&quot;/&gt;&lt;wsp:rsid wsp:val=&quot;002732C3&quot;/&gt;&lt;wsp:rsid wsp:val=&quot;00273407&quot;/&gt;&lt;wsp:rsid wsp:val=&quot;0027343B&quot;/&gt;&lt;wsp:rsid wsp:val=&quot;00273444&quot;/&gt;&lt;wsp:rsid wsp:val=&quot;002739CF&quot;/&gt;&lt;wsp:rsid wsp:val=&quot;00273EAD&quot;/&gt;&lt;wsp:rsid wsp:val=&quot;00274237&quot;/&gt;&lt;wsp:rsid wsp:val=&quot;00274A88&quot;/&gt;&lt;wsp:rsid wsp:val=&quot;00274AE8&quot;/&gt;&lt;wsp:rsid wsp:val=&quot;00274BE9&quot;/&gt;&lt;wsp:rsid wsp:val=&quot;00275430&quot;/&gt;&lt;wsp:rsid wsp:val=&quot;00275925&quot;/&gt;&lt;wsp:rsid wsp:val=&quot;00275C8F&quot;/&gt;&lt;wsp:rsid wsp:val=&quot;00275CB5&quot;/&gt;&lt;wsp:rsid wsp:val=&quot;00276A62&quot;/&gt;&lt;wsp:rsid wsp:val=&quot;00276C85&quot;/&gt;&lt;wsp:rsid wsp:val=&quot;00277DBB&quot;/&gt;&lt;wsp:rsid wsp:val=&quot;0028051F&quot;/&gt;&lt;wsp:rsid wsp:val=&quot;00280930&quot;/&gt;&lt;wsp:rsid wsp:val=&quot;00280D1C&quot;/&gt;&lt;wsp:rsid wsp:val=&quot;00280E39&quot;/&gt;&lt;wsp:rsid wsp:val=&quot;00280ED0&quot;/&gt;&lt;wsp:rsid wsp:val=&quot;0028102F&quot;/&gt;&lt;wsp:rsid wsp:val=&quot;00281942&quot;/&gt;&lt;wsp:rsid wsp:val=&quot;00281FD5&quot;/&gt;&lt;wsp:rsid wsp:val=&quot;00282A42&quot;/&gt;&lt;wsp:rsid wsp:val=&quot;00282DDD&quot;/&gt;&lt;wsp:rsid wsp:val=&quot;00282ED7&quot;/&gt;&lt;wsp:rsid wsp:val=&quot;00283136&quot;/&gt;&lt;wsp:rsid wsp:val=&quot;00283965&quot;/&gt;&lt;wsp:rsid wsp:val=&quot;002839E8&quot;/&gt;&lt;wsp:rsid wsp:val=&quot;00283DED&quot;/&gt;&lt;wsp:rsid wsp:val=&quot;002842CC&quot;/&gt;&lt;wsp:rsid wsp:val=&quot;00284E18&quot;/&gt;&lt;wsp:rsid wsp:val=&quot;00285225&quot;/&gt;&lt;wsp:rsid wsp:val=&quot;0028558D&quot;/&gt;&lt;wsp:rsid wsp:val=&quot;00285CFE&quot;/&gt;&lt;wsp:rsid wsp:val=&quot;00286117&quot;/&gt;&lt;wsp:rsid wsp:val=&quot;002862E1&quot;/&gt;&lt;wsp:rsid wsp:val=&quot;002864BC&quot;/&gt;&lt;wsp:rsid wsp:val=&quot;0028659E&quot;/&gt;&lt;wsp:rsid wsp:val=&quot;002866B7&quot;/&gt;&lt;wsp:rsid wsp:val=&quot;00286C75&quot;/&gt;&lt;wsp:rsid wsp:val=&quot;00287048&quot;/&gt;&lt;wsp:rsid wsp:val=&quot;002876D4&quot;/&gt;&lt;wsp:rsid wsp:val=&quot;00287E5A&quot;/&gt;&lt;wsp:rsid wsp:val=&quot;00287FED&quot;/&gt;&lt;wsp:rsid wsp:val=&quot;0029057C&quot;/&gt;&lt;wsp:rsid wsp:val=&quot;00290586&quot;/&gt;&lt;wsp:rsid wsp:val=&quot;00290F77&quot;/&gt;&lt;wsp:rsid wsp:val=&quot;00291035&quot;/&gt;&lt;wsp:rsid wsp:val=&quot;002915C3&quot;/&gt;&lt;wsp:rsid wsp:val=&quot;002916E8&quot;/&gt;&lt;wsp:rsid wsp:val=&quot;0029197D&quot;/&gt;&lt;wsp:rsid wsp:val=&quot;00292A91&quot;/&gt;&lt;wsp:rsid wsp:val=&quot;00292B2B&quot;/&gt;&lt;wsp:rsid wsp:val=&quot;002935E8&quot;/&gt;&lt;wsp:rsid wsp:val=&quot;00293E5C&quot;/&gt;&lt;wsp:rsid wsp:val=&quot;00294402&quot;/&gt;&lt;wsp:rsid wsp:val=&quot;002944FB&quot;/&gt;&lt;wsp:rsid wsp:val=&quot;00294864&quot;/&gt;&lt;wsp:rsid wsp:val=&quot;00294CC0&quot;/&gt;&lt;wsp:rsid wsp:val=&quot;00294F61&quot;/&gt;&lt;wsp:rsid wsp:val=&quot;00295056&quot;/&gt;&lt;wsp:rsid wsp:val=&quot;00295A8F&quot;/&gt;&lt;wsp:rsid wsp:val=&quot;00295D86&quot;/&gt;&lt;wsp:rsid wsp:val=&quot;0029608C&quot;/&gt;&lt;wsp:rsid wsp:val=&quot;00296217&quot;/&gt;&lt;wsp:rsid wsp:val=&quot;00296281&quot;/&gt;&lt;wsp:rsid wsp:val=&quot;002964DA&quot;/&gt;&lt;wsp:rsid wsp:val=&quot;00296539&quot;/&gt;&lt;wsp:rsid wsp:val=&quot;0029688E&quot;/&gt;&lt;wsp:rsid wsp:val=&quot;00296D70&quot;/&gt;&lt;wsp:rsid wsp:val=&quot;002972F1&quot;/&gt;&lt;wsp:rsid wsp:val=&quot;00297417&quot;/&gt;&lt;wsp:rsid wsp:val=&quot;00297545&quot;/&gt;&lt;wsp:rsid wsp:val=&quot;002975D9&quot;/&gt;&lt;wsp:rsid wsp:val=&quot;002975EC&quot;/&gt;&lt;wsp:rsid wsp:val=&quot;00297660&quot;/&gt;&lt;wsp:rsid wsp:val=&quot;00297867&quot;/&gt;&lt;wsp:rsid wsp:val=&quot;00297C7F&quot;/&gt;&lt;wsp:rsid wsp:val=&quot;00297F9C&quot;/&gt;&lt;wsp:rsid wsp:val=&quot;002A0294&quot;/&gt;&lt;wsp:rsid wsp:val=&quot;002A06E2&quot;/&gt;&lt;wsp:rsid wsp:val=&quot;002A0986&quot;/&gt;&lt;wsp:rsid wsp:val=&quot;002A10D8&quot;/&gt;&lt;wsp:rsid wsp:val=&quot;002A21F4&quot;/&gt;&lt;wsp:rsid wsp:val=&quot;002A3310&quot;/&gt;&lt;wsp:rsid wsp:val=&quot;002A3D2B&quot;/&gt;&lt;wsp:rsid wsp:val=&quot;002A4705&quot;/&gt;&lt;wsp:rsid wsp:val=&quot;002A4D0C&quot;/&gt;&lt;wsp:rsid wsp:val=&quot;002A4E4F&quot;/&gt;&lt;wsp:rsid wsp:val=&quot;002A4F13&quot;/&gt;&lt;wsp:rsid wsp:val=&quot;002A511A&quot;/&gt;&lt;wsp:rsid wsp:val=&quot;002A51CE&quot;/&gt;&lt;wsp:rsid wsp:val=&quot;002A5267&quot;/&gt;&lt;wsp:rsid wsp:val=&quot;002A5333&quot;/&gt;&lt;wsp:rsid wsp:val=&quot;002A5404&quot;/&gt;&lt;wsp:rsid wsp:val=&quot;002A5905&quot;/&gt;&lt;wsp:rsid wsp:val=&quot;002A6387&quot;/&gt;&lt;wsp:rsid wsp:val=&quot;002A63F8&quot;/&gt;&lt;wsp:rsid wsp:val=&quot;002A6518&quot;/&gt;&lt;wsp:rsid wsp:val=&quot;002A6629&quot;/&gt;&lt;wsp:rsid wsp:val=&quot;002A6EAC&quot;/&gt;&lt;wsp:rsid wsp:val=&quot;002A6EF0&quot;/&gt;&lt;wsp:rsid wsp:val=&quot;002A6F44&quot;/&gt;&lt;wsp:rsid wsp:val=&quot;002A70BC&quot;/&gt;&lt;wsp:rsid wsp:val=&quot;002A74E3&quot;/&gt;&lt;wsp:rsid wsp:val=&quot;002B019F&quot;/&gt;&lt;wsp:rsid wsp:val=&quot;002B0315&quot;/&gt;&lt;wsp:rsid wsp:val=&quot;002B0516&quot;/&gt;&lt;wsp:rsid wsp:val=&quot;002B0669&quot;/&gt;&lt;wsp:rsid wsp:val=&quot;002B071B&quot;/&gt;&lt;wsp:rsid wsp:val=&quot;002B082B&quot;/&gt;&lt;wsp:rsid wsp:val=&quot;002B09A5&quot;/&gt;&lt;wsp:rsid wsp:val=&quot;002B0B84&quot;/&gt;&lt;wsp:rsid wsp:val=&quot;002B0D13&quot;/&gt;&lt;wsp:rsid wsp:val=&quot;002B0E66&quot;/&gt;&lt;wsp:rsid wsp:val=&quot;002B11A4&quot;/&gt;&lt;wsp:rsid wsp:val=&quot;002B11EA&quot;/&gt;&lt;wsp:rsid wsp:val=&quot;002B1243&quot;/&gt;&lt;wsp:rsid wsp:val=&quot;002B169D&quot;/&gt;&lt;wsp:rsid wsp:val=&quot;002B1FF8&quot;/&gt;&lt;wsp:rsid wsp:val=&quot;002B24EA&quot;/&gt;&lt;wsp:rsid wsp:val=&quot;002B253D&quot;/&gt;&lt;wsp:rsid wsp:val=&quot;002B2BC1&quot;/&gt;&lt;wsp:rsid wsp:val=&quot;002B309D&quot;/&gt;&lt;wsp:rsid wsp:val=&quot;002B322A&quot;/&gt;&lt;wsp:rsid wsp:val=&quot;002B383D&quot;/&gt;&lt;wsp:rsid wsp:val=&quot;002B3963&quot;/&gt;&lt;wsp:rsid wsp:val=&quot;002B438F&quot;/&gt;&lt;wsp:rsid wsp:val=&quot;002B4502&quot;/&gt;&lt;wsp:rsid wsp:val=&quot;002B4BA9&quot;/&gt;&lt;wsp:rsid wsp:val=&quot;002B4C66&quot;/&gt;&lt;wsp:rsid wsp:val=&quot;002B4F60&quot;/&gt;&lt;wsp:rsid wsp:val=&quot;002B4FCE&quot;/&gt;&lt;wsp:rsid wsp:val=&quot;002B554A&quot;/&gt;&lt;wsp:rsid wsp:val=&quot;002B5F52&quot;/&gt;&lt;wsp:rsid wsp:val=&quot;002B5F68&quot;/&gt;&lt;wsp:rsid wsp:val=&quot;002B5FAE&quot;/&gt;&lt;wsp:rsid wsp:val=&quot;002B61A8&quot;/&gt;&lt;wsp:rsid wsp:val=&quot;002B621A&quot;/&gt;&lt;wsp:rsid wsp:val=&quot;002B65F5&quot;/&gt;&lt;wsp:rsid wsp:val=&quot;002B6ABC&quot;/&gt;&lt;wsp:rsid wsp:val=&quot;002B6ECA&quot;/&gt;&lt;wsp:rsid wsp:val=&quot;002B6F7A&quot;/&gt;&lt;wsp:rsid wsp:val=&quot;002B7071&quot;/&gt;&lt;wsp:rsid wsp:val=&quot;002B7182&quot;/&gt;&lt;wsp:rsid wsp:val=&quot;002B72B2&quot;/&gt;&lt;wsp:rsid wsp:val=&quot;002B755A&quot;/&gt;&lt;wsp:rsid wsp:val=&quot;002B7B8C&quot;/&gt;&lt;wsp:rsid wsp:val=&quot;002B7EDA&quot;/&gt;&lt;wsp:rsid wsp:val=&quot;002B7FEE&quot;/&gt;&lt;wsp:rsid wsp:val=&quot;002C0239&quot;/&gt;&lt;wsp:rsid wsp:val=&quot;002C0742&quot;/&gt;&lt;wsp:rsid wsp:val=&quot;002C099E&quot;/&gt;&lt;wsp:rsid wsp:val=&quot;002C0A66&quot;/&gt;&lt;wsp:rsid wsp:val=&quot;002C0E7E&quot;/&gt;&lt;wsp:rsid wsp:val=&quot;002C0FD7&quot;/&gt;&lt;wsp:rsid wsp:val=&quot;002C1983&quot;/&gt;&lt;wsp:rsid wsp:val=&quot;002C1AB6&quot;/&gt;&lt;wsp:rsid wsp:val=&quot;002C22B8&quot;/&gt;&lt;wsp:rsid wsp:val=&quot;002C2603&quot;/&gt;&lt;wsp:rsid wsp:val=&quot;002C2726&quot;/&gt;&lt;wsp:rsid wsp:val=&quot;002C2975&quot;/&gt;&lt;wsp:rsid wsp:val=&quot;002C2D1E&quot;/&gt;&lt;wsp:rsid wsp:val=&quot;002C37D4&quot;/&gt;&lt;wsp:rsid wsp:val=&quot;002C3CDD&quot;/&gt;&lt;wsp:rsid wsp:val=&quot;002C3E27&quot;/&gt;&lt;wsp:rsid wsp:val=&quot;002C4047&quot;/&gt;&lt;wsp:rsid wsp:val=&quot;002C4DDE&quot;/&gt;&lt;wsp:rsid wsp:val=&quot;002C559D&quot;/&gt;&lt;wsp:rsid wsp:val=&quot;002C5768&quot;/&gt;&lt;wsp:rsid wsp:val=&quot;002C582F&quot;/&gt;&lt;wsp:rsid wsp:val=&quot;002C58DA&quot;/&gt;&lt;wsp:rsid wsp:val=&quot;002C6191&quot;/&gt;&lt;wsp:rsid wsp:val=&quot;002C6289&quot;/&gt;&lt;wsp:rsid wsp:val=&quot;002C63BD&quot;/&gt;&lt;wsp:rsid wsp:val=&quot;002C68E5&quot;/&gt;&lt;wsp:rsid wsp:val=&quot;002C691F&quot;/&gt;&lt;wsp:rsid wsp:val=&quot;002C693F&quot;/&gt;&lt;wsp:rsid wsp:val=&quot;002C698A&quot;/&gt;&lt;wsp:rsid wsp:val=&quot;002C6A66&quot;/&gt;&lt;wsp:rsid wsp:val=&quot;002C6D3E&quot;/&gt;&lt;wsp:rsid wsp:val=&quot;002C7EE7&quot;/&gt;&lt;wsp:rsid wsp:val=&quot;002D01CE&quot;/&gt;&lt;wsp:rsid wsp:val=&quot;002D0800&quot;/&gt;&lt;wsp:rsid wsp:val=&quot;002D0F98&quot;/&gt;&lt;wsp:rsid wsp:val=&quot;002D1107&quot;/&gt;&lt;wsp:rsid wsp:val=&quot;002D208D&quot;/&gt;&lt;wsp:rsid wsp:val=&quot;002D20C4&quot;/&gt;&lt;wsp:rsid wsp:val=&quot;002D278F&quot;/&gt;&lt;wsp:rsid wsp:val=&quot;002D3122&quot;/&gt;&lt;wsp:rsid wsp:val=&quot;002D358B&quot;/&gt;&lt;wsp:rsid wsp:val=&quot;002D36CC&quot;/&gt;&lt;wsp:rsid wsp:val=&quot;002D36EF&quot;/&gt;&lt;wsp:rsid wsp:val=&quot;002D3BF0&quot;/&gt;&lt;wsp:rsid wsp:val=&quot;002D41E6&quot;/&gt;&lt;wsp:rsid wsp:val=&quot;002D435B&quot;/&gt;&lt;wsp:rsid wsp:val=&quot;002D455A&quot;/&gt;&lt;wsp:rsid wsp:val=&quot;002D4712&quot;/&gt;&lt;wsp:rsid wsp:val=&quot;002D493E&quot;/&gt;&lt;wsp:rsid wsp:val=&quot;002D4946&quot;/&gt;&lt;wsp:rsid wsp:val=&quot;002D4CC6&quot;/&gt;&lt;wsp:rsid wsp:val=&quot;002D4CE3&quot;/&gt;&lt;wsp:rsid wsp:val=&quot;002D4DF5&quot;/&gt;&lt;wsp:rsid wsp:val=&quot;002D56E6&quot;/&gt;&lt;wsp:rsid wsp:val=&quot;002D584B&quot;/&gt;&lt;wsp:rsid wsp:val=&quot;002D589D&quot;/&gt;&lt;wsp:rsid wsp:val=&quot;002D5B9E&quot;/&gt;&lt;wsp:rsid wsp:val=&quot;002D5D3A&quot;/&gt;&lt;wsp:rsid wsp:val=&quot;002D5D64&quot;/&gt;&lt;wsp:rsid wsp:val=&quot;002D5FB7&quot;/&gt;&lt;wsp:rsid wsp:val=&quot;002D68D2&quot;/&gt;&lt;wsp:rsid wsp:val=&quot;002D6A7D&quot;/&gt;&lt;wsp:rsid wsp:val=&quot;002D71CD&quot;/&gt;&lt;wsp:rsid wsp:val=&quot;002D72AC&quot;/&gt;&lt;wsp:rsid wsp:val=&quot;002D798D&quot;/&gt;&lt;wsp:rsid wsp:val=&quot;002D7C58&quot;/&gt;&lt;wsp:rsid wsp:val=&quot;002D7FD5&quot;/&gt;&lt;wsp:rsid wsp:val=&quot;002E05E9&quot;/&gt;&lt;wsp:rsid wsp:val=&quot;002E06A7&quot;/&gt;&lt;wsp:rsid wsp:val=&quot;002E06BA&quot;/&gt;&lt;wsp:rsid wsp:val=&quot;002E073B&quot;/&gt;&lt;wsp:rsid wsp:val=&quot;002E07AB&quot;/&gt;&lt;wsp:rsid wsp:val=&quot;002E08EC&quot;/&gt;&lt;wsp:rsid wsp:val=&quot;002E0A78&quot;/&gt;&lt;wsp:rsid wsp:val=&quot;002E0FA0&quot;/&gt;&lt;wsp:rsid wsp:val=&quot;002E103F&quot;/&gt;&lt;wsp:rsid wsp:val=&quot;002E13DB&quot;/&gt;&lt;wsp:rsid wsp:val=&quot;002E1882&quot;/&gt;&lt;wsp:rsid wsp:val=&quot;002E1C25&quot;/&gt;&lt;wsp:rsid wsp:val=&quot;002E1CAE&quot;/&gt;&lt;wsp:rsid wsp:val=&quot;002E1CE1&quot;/&gt;&lt;wsp:rsid wsp:val=&quot;002E2638&quot;/&gt;&lt;wsp:rsid wsp:val=&quot;002E3878&quot;/&gt;&lt;wsp:rsid wsp:val=&quot;002E38D3&quot;/&gt;&lt;wsp:rsid wsp:val=&quot;002E3E17&quot;/&gt;&lt;wsp:rsid wsp:val=&quot;002E429A&quot;/&gt;&lt;wsp:rsid wsp:val=&quot;002E457F&quot;/&gt;&lt;wsp:rsid wsp:val=&quot;002E5668&quot;/&gt;&lt;wsp:rsid wsp:val=&quot;002E5EF3&quot;/&gt;&lt;wsp:rsid wsp:val=&quot;002E6314&quot;/&gt;&lt;wsp:rsid wsp:val=&quot;002E642B&quot;/&gt;&lt;wsp:rsid wsp:val=&quot;002E64BE&quot;/&gt;&lt;wsp:rsid wsp:val=&quot;002E6503&quot;/&gt;&lt;wsp:rsid wsp:val=&quot;002E6561&quot;/&gt;&lt;wsp:rsid wsp:val=&quot;002E68B5&quot;/&gt;&lt;wsp:rsid wsp:val=&quot;002E6AAC&quot;/&gt;&lt;wsp:rsid wsp:val=&quot;002E6C31&quot;/&gt;&lt;wsp:rsid wsp:val=&quot;002E7044&quot;/&gt;&lt;wsp:rsid wsp:val=&quot;002E7403&quot;/&gt;&lt;wsp:rsid wsp:val=&quot;002E74D9&quot;/&gt;&lt;wsp:rsid wsp:val=&quot;002E7916&quot;/&gt;&lt;wsp:rsid wsp:val=&quot;002F0265&quot;/&gt;&lt;wsp:rsid wsp:val=&quot;002F04B0&quot;/&gt;&lt;wsp:rsid wsp:val=&quot;002F06D7&quot;/&gt;&lt;wsp:rsid wsp:val=&quot;002F0F27&quot;/&gt;&lt;wsp:rsid wsp:val=&quot;002F0FEF&quot;/&gt;&lt;wsp:rsid wsp:val=&quot;002F1438&quot;/&gt;&lt;wsp:rsid wsp:val=&quot;002F14AA&quot;/&gt;&lt;wsp:rsid wsp:val=&quot;002F1801&quot;/&gt;&lt;wsp:rsid wsp:val=&quot;002F1913&quot;/&gt;&lt;wsp:rsid wsp:val=&quot;002F1BBC&quot;/&gt;&lt;wsp:rsid wsp:val=&quot;002F1DBC&quot;/&gt;&lt;wsp:rsid wsp:val=&quot;002F232F&quot;/&gt;&lt;wsp:rsid wsp:val=&quot;002F2568&quot;/&gt;&lt;wsp:rsid wsp:val=&quot;002F2910&quot;/&gt;&lt;wsp:rsid wsp:val=&quot;002F2A7B&quot;/&gt;&lt;wsp:rsid wsp:val=&quot;002F2D48&quot;/&gt;&lt;wsp:rsid wsp:val=&quot;002F2E1A&quot;/&gt;&lt;wsp:rsid wsp:val=&quot;002F3038&quot;/&gt;&lt;wsp:rsid wsp:val=&quot;002F38B0&quot;/&gt;&lt;wsp:rsid wsp:val=&quot;002F3D08&quot;/&gt;&lt;wsp:rsid wsp:val=&quot;002F4809&quot;/&gt;&lt;wsp:rsid wsp:val=&quot;002F4A62&quot;/&gt;&lt;wsp:rsid wsp:val=&quot;002F4F78&quot;/&gt;&lt;wsp:rsid wsp:val=&quot;002F5B8B&quot;/&gt;&lt;wsp:rsid wsp:val=&quot;002F5F91&quot;/&gt;&lt;wsp:rsid wsp:val=&quot;002F633A&quot;/&gt;&lt;wsp:rsid wsp:val=&quot;002F63E6&quot;/&gt;&lt;wsp:rsid wsp:val=&quot;002F6551&quot;/&gt;&lt;wsp:rsid wsp:val=&quot;002F66FB&quot;/&gt;&lt;wsp:rsid wsp:val=&quot;002F689E&quot;/&gt;&lt;wsp:rsid wsp:val=&quot;002F6934&quot;/&gt;&lt;wsp:rsid wsp:val=&quot;002F6F9D&quot;/&gt;&lt;wsp:rsid wsp:val=&quot;002F7052&quot;/&gt;&lt;wsp:rsid wsp:val=&quot;002F7341&quot;/&gt;&lt;wsp:rsid wsp:val=&quot;002F753B&quot;/&gt;&lt;wsp:rsid wsp:val=&quot;002F77D7&quot;/&gt;&lt;wsp:rsid wsp:val=&quot;002F780D&quot;/&gt;&lt;wsp:rsid wsp:val=&quot;002F7B9B&quot;/&gt;&lt;wsp:rsid wsp:val=&quot;002F7E88&quot;/&gt;&lt;wsp:rsid wsp:val=&quot;00300372&quot;/&gt;&lt;wsp:rsid wsp:val=&quot;00300C5A&quot;/&gt;&lt;wsp:rsid wsp:val=&quot;00301091&quot;/&gt;&lt;wsp:rsid wsp:val=&quot;003010EB&quot;/&gt;&lt;wsp:rsid wsp:val=&quot;003013D9&quot;/&gt;&lt;wsp:rsid wsp:val=&quot;0030162C&quot;/&gt;&lt;wsp:rsid wsp:val=&quot;00301663&quot;/&gt;&lt;wsp:rsid wsp:val=&quot;0030167E&quot;/&gt;&lt;wsp:rsid wsp:val=&quot;00301703&quot;/&gt;&lt;wsp:rsid wsp:val=&quot;003017DA&quot;/&gt;&lt;wsp:rsid wsp:val=&quot;003017EC&quot;/&gt;&lt;wsp:rsid wsp:val=&quot;0030180B&quot;/&gt;&lt;wsp:rsid wsp:val=&quot;00301B6E&quot;/&gt;&lt;wsp:rsid wsp:val=&quot;00301CD1&quot;/&gt;&lt;wsp:rsid wsp:val=&quot;00302292&quot;/&gt;&lt;wsp:rsid wsp:val=&quot;00302785&quot;/&gt;&lt;wsp:rsid wsp:val=&quot;00302BCA&quot;/&gt;&lt;wsp:rsid wsp:val=&quot;00302D8A&quot;/&gt;&lt;wsp:rsid wsp:val=&quot;00303013&quot;/&gt;&lt;wsp:rsid wsp:val=&quot;00304060&quot;/&gt;&lt;wsp:rsid wsp:val=&quot;0030466C&quot;/&gt;&lt;wsp:rsid wsp:val=&quot;00304769&quot;/&gt;&lt;wsp:rsid wsp:val=&quot;0030496A&quot;/&gt;&lt;wsp:rsid wsp:val=&quot;00304D7B&quot;/&gt;&lt;wsp:rsid wsp:val=&quot;0030520B&quot;/&gt;&lt;wsp:rsid wsp:val=&quot;00305432&quot;/&gt;&lt;wsp:rsid wsp:val=&quot;0030561D&quot;/&gt;&lt;wsp:rsid wsp:val=&quot;00305669&quot;/&gt;&lt;wsp:rsid wsp:val=&quot;00305814&quot;/&gt;&lt;wsp:rsid wsp:val=&quot;00305EBA&quot;/&gt;&lt;wsp:rsid wsp:val=&quot;00305F85&quot;/&gt;&lt;wsp:rsid wsp:val=&quot;003067CB&quot;/&gt;&lt;wsp:rsid wsp:val=&quot;003069DE&quot;/&gt;&lt;wsp:rsid wsp:val=&quot;0030728D&quot;/&gt;&lt;wsp:rsid wsp:val=&quot;00310125&quot;/&gt;&lt;wsp:rsid wsp:val=&quot;00310126&quot;/&gt;&lt;wsp:rsid wsp:val=&quot;00310865&quot;/&gt;&lt;wsp:rsid wsp:val=&quot;00310B50&quot;/&gt;&lt;wsp:rsid wsp:val=&quot;0031144A&quot;/&gt;&lt;wsp:rsid wsp:val=&quot;00311B42&quot;/&gt;&lt;wsp:rsid wsp:val=&quot;00311D06&quot;/&gt;&lt;wsp:rsid wsp:val=&quot;0031241F&quot;/&gt;&lt;wsp:rsid wsp:val=&quot;003125D5&quot;/&gt;&lt;wsp:rsid wsp:val=&quot;0031261E&quot;/&gt;&lt;wsp:rsid wsp:val=&quot;0031265C&quot;/&gt;&lt;wsp:rsid wsp:val=&quot;00312744&quot;/&gt;&lt;wsp:rsid wsp:val=&quot;00312850&quot;/&gt;&lt;wsp:rsid wsp:val=&quot;00313131&quot;/&gt;&lt;wsp:rsid wsp:val=&quot;003131C2&quot;/&gt;&lt;wsp:rsid wsp:val=&quot;00313BF8&quot;/&gt;&lt;wsp:rsid wsp:val=&quot;00314627&quot;/&gt;&lt;wsp:rsid wsp:val=&quot;00314841&quot;/&gt;&lt;wsp:rsid wsp:val=&quot;00314DE1&quot;/&gt;&lt;wsp:rsid wsp:val=&quot;00315252&quot;/&gt;&lt;wsp:rsid wsp:val=&quot;0031558F&quot;/&gt;&lt;wsp:rsid wsp:val=&quot;00315AC4&quot;/&gt;&lt;wsp:rsid wsp:val=&quot;00315AF1&quot;/&gt;&lt;wsp:rsid wsp:val=&quot;00315F31&quot;/&gt;&lt;wsp:rsid wsp:val=&quot;00315FC2&quot;/&gt;&lt;wsp:rsid wsp:val=&quot;0031616A&quot;/&gt;&lt;wsp:rsid wsp:val=&quot;00316F93&quot;/&gt;&lt;wsp:rsid wsp:val=&quot;00317605&quot;/&gt;&lt;wsp:rsid wsp:val=&quot;00317A32&quot;/&gt;&lt;wsp:rsid wsp:val=&quot;00317D70&quot;/&gt;&lt;wsp:rsid wsp:val=&quot;0032015A&quot;/&gt;&lt;wsp:rsid wsp:val=&quot;003201DC&quot;/&gt;&lt;wsp:rsid wsp:val=&quot;00320A81&quot;/&gt;&lt;wsp:rsid wsp:val=&quot;00320AD4&quot;/&gt;&lt;wsp:rsid wsp:val=&quot;00320D7F&quot;/&gt;&lt;wsp:rsid wsp:val=&quot;0032154A&quot;/&gt;&lt;wsp:rsid wsp:val=&quot;00321691&quot;/&gt;&lt;wsp:rsid wsp:val=&quot;0032169D&quot;/&gt;&lt;wsp:rsid wsp:val=&quot;003219D4&quot;/&gt;&lt;wsp:rsid wsp:val=&quot;00322754&quot;/&gt;&lt;wsp:rsid wsp:val=&quot;003228A0&quot;/&gt;&lt;wsp:rsid wsp:val=&quot;003228C6&quot;/&gt;&lt;wsp:rsid wsp:val=&quot;00323001&quot;/&gt;&lt;wsp:rsid wsp:val=&quot;00323329&quot;/&gt;&lt;wsp:rsid wsp:val=&quot;00323716&quot;/&gt;&lt;wsp:rsid wsp:val=&quot;00323879&quot;/&gt;&lt;wsp:rsid wsp:val=&quot;00323F7C&quot;/&gt;&lt;wsp:rsid wsp:val=&quot;00324050&quot;/&gt;&lt;wsp:rsid wsp:val=&quot;0032411C&quot;/&gt;&lt;wsp:rsid wsp:val=&quot;0032428C&quot;/&gt;&lt;wsp:rsid wsp:val=&quot;00325510&quot;/&gt;&lt;wsp:rsid wsp:val=&quot;00325963&quot;/&gt;&lt;wsp:rsid wsp:val=&quot;00326729&quot;/&gt;&lt;wsp:rsid wsp:val=&quot;0032672B&quot;/&gt;&lt;wsp:rsid wsp:val=&quot;00326C88&quot;/&gt;&lt;wsp:rsid wsp:val=&quot;00326D23&quot;/&gt;&lt;wsp:rsid wsp:val=&quot;00327164&quot;/&gt;&lt;wsp:rsid wsp:val=&quot;0032736C&quot;/&gt;&lt;wsp:rsid wsp:val=&quot;003274C5&quot;/&gt;&lt;wsp:rsid wsp:val=&quot;00327793&quot;/&gt;&lt;wsp:rsid wsp:val=&quot;00327A93&quot;/&gt;&lt;wsp:rsid wsp:val=&quot;00330223&quot;/&gt;&lt;wsp:rsid wsp:val=&quot;00330306&quot;/&gt;&lt;wsp:rsid wsp:val=&quot;00330665&quot;/&gt;&lt;wsp:rsid wsp:val=&quot;00330E02&quot;/&gt;&lt;wsp:rsid wsp:val=&quot;00331714&quot;/&gt;&lt;wsp:rsid wsp:val=&quot;003319F4&quot;/&gt;&lt;wsp:rsid wsp:val=&quot;00331B5B&quot;/&gt;&lt;wsp:rsid wsp:val=&quot;00332270&quot;/&gt;&lt;wsp:rsid wsp:val=&quot;00332C50&quot;/&gt;&lt;wsp:rsid wsp:val=&quot;00332C55&quot;/&gt;&lt;wsp:rsid wsp:val=&quot;00332DFB&quot;/&gt;&lt;wsp:rsid wsp:val=&quot;00332E85&quot;/&gt;&lt;wsp:rsid wsp:val=&quot;00332FE5&quot;/&gt;&lt;wsp:rsid wsp:val=&quot;00333202&quot;/&gt;&lt;wsp:rsid wsp:val=&quot;003338B7&quot;/&gt;&lt;wsp:rsid wsp:val=&quot;003338EB&quot;/&gt;&lt;wsp:rsid wsp:val=&quot;00333E9B&quot;/&gt;&lt;wsp:rsid wsp:val=&quot;00333FEA&quot;/&gt;&lt;wsp:rsid wsp:val=&quot;00334C60&quot;/&gt;&lt;wsp:rsid wsp:val=&quot;00334EC5&quot;/&gt;&lt;wsp:rsid wsp:val=&quot;0033511D&quot;/&gt;&lt;wsp:rsid wsp:val=&quot;003351B6&quot;/&gt;&lt;wsp:rsid wsp:val=&quot;0033546B&quot;/&gt;&lt;wsp:rsid wsp:val=&quot;0033554B&quot;/&gt;&lt;wsp:rsid wsp:val=&quot;00335950&quot;/&gt;&lt;wsp:rsid wsp:val=&quot;00336068&quot;/&gt;&lt;wsp:rsid wsp:val=&quot;0033662C&quot;/&gt;&lt;wsp:rsid wsp:val=&quot;0033688D&quot;/&gt;&lt;wsp:rsid wsp:val=&quot;003371F6&quot;/&gt;&lt;wsp:rsid wsp:val=&quot;00337695&quot;/&gt;&lt;wsp:rsid wsp:val=&quot;00337710&quot;/&gt;&lt;wsp:rsid wsp:val=&quot;00337F39&quot;/&gt;&lt;wsp:rsid wsp:val=&quot;0034035B&quot;/&gt;&lt;wsp:rsid wsp:val=&quot;0034063E&quot;/&gt;&lt;wsp:rsid wsp:val=&quot;0034067D&quot;/&gt;&lt;wsp:rsid wsp:val=&quot;003409A4&quot;/&gt;&lt;wsp:rsid wsp:val=&quot;00340B34&quot;/&gt;&lt;wsp:rsid wsp:val=&quot;00340C22&quot;/&gt;&lt;wsp:rsid wsp:val=&quot;00340F86&quot;/&gt;&lt;wsp:rsid wsp:val=&quot;0034156E&quot;/&gt;&lt;wsp:rsid wsp:val=&quot;0034161A&quot;/&gt;&lt;wsp:rsid wsp:val=&quot;00341D16&quot;/&gt;&lt;wsp:rsid wsp:val=&quot;00341DDA&quot;/&gt;&lt;wsp:rsid wsp:val=&quot;00341F00&quot;/&gt;&lt;wsp:rsid wsp:val=&quot;00341F22&quot;/&gt;&lt;wsp:rsid wsp:val=&quot;00342242&quot;/&gt;&lt;wsp:rsid wsp:val=&quot;00343104&quot;/&gt;&lt;wsp:rsid wsp:val=&quot;00343152&quot;/&gt;&lt;wsp:rsid wsp:val=&quot;003431B0&quot;/&gt;&lt;wsp:rsid wsp:val=&quot;00343213&quot;/&gt;&lt;wsp:rsid wsp:val=&quot;00343282&quot;/&gt;&lt;wsp:rsid wsp:val=&quot;0034399B&quot;/&gt;&lt;wsp:rsid wsp:val=&quot;00344140&quot;/&gt;&lt;wsp:rsid wsp:val=&quot;00344345&quot;/&gt;&lt;wsp:rsid wsp:val=&quot;003444E5&quot;/&gt;&lt;wsp:rsid wsp:val=&quot;00344632&quot;/&gt;&lt;wsp:rsid wsp:val=&quot;0034488B&quot;/&gt;&lt;wsp:rsid wsp:val=&quot;00344C5D&quot;/&gt;&lt;wsp:rsid wsp:val=&quot;00345941&quot;/&gt;&lt;wsp:rsid wsp:val=&quot;003459C2&quot;/&gt;&lt;wsp:rsid wsp:val=&quot;00345BCE&quot;/&gt;&lt;wsp:rsid wsp:val=&quot;00345C5A&quot;/&gt;&lt;wsp:rsid wsp:val=&quot;00346083&quot;/&gt;&lt;wsp:rsid wsp:val=&quot;00346E19&quot;/&gt;&lt;wsp:rsid wsp:val=&quot;00346F53&quot;/&gt;&lt;wsp:rsid wsp:val=&quot;00347131&quot;/&gt;&lt;wsp:rsid wsp:val=&quot;00347DC3&quot;/&gt;&lt;wsp:rsid wsp:val=&quot;00347E78&quot;/&gt;&lt;wsp:rsid wsp:val=&quot;0035038A&quot;/&gt;&lt;wsp:rsid wsp:val=&quot;00350479&quot;/&gt;&lt;wsp:rsid wsp:val=&quot;00350779&quot;/&gt;&lt;wsp:rsid wsp:val=&quot;00350BF5&quot;/&gt;&lt;wsp:rsid wsp:val=&quot;00350D24&quot;/&gt;&lt;wsp:rsid wsp:val=&quot;0035124D&quot;/&gt;&lt;wsp:rsid wsp:val=&quot;003518C3&quot;/&gt;&lt;wsp:rsid wsp:val=&quot;00351A48&quot;/&gt;&lt;wsp:rsid wsp:val=&quot;00351DEF&quot;/&gt;&lt;wsp:rsid wsp:val=&quot;00351F8B&quot;/&gt;&lt;wsp:rsid wsp:val=&quot;00352A69&quot;/&gt;&lt;wsp:rsid wsp:val=&quot;00353315&quot;/&gt;&lt;wsp:rsid wsp:val=&quot;00353CA1&quot;/&gt;&lt;wsp:rsid wsp:val=&quot;00353E29&quot;/&gt;&lt;wsp:rsid wsp:val=&quot;0035421F&quot;/&gt;&lt;wsp:rsid wsp:val=&quot;00354C71&quot;/&gt;&lt;wsp:rsid wsp:val=&quot;00354CCC&quot;/&gt;&lt;wsp:rsid wsp:val=&quot;00354D77&quot;/&gt;&lt;wsp:rsid wsp:val=&quot;00355A34&quot;/&gt;&lt;wsp:rsid wsp:val=&quot;00355BAC&quot;/&gt;&lt;wsp:rsid wsp:val=&quot;00355E08&quot;/&gt;&lt;wsp:rsid wsp:val=&quot;00356697&quot;/&gt;&lt;wsp:rsid wsp:val=&quot;003568E1&quot;/&gt;&lt;wsp:rsid wsp:val=&quot;00356A7B&quot;/&gt;&lt;wsp:rsid wsp:val=&quot;00356D03&quot;/&gt;&lt;wsp:rsid wsp:val=&quot;00357C88&quot;/&gt;&lt;wsp:rsid wsp:val=&quot;00357FEC&quot;/&gt;&lt;wsp:rsid wsp:val=&quot;0036055F&quot;/&gt;&lt;wsp:rsid wsp:val=&quot;003605BD&quot;/&gt;&lt;wsp:rsid wsp:val=&quot;00360700&quot;/&gt;&lt;wsp:rsid wsp:val=&quot;003607E7&quot;/&gt;&lt;wsp:rsid wsp:val=&quot;0036087F&quot;/&gt;&lt;wsp:rsid wsp:val=&quot;00360D49&quot;/&gt;&lt;wsp:rsid wsp:val=&quot;00360E3D&quot;/&gt;&lt;wsp:rsid wsp:val=&quot;00360E47&quot;/&gt;&lt;wsp:rsid wsp:val=&quot;003611A5&quot;/&gt;&lt;wsp:rsid wsp:val=&quot;00361237&quot;/&gt;&lt;wsp:rsid wsp:val=&quot;00361572&quot;/&gt;&lt;wsp:rsid wsp:val=&quot;00361D34&quot;/&gt;&lt;wsp:rsid wsp:val=&quot;00361EF5&quot;/&gt;&lt;wsp:rsid wsp:val=&quot;0036253C&quot;/&gt;&lt;wsp:rsid wsp:val=&quot;00362672&quot;/&gt;&lt;wsp:rsid wsp:val=&quot;00362B9D&quot;/&gt;&lt;wsp:rsid wsp:val=&quot;003635BD&quot;/&gt;&lt;wsp:rsid wsp:val=&quot;003638BC&quot;/&gt;&lt;wsp:rsid wsp:val=&quot;00363C97&quot;/&gt;&lt;wsp:rsid wsp:val=&quot;00363D38&quot;/&gt;&lt;wsp:rsid wsp:val=&quot;003643DF&quot;/&gt;&lt;wsp:rsid wsp:val=&quot;00364685&quot;/&gt;&lt;wsp:rsid wsp:val=&quot;00364F04&quot;/&gt;&lt;wsp:rsid wsp:val=&quot;00365E31&quot;/&gt;&lt;wsp:rsid wsp:val=&quot;00365FB4&quot;/&gt;&lt;wsp:rsid wsp:val=&quot;00365FFF&quot;/&gt;&lt;wsp:rsid wsp:val=&quot;00366096&quot;/&gt;&lt;wsp:rsid wsp:val=&quot;00366536&quot;/&gt;&lt;wsp:rsid wsp:val=&quot;003665A7&quot;/&gt;&lt;wsp:rsid wsp:val=&quot;003665E2&quot;/&gt;&lt;wsp:rsid wsp:val=&quot;003665E6&quot;/&gt;&lt;wsp:rsid wsp:val=&quot;003669A0&quot;/&gt;&lt;wsp:rsid wsp:val=&quot;00366BC3&quot;/&gt;&lt;wsp:rsid wsp:val=&quot;003671EA&quot;/&gt;&lt;wsp:rsid wsp:val=&quot;00367201&quot;/&gt;&lt;wsp:rsid wsp:val=&quot;00367271&quot;/&gt;&lt;wsp:rsid wsp:val=&quot;003672BE&quot;/&gt;&lt;wsp:rsid wsp:val=&quot;0036732D&quot;/&gt;&lt;wsp:rsid wsp:val=&quot;003674D8&quot;/&gt;&lt;wsp:rsid wsp:val=&quot;00367C9B&quot;/&gt;&lt;wsp:rsid wsp:val=&quot;00367CF8&quot;/&gt;&lt;wsp:rsid wsp:val=&quot;00367FEA&quot;/&gt;&lt;wsp:rsid wsp:val=&quot;003702A8&quot;/&gt;&lt;wsp:rsid wsp:val=&quot;003702FD&quot;/&gt;&lt;wsp:rsid wsp:val=&quot;003706B9&quot;/&gt;&lt;wsp:rsid wsp:val=&quot;00370A0A&quot;/&gt;&lt;wsp:rsid wsp:val=&quot;00370ADE&quot;/&gt;&lt;wsp:rsid wsp:val=&quot;00370FA7&quot;/&gt;&lt;wsp:rsid wsp:val=&quot;0037118F&quot;/&gt;&lt;wsp:rsid wsp:val=&quot;003719D2&quot;/&gt;&lt;wsp:rsid wsp:val=&quot;00371B4F&quot;/&gt;&lt;wsp:rsid wsp:val=&quot;0037238C&quot;/&gt;&lt;wsp:rsid wsp:val=&quot;003726E6&quot;/&gt;&lt;wsp:rsid wsp:val=&quot;00372948&quot;/&gt;&lt;wsp:rsid wsp:val=&quot;003729A7&quot;/&gt;&lt;wsp:rsid wsp:val=&quot;00372B27&quot;/&gt;&lt;wsp:rsid wsp:val=&quot;003730F2&quot;/&gt;&lt;wsp:rsid wsp:val=&quot;00373154&quot;/&gt;&lt;wsp:rsid wsp:val=&quot;0037321A&quot;/&gt;&lt;wsp:rsid wsp:val=&quot;00373836&quot;/&gt;&lt;wsp:rsid wsp:val=&quot;00373A0E&quot;/&gt;&lt;wsp:rsid wsp:val=&quot;00373CE2&quot;/&gt;&lt;wsp:rsid wsp:val=&quot;00373DE8&quot;/&gt;&lt;wsp:rsid wsp:val=&quot;00373E0D&quot;/&gt;&lt;wsp:rsid wsp:val=&quot;00373E45&quot;/&gt;&lt;wsp:rsid wsp:val=&quot;00374129&quot;/&gt;&lt;wsp:rsid wsp:val=&quot;00374BA2&quot;/&gt;&lt;wsp:rsid wsp:val=&quot;00374C3E&quot;/&gt;&lt;wsp:rsid wsp:val=&quot;00374CA5&quot;/&gt;&lt;wsp:rsid wsp:val=&quot;00374CA7&quot;/&gt;&lt;wsp:rsid wsp:val=&quot;00374E59&quot;/&gt;&lt;wsp:rsid wsp:val=&quot;0037563C&quot;/&gt;&lt;wsp:rsid wsp:val=&quot;00375707&quot;/&gt;&lt;wsp:rsid wsp:val=&quot;00375999&quot;/&gt;&lt;wsp:rsid wsp:val=&quot;00375CA9&quot;/&gt;&lt;wsp:rsid wsp:val=&quot;00375F93&quot;/&gt;&lt;wsp:rsid wsp:val=&quot;00376177&quot;/&gt;&lt;wsp:rsid wsp:val=&quot;00376397&quot;/&gt;&lt;wsp:rsid wsp:val=&quot;0037667A&quot;/&gt;&lt;wsp:rsid wsp:val=&quot;00376CD4&quot;/&gt;&lt;wsp:rsid wsp:val=&quot;0037703C&quot;/&gt;&lt;wsp:rsid wsp:val=&quot;00377278&quot;/&gt;&lt;wsp:rsid wsp:val=&quot;003774E9&quot;/&gt;&lt;wsp:rsid wsp:val=&quot;00377564&quot;/&gt;&lt;wsp:rsid wsp:val=&quot;00377CC0&quot;/&gt;&lt;wsp:rsid wsp:val=&quot;0038009A&quot;/&gt;&lt;wsp:rsid wsp:val=&quot;003800A1&quot;/&gt;&lt;wsp:rsid wsp:val=&quot;003801AF&quot;/&gt;&lt;wsp:rsid wsp:val=&quot;00381D91&quot;/&gt;&lt;wsp:rsid wsp:val=&quot;00381E44&quot;/&gt;&lt;wsp:rsid wsp:val=&quot;003820AF&quot;/&gt;&lt;wsp:rsid wsp:val=&quot;003824B5&quot;/&gt;&lt;wsp:rsid wsp:val=&quot;00382553&quot;/&gt;&lt;wsp:rsid wsp:val=&quot;0038271A&quot;/&gt;&lt;wsp:rsid wsp:val=&quot;0038293A&quot;/&gt;&lt;wsp:rsid wsp:val=&quot;00382A48&quot;/&gt;&lt;wsp:rsid wsp:val=&quot;00382E69&quot;/&gt;&lt;wsp:rsid wsp:val=&quot;003832BF&quot;/&gt;&lt;wsp:rsid wsp:val=&quot;00383743&quot;/&gt;&lt;wsp:rsid wsp:val=&quot;00383796&quot;/&gt;&lt;wsp:rsid wsp:val=&quot;00383BF1&quot;/&gt;&lt;wsp:rsid wsp:val=&quot;00383CE9&quot;/&gt;&lt;wsp:rsid wsp:val=&quot;00383D52&quot;/&gt;&lt;wsp:rsid wsp:val=&quot;00383FBF&quot;/&gt;&lt;wsp:rsid wsp:val=&quot;00383FD6&quot;/&gt;&lt;wsp:rsid wsp:val=&quot;00384499&quot;/&gt;&lt;wsp:rsid wsp:val=&quot;00384B4E&quot;/&gt;&lt;wsp:rsid wsp:val=&quot;00384BF7&quot;/&gt;&lt;wsp:rsid wsp:val=&quot;00384E13&quot;/&gt;&lt;wsp:rsid wsp:val=&quot;00385167&quot;/&gt;&lt;wsp:rsid wsp:val=&quot;00385C53&quot;/&gt;&lt;wsp:rsid wsp:val=&quot;00385CDB&quot;/&gt;&lt;wsp:rsid wsp:val=&quot;003860EF&quot;/&gt;&lt;wsp:rsid wsp:val=&quot;003862B1&quot;/&gt;&lt;wsp:rsid wsp:val=&quot;00386B97&quot;/&gt;&lt;wsp:rsid wsp:val=&quot;00386F4F&quot;/&gt;&lt;wsp:rsid wsp:val=&quot;0038733D&quot;/&gt;&lt;wsp:rsid wsp:val=&quot;003876D9&quot;/&gt;&lt;wsp:rsid wsp:val=&quot;003876EC&quot;/&gt;&lt;wsp:rsid wsp:val=&quot;00390200&quot;/&gt;&lt;wsp:rsid wsp:val=&quot;00390647&quot;/&gt;&lt;wsp:rsid wsp:val=&quot;00390F92&quot;/&gt;&lt;wsp:rsid wsp:val=&quot;003916F1&quot;/&gt;&lt;wsp:rsid wsp:val=&quot;00391913&quot;/&gt;&lt;wsp:rsid wsp:val=&quot;00391986&quot;/&gt;&lt;wsp:rsid wsp:val=&quot;00391D1B&quot;/&gt;&lt;wsp:rsid wsp:val=&quot;00391E4C&quot;/&gt;&lt;wsp:rsid wsp:val=&quot;00391EF5&quot;/&gt;&lt;wsp:rsid wsp:val=&quot;003921F4&quot;/&gt;&lt;wsp:rsid wsp:val=&quot;00392885&quot;/&gt;&lt;wsp:rsid wsp:val=&quot;00392C9C&quot;/&gt;&lt;wsp:rsid wsp:val=&quot;0039302A&quot;/&gt;&lt;wsp:rsid wsp:val=&quot;0039379A&quot;/&gt;&lt;wsp:rsid wsp:val=&quot;0039430E&quot;/&gt;&lt;wsp:rsid wsp:val=&quot;003943DB&quot;/&gt;&lt;wsp:rsid wsp:val=&quot;0039467C&quot;/&gt;&lt;wsp:rsid wsp:val=&quot;00394A9D&quot;/&gt;&lt;wsp:rsid wsp:val=&quot;00394B76&quot;/&gt;&lt;wsp:rsid wsp:val=&quot;003952D6&quot;/&gt;&lt;wsp:rsid wsp:val=&quot;003952E5&quot;/&gt;&lt;wsp:rsid wsp:val=&quot;003953A1&quot;/&gt;&lt;wsp:rsid wsp:val=&quot;003954AB&quot;/&gt;&lt;wsp:rsid wsp:val=&quot;003956F4&quot;/&gt;&lt;wsp:rsid wsp:val=&quot;00395BE8&quot;/&gt;&lt;wsp:rsid wsp:val=&quot;00395CAB&quot;/&gt;&lt;wsp:rsid wsp:val=&quot;00395DAA&quot;/&gt;&lt;wsp:rsid wsp:val=&quot;00395E08&quot;/&gt;&lt;wsp:rsid wsp:val=&quot;003960FD&quot;/&gt;&lt;wsp:rsid wsp:val=&quot;0039678E&quot;/&gt;&lt;wsp:rsid wsp:val=&quot;00396B09&quot;/&gt;&lt;wsp:rsid wsp:val=&quot;00396FB4&quot;/&gt;&lt;wsp:rsid wsp:val=&quot;003971BF&quot;/&gt;&lt;wsp:rsid wsp:val=&quot;003972A9&quot;/&gt;&lt;wsp:rsid wsp:val=&quot;003973D9&quot;/&gt;&lt;wsp:rsid wsp:val=&quot;003974AB&quot;/&gt;&lt;wsp:rsid wsp:val=&quot;0039772A&quot;/&gt;&lt;wsp:rsid wsp:val=&quot;00397804&quot;/&gt;&lt;wsp:rsid wsp:val=&quot;00397A4F&quot;/&gt;&lt;wsp:rsid wsp:val=&quot;00397C3B&quot;/&gt;&lt;wsp:rsid wsp:val=&quot;00397CD7&quot;/&gt;&lt;wsp:rsid wsp:val=&quot;00397CF3&quot;/&gt;&lt;wsp:rsid wsp:val=&quot;00397F0E&quot;/&gt;&lt;wsp:rsid wsp:val=&quot;003A028A&quot;/&gt;&lt;wsp:rsid wsp:val=&quot;003A046B&quot;/&gt;&lt;wsp:rsid wsp:val=&quot;003A06F9&quot;/&gt;&lt;wsp:rsid wsp:val=&quot;003A06FA&quot;/&gt;&lt;wsp:rsid wsp:val=&quot;003A096E&quot;/&gt;&lt;wsp:rsid wsp:val=&quot;003A0D0A&quot;/&gt;&lt;wsp:rsid wsp:val=&quot;003A0E74&quot;/&gt;&lt;wsp:rsid wsp:val=&quot;003A105C&quot;/&gt;&lt;wsp:rsid wsp:val=&quot;003A1168&quot;/&gt;&lt;wsp:rsid wsp:val=&quot;003A155B&quot;/&gt;&lt;wsp:rsid wsp:val=&quot;003A1759&quot;/&gt;&lt;wsp:rsid wsp:val=&quot;003A1792&quot;/&gt;&lt;wsp:rsid wsp:val=&quot;003A1C4B&quot;/&gt;&lt;wsp:rsid wsp:val=&quot;003A23DA&quot;/&gt;&lt;wsp:rsid wsp:val=&quot;003A23F9&quot;/&gt;&lt;wsp:rsid wsp:val=&quot;003A269B&quot;/&gt;&lt;wsp:rsid wsp:val=&quot;003A2ABD&quot;/&gt;&lt;wsp:rsid wsp:val=&quot;003A2C0E&quot;/&gt;&lt;wsp:rsid wsp:val=&quot;003A2C26&quot;/&gt;&lt;wsp:rsid wsp:val=&quot;003A30C0&quot;/&gt;&lt;wsp:rsid wsp:val=&quot;003A334E&quot;/&gt;&lt;wsp:rsid wsp:val=&quot;003A401F&quot;/&gt;&lt;wsp:rsid wsp:val=&quot;003A41E9&quot;/&gt;&lt;wsp:rsid wsp:val=&quot;003A42AA&quot;/&gt;&lt;wsp:rsid wsp:val=&quot;003A4356&quot;/&gt;&lt;wsp:rsid wsp:val=&quot;003A4570&quot;/&gt;&lt;wsp:rsid wsp:val=&quot;003A4695&quot;/&gt;&lt;wsp:rsid wsp:val=&quot;003A486F&quot;/&gt;&lt;wsp:rsid wsp:val=&quot;003A4A21&quot;/&gt;&lt;wsp:rsid wsp:val=&quot;003A4DA7&quot;/&gt;&lt;wsp:rsid wsp:val=&quot;003A4E7D&quot;/&gt;&lt;wsp:rsid wsp:val=&quot;003A505D&quot;/&gt;&lt;wsp:rsid wsp:val=&quot;003A5065&quot;/&gt;&lt;wsp:rsid wsp:val=&quot;003A5140&quot;/&gt;&lt;wsp:rsid wsp:val=&quot;003A51C6&quot;/&gt;&lt;wsp:rsid wsp:val=&quot;003A5BEB&quot;/&gt;&lt;wsp:rsid wsp:val=&quot;003A5DCD&quot;/&gt;&lt;wsp:rsid wsp:val=&quot;003A6596&quot;/&gt;&lt;wsp:rsid wsp:val=&quot;003A65F3&quot;/&gt;&lt;wsp:rsid wsp:val=&quot;003A669F&quot;/&gt;&lt;wsp:rsid wsp:val=&quot;003A67F3&quot;/&gt;&lt;wsp:rsid wsp:val=&quot;003A69D1&quot;/&gt;&lt;wsp:rsid wsp:val=&quot;003A6A53&quot;/&gt;&lt;wsp:rsid wsp:val=&quot;003A6F19&quot;/&gt;&lt;wsp:rsid wsp:val=&quot;003A7063&quot;/&gt;&lt;wsp:rsid wsp:val=&quot;003A75CB&quot;/&gt;&lt;wsp:rsid wsp:val=&quot;003B00DA&quot;/&gt;&lt;wsp:rsid wsp:val=&quot;003B00FC&quot;/&gt;&lt;wsp:rsid wsp:val=&quot;003B02AF&quot;/&gt;&lt;wsp:rsid wsp:val=&quot;003B073D&quot;/&gt;&lt;wsp:rsid wsp:val=&quot;003B09E3&quot;/&gt;&lt;wsp:rsid wsp:val=&quot;003B0A2B&quot;/&gt;&lt;wsp:rsid wsp:val=&quot;003B103C&quot;/&gt;&lt;wsp:rsid wsp:val=&quot;003B10E6&quot;/&gt;&lt;wsp:rsid wsp:val=&quot;003B112F&quot;/&gt;&lt;wsp:rsid wsp:val=&quot;003B1859&quot;/&gt;&lt;wsp:rsid wsp:val=&quot;003B2421&quot;/&gt;&lt;wsp:rsid wsp:val=&quot;003B2908&quot;/&gt;&lt;wsp:rsid wsp:val=&quot;003B2C50&quot;/&gt;&lt;wsp:rsid wsp:val=&quot;003B3316&quot;/&gt;&lt;wsp:rsid wsp:val=&quot;003B361A&quot;/&gt;&lt;wsp:rsid wsp:val=&quot;003B3B36&quot;/&gt;&lt;wsp:rsid wsp:val=&quot;003B4540&quot;/&gt;&lt;wsp:rsid wsp:val=&quot;003B483A&quot;/&gt;&lt;wsp:rsid wsp:val=&quot;003B4955&quot;/&gt;&lt;wsp:rsid wsp:val=&quot;003B4DA7&quot;/&gt;&lt;wsp:rsid wsp:val=&quot;003B4EA9&quot;/&gt;&lt;wsp:rsid wsp:val=&quot;003B50C1&quot;/&gt;&lt;wsp:rsid wsp:val=&quot;003B50E9&quot;/&gt;&lt;wsp:rsid wsp:val=&quot;003B5309&quot;/&gt;&lt;wsp:rsid wsp:val=&quot;003B5321&quot;/&gt;&lt;wsp:rsid wsp:val=&quot;003B5B3C&quot;/&gt;&lt;wsp:rsid wsp:val=&quot;003B5D16&quot;/&gt;&lt;wsp:rsid wsp:val=&quot;003B5DDF&quot;/&gt;&lt;wsp:rsid wsp:val=&quot;003B5E34&quot;/&gt;&lt;wsp:rsid wsp:val=&quot;003B5FE9&quot;/&gt;&lt;wsp:rsid wsp:val=&quot;003B66D0&quot;/&gt;&lt;wsp:rsid wsp:val=&quot;003B6D97&quot;/&gt;&lt;wsp:rsid wsp:val=&quot;003B6DBB&quot;/&gt;&lt;wsp:rsid wsp:val=&quot;003B76CE&quot;/&gt;&lt;wsp:rsid wsp:val=&quot;003B7F9B&quot;/&gt;&lt;wsp:rsid wsp:val=&quot;003C0239&quot;/&gt;&lt;wsp:rsid wsp:val=&quot;003C0491&quot;/&gt;&lt;wsp:rsid wsp:val=&quot;003C06CE&quot;/&gt;&lt;wsp:rsid wsp:val=&quot;003C1541&quot;/&gt;&lt;wsp:rsid wsp:val=&quot;003C15FC&quot;/&gt;&lt;wsp:rsid wsp:val=&quot;003C160C&quot;/&gt;&lt;wsp:rsid wsp:val=&quot;003C17F3&quot;/&gt;&lt;wsp:rsid wsp:val=&quot;003C1B8F&quot;/&gt;&lt;wsp:rsid wsp:val=&quot;003C262B&quot;/&gt;&lt;wsp:rsid wsp:val=&quot;003C2F27&quot;/&gt;&lt;wsp:rsid wsp:val=&quot;003C30B7&quot;/&gt;&lt;wsp:rsid wsp:val=&quot;003C3140&quot;/&gt;&lt;wsp:rsid wsp:val=&quot;003C36C0&quot;/&gt;&lt;wsp:rsid wsp:val=&quot;003C371E&quot;/&gt;&lt;wsp:rsid wsp:val=&quot;003C390D&quot;/&gt;&lt;wsp:rsid wsp:val=&quot;003C3A53&quot;/&gt;&lt;wsp:rsid wsp:val=&quot;003C4056&quot;/&gt;&lt;wsp:rsid wsp:val=&quot;003C4C67&quot;/&gt;&lt;wsp:rsid wsp:val=&quot;003C4F35&quot;/&gt;&lt;wsp:rsid wsp:val=&quot;003C507D&quot;/&gt;&lt;wsp:rsid wsp:val=&quot;003C5492&quot;/&gt;&lt;wsp:rsid wsp:val=&quot;003C5A66&quot;/&gt;&lt;wsp:rsid wsp:val=&quot;003C61E1&quot;/&gt;&lt;wsp:rsid wsp:val=&quot;003C641F&quot;/&gt;&lt;wsp:rsid wsp:val=&quot;003C6865&quot;/&gt;&lt;wsp:rsid wsp:val=&quot;003C6B8D&quot;/&gt;&lt;wsp:rsid wsp:val=&quot;003C6E19&quot;/&gt;&lt;wsp:rsid wsp:val=&quot;003C714E&quot;/&gt;&lt;wsp:rsid wsp:val=&quot;003C7A33&quot;/&gt;&lt;wsp:rsid wsp:val=&quot;003C7C1A&quot;/&gt;&lt;wsp:rsid wsp:val=&quot;003C7EAE&quot;/&gt;&lt;wsp:rsid wsp:val=&quot;003D0626&quot;/&gt;&lt;wsp:rsid wsp:val=&quot;003D069F&quot;/&gt;&lt;wsp:rsid wsp:val=&quot;003D06FF&quot;/&gt;&lt;wsp:rsid wsp:val=&quot;003D075B&quot;/&gt;&lt;wsp:rsid wsp:val=&quot;003D0870&quot;/&gt;&lt;wsp:rsid wsp:val=&quot;003D09C6&quot;/&gt;&lt;wsp:rsid wsp:val=&quot;003D0A6F&quot;/&gt;&lt;wsp:rsid wsp:val=&quot;003D0B7A&quot;/&gt;&lt;wsp:rsid wsp:val=&quot;003D0E9E&quot;/&gt;&lt;wsp:rsid wsp:val=&quot;003D0F14&quot;/&gt;&lt;wsp:rsid wsp:val=&quot;003D0F30&quot;/&gt;&lt;wsp:rsid wsp:val=&quot;003D13D2&quot;/&gt;&lt;wsp:rsid wsp:val=&quot;003D15BA&quot;/&gt;&lt;wsp:rsid wsp:val=&quot;003D1646&quot;/&gt;&lt;wsp:rsid wsp:val=&quot;003D17F2&quot;/&gt;&lt;wsp:rsid wsp:val=&quot;003D17F9&quot;/&gt;&lt;wsp:rsid wsp:val=&quot;003D1CA4&quot;/&gt;&lt;wsp:rsid wsp:val=&quot;003D1DA1&quot;/&gt;&lt;wsp:rsid wsp:val=&quot;003D1E6D&quot;/&gt;&lt;wsp:rsid wsp:val=&quot;003D22B3&quot;/&gt;&lt;wsp:rsid wsp:val=&quot;003D2797&quot;/&gt;&lt;wsp:rsid wsp:val=&quot;003D283B&quot;/&gt;&lt;wsp:rsid wsp:val=&quot;003D28C0&quot;/&gt;&lt;wsp:rsid wsp:val=&quot;003D2A19&quot;/&gt;&lt;wsp:rsid wsp:val=&quot;003D2A49&quot;/&gt;&lt;wsp:rsid wsp:val=&quot;003D322D&quot;/&gt;&lt;wsp:rsid wsp:val=&quot;003D3605&quot;/&gt;&lt;wsp:rsid wsp:val=&quot;003D3A31&quot;/&gt;&lt;wsp:rsid wsp:val=&quot;003D3B35&quot;/&gt;&lt;wsp:rsid wsp:val=&quot;003D3D27&quot;/&gt;&lt;wsp:rsid wsp:val=&quot;003D479A&quot;/&gt;&lt;wsp:rsid wsp:val=&quot;003D479F&quot;/&gt;&lt;wsp:rsid wsp:val=&quot;003D4BE1&quot;/&gt;&lt;wsp:rsid wsp:val=&quot;003D5C28&quot;/&gt;&lt;wsp:rsid wsp:val=&quot;003D5C64&quot;/&gt;&lt;wsp:rsid wsp:val=&quot;003D5D02&quot;/&gt;&lt;wsp:rsid wsp:val=&quot;003D6067&quot;/&gt;&lt;wsp:rsid wsp:val=&quot;003D6539&quot;/&gt;&lt;wsp:rsid wsp:val=&quot;003D71EC&quot;/&gt;&lt;wsp:rsid wsp:val=&quot;003D7397&quot;/&gt;&lt;wsp:rsid wsp:val=&quot;003D7ABA&quot;/&gt;&lt;wsp:rsid wsp:val=&quot;003E021C&quot;/&gt;&lt;wsp:rsid wsp:val=&quot;003E02D7&quot;/&gt;&lt;wsp:rsid wsp:val=&quot;003E08EC&quot;/&gt;&lt;wsp:rsid wsp:val=&quot;003E09C8&quot;/&gt;&lt;wsp:rsid wsp:val=&quot;003E0AD6&quot;/&gt;&lt;wsp:rsid wsp:val=&quot;003E11EE&quot;/&gt;&lt;wsp:rsid wsp:val=&quot;003E1933&quot;/&gt;&lt;wsp:rsid wsp:val=&quot;003E1F36&quot;/&gt;&lt;wsp:rsid wsp:val=&quot;003E2040&quot;/&gt;&lt;wsp:rsid wsp:val=&quot;003E21CB&quot;/&gt;&lt;wsp:rsid wsp:val=&quot;003E2978&quot;/&gt;&lt;wsp:rsid wsp:val=&quot;003E2CC4&quot;/&gt;&lt;wsp:rsid wsp:val=&quot;003E2E8D&quot;/&gt;&lt;wsp:rsid wsp:val=&quot;003E3532&quot;/&gt;&lt;wsp:rsid wsp:val=&quot;003E4173&quot;/&gt;&lt;wsp:rsid wsp:val=&quot;003E41AF&quot;/&gt;&lt;wsp:rsid wsp:val=&quot;003E4691&quot;/&gt;&lt;wsp:rsid wsp:val=&quot;003E4BBC&quot;/&gt;&lt;wsp:rsid wsp:val=&quot;003E4D12&quot;/&gt;&lt;wsp:rsid wsp:val=&quot;003E51F9&quot;/&gt;&lt;wsp:rsid wsp:val=&quot;003E54D0&quot;/&gt;&lt;wsp:rsid wsp:val=&quot;003E5A7A&quot;/&gt;&lt;wsp:rsid wsp:val=&quot;003E5DE7&quot;/&gt;&lt;wsp:rsid wsp:val=&quot;003E5EA5&quot;/&gt;&lt;wsp:rsid wsp:val=&quot;003E5F11&quot;/&gt;&lt;wsp:rsid wsp:val=&quot;003E6BB1&quot;/&gt;&lt;wsp:rsid wsp:val=&quot;003E6D20&quot;/&gt;&lt;wsp:rsid wsp:val=&quot;003E6F92&quot;/&gt;&lt;wsp:rsid wsp:val=&quot;003E710A&quot;/&gt;&lt;wsp:rsid wsp:val=&quot;003F026B&quot;/&gt;&lt;wsp:rsid wsp:val=&quot;003F0334&quot;/&gt;&lt;wsp:rsid wsp:val=&quot;003F0959&quot;/&gt;&lt;wsp:rsid wsp:val=&quot;003F0E81&quot;/&gt;&lt;wsp:rsid wsp:val=&quot;003F10E3&quot;/&gt;&lt;wsp:rsid wsp:val=&quot;003F120A&quot;/&gt;&lt;wsp:rsid wsp:val=&quot;003F15C4&quot;/&gt;&lt;wsp:rsid wsp:val=&quot;003F1896&quot;/&gt;&lt;wsp:rsid wsp:val=&quot;003F1B97&quot;/&gt;&lt;wsp:rsid wsp:val=&quot;003F1D95&quot;/&gt;&lt;wsp:rsid wsp:val=&quot;003F213C&quot;/&gt;&lt;wsp:rsid wsp:val=&quot;003F21A9&quot;/&gt;&lt;wsp:rsid wsp:val=&quot;003F230E&quot;/&gt;&lt;wsp:rsid wsp:val=&quot;003F24D5&quot;/&gt;&lt;wsp:rsid wsp:val=&quot;003F2A28&quot;/&gt;&lt;wsp:rsid wsp:val=&quot;003F31A9&quot;/&gt;&lt;wsp:rsid wsp:val=&quot;003F33F8&quot;/&gt;&lt;wsp:rsid wsp:val=&quot;003F3612&quot;/&gt;&lt;wsp:rsid wsp:val=&quot;003F36D6&quot;/&gt;&lt;wsp:rsid wsp:val=&quot;003F3C0D&quot;/&gt;&lt;wsp:rsid wsp:val=&quot;003F3F61&quot;/&gt;&lt;wsp:rsid wsp:val=&quot;003F40E8&quot;/&gt;&lt;wsp:rsid wsp:val=&quot;003F4349&quot;/&gt;&lt;wsp:rsid wsp:val=&quot;003F43A6&quot;/&gt;&lt;wsp:rsid wsp:val=&quot;003F4446&quot;/&gt;&lt;wsp:rsid wsp:val=&quot;003F4833&quot;/&gt;&lt;wsp:rsid wsp:val=&quot;003F4B6F&quot;/&gt;&lt;wsp:rsid wsp:val=&quot;003F4C30&quot;/&gt;&lt;wsp:rsid wsp:val=&quot;003F50D6&quot;/&gt;&lt;wsp:rsid wsp:val=&quot;003F5558&quot;/&gt;&lt;wsp:rsid wsp:val=&quot;003F576B&quot;/&gt;&lt;wsp:rsid wsp:val=&quot;003F5929&quot;/&gt;&lt;wsp:rsid wsp:val=&quot;003F5A37&quot;/&gt;&lt;wsp:rsid wsp:val=&quot;003F5EEF&quot;/&gt;&lt;wsp:rsid wsp:val=&quot;003F5F2C&quot;/&gt;&lt;wsp:rsid wsp:val=&quot;003F631B&quot;/&gt;&lt;wsp:rsid wsp:val=&quot;003F660E&quot;/&gt;&lt;wsp:rsid wsp:val=&quot;003F683F&quot;/&gt;&lt;wsp:rsid wsp:val=&quot;003F68C5&quot;/&gt;&lt;wsp:rsid wsp:val=&quot;003F6944&quot;/&gt;&lt;wsp:rsid wsp:val=&quot;003F6979&quot;/&gt;&lt;wsp:rsid wsp:val=&quot;003F6989&quot;/&gt;&lt;wsp:rsid wsp:val=&quot;003F6C2D&quot;/&gt;&lt;wsp:rsid wsp:val=&quot;003F6F19&quot;/&gt;&lt;wsp:rsid wsp:val=&quot;003F7054&quot;/&gt;&lt;wsp:rsid wsp:val=&quot;003F7145&quot;/&gt;&lt;wsp:rsid wsp:val=&quot;003F73D0&quot;/&gt;&lt;wsp:rsid wsp:val=&quot;003F74C6&quot;/&gt;&lt;wsp:rsid wsp:val=&quot;004005A8&quot;/&gt;&lt;wsp:rsid wsp:val=&quot;00400A37&quot;/&gt;&lt;wsp:rsid wsp:val=&quot;00400AFA&quot;/&gt;&lt;wsp:rsid wsp:val=&quot;00400C3F&quot;/&gt;&lt;wsp:rsid wsp:val=&quot;004010B5&quot;/&gt;&lt;wsp:rsid wsp:val=&quot;00401379&quot;/&gt;&lt;wsp:rsid wsp:val=&quot;0040162A&quot;/&gt;&lt;wsp:rsid wsp:val=&quot;00401B3F&quot;/&gt;&lt;wsp:rsid wsp:val=&quot;00401C3F&quot;/&gt;&lt;wsp:rsid wsp:val=&quot;00401CBE&quot;/&gt;&lt;wsp:rsid wsp:val=&quot;00401ED2&quot;/&gt;&lt;wsp:rsid wsp:val=&quot;004020A0&quot;/&gt;&lt;wsp:rsid wsp:val=&quot;004021C4&quot;/&gt;&lt;wsp:rsid wsp:val=&quot;00402856&quot;/&gt;&lt;wsp:rsid wsp:val=&quot;00402969&quot;/&gt;&lt;wsp:rsid wsp:val=&quot;00402AEC&quot;/&gt;&lt;wsp:rsid wsp:val=&quot;00402CB6&quot;/&gt;&lt;wsp:rsid wsp:val=&quot;0040361F&quot;/&gt;&lt;wsp:rsid wsp:val=&quot;00403626&quot;/&gt;&lt;wsp:rsid wsp:val=&quot;004036BA&quot;/&gt;&lt;wsp:rsid wsp:val=&quot;004039C4&quot;/&gt;&lt;wsp:rsid wsp:val=&quot;00403C46&quot;/&gt;&lt;wsp:rsid wsp:val=&quot;00403D0A&quot;/&gt;&lt;wsp:rsid wsp:val=&quot;00404C45&quot;/&gt;&lt;wsp:rsid wsp:val=&quot;00404DC9&quot;/&gt;&lt;wsp:rsid wsp:val=&quot;004051CA&quot;/&gt;&lt;wsp:rsid wsp:val=&quot;00406D8A&quot;/&gt;&lt;wsp:rsid wsp:val=&quot;00406E81&quot;/&gt;&lt;wsp:rsid wsp:val=&quot;004071F6&quot;/&gt;&lt;wsp:rsid wsp:val=&quot;0040741C&quot;/&gt;&lt;wsp:rsid wsp:val=&quot;0040755A&quot;/&gt;&lt;wsp:rsid wsp:val=&quot;0040762B&quot;/&gt;&lt;wsp:rsid wsp:val=&quot;00407C9E&quot;/&gt;&lt;wsp:rsid wsp:val=&quot;00407F35&quot;/&gt;&lt;wsp:rsid wsp:val=&quot;00410432&quot;/&gt;&lt;wsp:rsid wsp:val=&quot;004104EA&quot;/&gt;&lt;wsp:rsid wsp:val=&quot;004108D3&quot;/&gt;&lt;wsp:rsid wsp:val=&quot;004108ED&quot;/&gt;&lt;wsp:rsid wsp:val=&quot;0041093F&quot;/&gt;&lt;wsp:rsid wsp:val=&quot;004109C3&quot;/&gt;&lt;wsp:rsid wsp:val=&quot;00410F77&quot;/&gt;&lt;wsp:rsid wsp:val=&quot;00410F93&quot;/&gt;&lt;wsp:rsid wsp:val=&quot;0041185E&quot;/&gt;&lt;wsp:rsid wsp:val=&quot;00411D81&quot;/&gt;&lt;wsp:rsid wsp:val=&quot;004120BA&quot;/&gt;&lt;wsp:rsid wsp:val=&quot;004124CD&quot;/&gt;&lt;wsp:rsid wsp:val=&quot;00412C60&quot;/&gt;&lt;wsp:rsid wsp:val=&quot;00412E49&quot;/&gt;&lt;wsp:rsid wsp:val=&quot;004130C1&quot;/&gt;&lt;wsp:rsid wsp:val=&quot;0041366A&quot;/&gt;&lt;wsp:rsid wsp:val=&quot;00414118&quot;/&gt;&lt;wsp:rsid wsp:val=&quot;00414294&quot;/&gt;&lt;wsp:rsid wsp:val=&quot;004148C3&quot;/&gt;&lt;wsp:rsid wsp:val=&quot;00415518&quot;/&gt;&lt;wsp:rsid wsp:val=&quot;00415A11&quot;/&gt;&lt;wsp:rsid wsp:val=&quot;004162B9&quot;/&gt;&lt;wsp:rsid wsp:val=&quot;00416C1B&quot;/&gt;&lt;wsp:rsid wsp:val=&quot;00416E4F&quot;/&gt;&lt;wsp:rsid wsp:val=&quot;0041740C&quot;/&gt;&lt;wsp:rsid wsp:val=&quot;004174A9&quot;/&gt;&lt;wsp:rsid wsp:val=&quot;00417C96&quot;/&gt;&lt;wsp:rsid wsp:val=&quot;004200CF&quot;/&gt;&lt;wsp:rsid wsp:val=&quot;0042057C&quot;/&gt;&lt;wsp:rsid wsp:val=&quot;0042064C&quot;/&gt;&lt;wsp:rsid wsp:val=&quot;00420C05&quot;/&gt;&lt;wsp:rsid wsp:val=&quot;00420EC9&quot;/&gt;&lt;wsp:rsid wsp:val=&quot;004212AF&quot;/&gt;&lt;wsp:rsid wsp:val=&quot;0042154E&quot;/&gt;&lt;wsp:rsid wsp:val=&quot;004215C3&quot;/&gt;&lt;wsp:rsid wsp:val=&quot;0042189B&quot;/&gt;&lt;wsp:rsid wsp:val=&quot;004221C3&quot;/&gt;&lt;wsp:rsid wsp:val=&quot;00422753&quot;/&gt;&lt;wsp:rsid wsp:val=&quot;0042329E&quot;/&gt;&lt;wsp:rsid wsp:val=&quot;00423660&quot;/&gt;&lt;wsp:rsid wsp:val=&quot;0042383C&quot;/&gt;&lt;wsp:rsid wsp:val=&quot;00423AFB&quot;/&gt;&lt;wsp:rsid wsp:val=&quot;00423B21&quot;/&gt;&lt;wsp:rsid wsp:val=&quot;004240F8&quot;/&gt;&lt;wsp:rsid wsp:val=&quot;004242FF&quot;/&gt;&lt;wsp:rsid wsp:val=&quot;0042473A&quot;/&gt;&lt;wsp:rsid wsp:val=&quot;0042491C&quot;/&gt;&lt;wsp:rsid wsp:val=&quot;00424B0A&quot;/&gt;&lt;wsp:rsid wsp:val=&quot;00424C9A&quot;/&gt;&lt;wsp:rsid wsp:val=&quot;00424CE5&quot;/&gt;&lt;wsp:rsid wsp:val=&quot;00424E79&quot;/&gt;&lt;wsp:rsid wsp:val=&quot;00424E99&quot;/&gt;&lt;wsp:rsid wsp:val=&quot;004256A8&quot;/&gt;&lt;wsp:rsid wsp:val=&quot;00425974&quot;/&gt;&lt;wsp:rsid wsp:val=&quot;00425A4F&quot;/&gt;&lt;wsp:rsid wsp:val=&quot;00425F59&quot;/&gt;&lt;wsp:rsid wsp:val=&quot;00426044&quot;/&gt;&lt;wsp:rsid wsp:val=&quot;0042636D&quot;/&gt;&lt;wsp:rsid wsp:val=&quot;00426515&quot;/&gt;&lt;wsp:rsid wsp:val=&quot;00426ECA&quot;/&gt;&lt;wsp:rsid wsp:val=&quot;00426EFC&quot;/&gt;&lt;wsp:rsid wsp:val=&quot;0042715E&quot;/&gt;&lt;wsp:rsid wsp:val=&quot;00427BEA&quot;/&gt;&lt;wsp:rsid wsp:val=&quot;00427E0D&quot;/&gt;&lt;wsp:rsid wsp:val=&quot;00430247&quot;/&gt;&lt;wsp:rsid wsp:val=&quot;00430AA7&quot;/&gt;&lt;wsp:rsid wsp:val=&quot;004310F4&quot;/&gt;&lt;wsp:rsid wsp:val=&quot;00431695&quot;/&gt;&lt;wsp:rsid wsp:val=&quot;00431D0F&quot;/&gt;&lt;wsp:rsid wsp:val=&quot;00431DE3&quot;/&gt;&lt;wsp:rsid wsp:val=&quot;004329C4&quot;/&gt;&lt;wsp:rsid wsp:val=&quot;00432C8C&quot;/&gt;&lt;wsp:rsid wsp:val=&quot;00432D23&quot;/&gt;&lt;wsp:rsid wsp:val=&quot;00432FFF&quot;/&gt;&lt;wsp:rsid wsp:val=&quot;0043317A&quot;/&gt;&lt;wsp:rsid wsp:val=&quot;00433F0A&quot;/&gt;&lt;wsp:rsid wsp:val=&quot;0043422B&quot;/&gt;&lt;wsp:rsid wsp:val=&quot;00434443&quot;/&gt;&lt;wsp:rsid wsp:val=&quot;00434808&quot;/&gt;&lt;wsp:rsid wsp:val=&quot;00434B31&quot;/&gt;&lt;wsp:rsid wsp:val=&quot;00434BDF&quot;/&gt;&lt;wsp:rsid wsp:val=&quot;00434EC5&quot;/&gt;&lt;wsp:rsid wsp:val=&quot;00435A71&quot;/&gt;&lt;wsp:rsid wsp:val=&quot;00435D27&quot;/&gt;&lt;wsp:rsid wsp:val=&quot;004362DB&quot;/&gt;&lt;wsp:rsid wsp:val=&quot;004365BA&quot;/&gt;&lt;wsp:rsid wsp:val=&quot;0043687B&quot;/&gt;&lt;wsp:rsid wsp:val=&quot;00436AC9&quot;/&gt;&lt;wsp:rsid wsp:val=&quot;00436B91&quot;/&gt;&lt;wsp:rsid wsp:val=&quot;00436D6C&quot;/&gt;&lt;wsp:rsid wsp:val=&quot;00436E2B&quot;/&gt;&lt;wsp:rsid wsp:val=&quot;0043792E&quot;/&gt;&lt;wsp:rsid wsp:val=&quot;00437C63&quot;/&gt;&lt;wsp:rsid wsp:val=&quot;00437D5C&quot;/&gt;&lt;wsp:rsid wsp:val=&quot;00437D87&quot;/&gt;&lt;wsp:rsid wsp:val=&quot;00437DDF&quot;/&gt;&lt;wsp:rsid wsp:val=&quot;00440677&quot;/&gt;&lt;wsp:rsid wsp:val=&quot;00440861&quot;/&gt;&lt;wsp:rsid wsp:val=&quot;00440930&quot;/&gt;&lt;wsp:rsid wsp:val=&quot;00440B32&quot;/&gt;&lt;wsp:rsid wsp:val=&quot;00440BD8&quot;/&gt;&lt;wsp:rsid wsp:val=&quot;00440BF6&quot;/&gt;&lt;wsp:rsid wsp:val=&quot;00440D33&quot;/&gt;&lt;wsp:rsid wsp:val=&quot;004413CB&quot;/&gt;&lt;wsp:rsid wsp:val=&quot;004416DF&quot;/&gt;&lt;wsp:rsid wsp:val=&quot;004417EE&quot;/&gt;&lt;wsp:rsid wsp:val=&quot;00442221&quot;/&gt;&lt;wsp:rsid wsp:val=&quot;0044225D&quot;/&gt;&lt;wsp:rsid wsp:val=&quot;00442366&quot;/&gt;&lt;wsp:rsid wsp:val=&quot;004429A1&quot;/&gt;&lt;wsp:rsid wsp:val=&quot;00442A13&quot;/&gt;&lt;wsp:rsid wsp:val=&quot;00442ABB&quot;/&gt;&lt;wsp:rsid wsp:val=&quot;00442F05&quot;/&gt;&lt;wsp:rsid wsp:val=&quot;00443190&quot;/&gt;&lt;wsp:rsid wsp:val=&quot;004440FE&quot;/&gt;&lt;wsp:rsid wsp:val=&quot;00444225&quot;/&gt;&lt;wsp:rsid wsp:val=&quot;0044488D&quot;/&gt;&lt;wsp:rsid wsp:val=&quot;00444B7A&quot;/&gt;&lt;wsp:rsid wsp:val=&quot;00444CE5&quot;/&gt;&lt;wsp:rsid wsp:val=&quot;00444EC6&quot;/&gt;&lt;wsp:rsid wsp:val=&quot;00445133&quot;/&gt;&lt;wsp:rsid wsp:val=&quot;0044536C&quot;/&gt;&lt;wsp:rsid wsp:val=&quot;00445455&quot;/&gt;&lt;wsp:rsid wsp:val=&quot;00445703&quot;/&gt;&lt;wsp:rsid wsp:val=&quot;0044592E&quot;/&gt;&lt;wsp:rsid wsp:val=&quot;00445D3B&quot;/&gt;&lt;wsp:rsid wsp:val=&quot;00445E42&quot;/&gt;&lt;wsp:rsid wsp:val=&quot;00446329&quot;/&gt;&lt;wsp:rsid wsp:val=&quot;004466B3&quot;/&gt;&lt;wsp:rsid wsp:val=&quot;00446B81&quot;/&gt;&lt;wsp:rsid wsp:val=&quot;00447014&quot;/&gt;&lt;wsp:rsid wsp:val=&quot;00447562&quot;/&gt;&lt;wsp:rsid wsp:val=&quot;0044768E&quot;/&gt;&lt;wsp:rsid wsp:val=&quot;00447ADE&quot;/&gt;&lt;wsp:rsid wsp:val=&quot;00447D23&quot;/&gt;&lt;wsp:rsid wsp:val=&quot;00447D9F&quot;/&gt;&lt;wsp:rsid wsp:val=&quot;00450174&quot;/&gt;&lt;wsp:rsid wsp:val=&quot;00450203&quot;/&gt;&lt;wsp:rsid wsp:val=&quot;00450340&quot;/&gt;&lt;wsp:rsid wsp:val=&quot;00450364&quot;/&gt;&lt;wsp:rsid wsp:val=&quot;004509B5&quot;/&gt;&lt;wsp:rsid wsp:val=&quot;00450CB4&quot;/&gt;&lt;wsp:rsid wsp:val=&quot;00451283&quot;/&gt;&lt;wsp:rsid wsp:val=&quot;0045136F&quot;/&gt;&lt;wsp:rsid wsp:val=&quot;0045146A&quot;/&gt;&lt;wsp:rsid wsp:val=&quot;004516A3&quot;/&gt;&lt;wsp:rsid wsp:val=&quot;00451F41&quot;/&gt;&lt;wsp:rsid wsp:val=&quot;0045218D&quot;/&gt;&lt;wsp:rsid wsp:val=&quot;0045249D&quot;/&gt;&lt;wsp:rsid wsp:val=&quot;004524A6&quot;/&gt;&lt;wsp:rsid wsp:val=&quot;00452662&quot;/&gt;&lt;wsp:rsid wsp:val=&quot;004527A7&quot;/&gt;&lt;wsp:rsid wsp:val=&quot;004527D5&quot;/&gt;&lt;wsp:rsid wsp:val=&quot;00452930&quot;/&gt;&lt;wsp:rsid wsp:val=&quot;00452C86&quot;/&gt;&lt;wsp:rsid wsp:val=&quot;00452D6D&quot;/&gt;&lt;wsp:rsid wsp:val=&quot;00452DDA&quot;/&gt;&lt;wsp:rsid wsp:val=&quot;00452E22&quot;/&gt;&lt;wsp:rsid wsp:val=&quot;00453012&quot;/&gt;&lt;wsp:rsid wsp:val=&quot;00453457&quot;/&gt;&lt;wsp:rsid wsp:val=&quot;004539FA&quot;/&gt;&lt;wsp:rsid wsp:val=&quot;004541FF&quot;/&gt;&lt;wsp:rsid wsp:val=&quot;00454275&quot;/&gt;&lt;wsp:rsid wsp:val=&quot;004544A0&quot;/&gt;&lt;wsp:rsid wsp:val=&quot;00454674&quot;/&gt;&lt;wsp:rsid wsp:val=&quot;0045475F&quot;/&gt;&lt;wsp:rsid wsp:val=&quot;00454CFD&quot;/&gt;&lt;wsp:rsid wsp:val=&quot;00454D3C&quot;/&gt;&lt;wsp:rsid wsp:val=&quot;00454F93&quot;/&gt;&lt;wsp:rsid wsp:val=&quot;00455A0B&quot;/&gt;&lt;wsp:rsid wsp:val=&quot;00455CB6&quot;/&gt;&lt;wsp:rsid wsp:val=&quot;00456627&quot;/&gt;&lt;wsp:rsid wsp:val=&quot;0045675A&quot;/&gt;&lt;wsp:rsid wsp:val=&quot;00456FB8&quot;/&gt;&lt;wsp:rsid wsp:val=&quot;004573F6&quot;/&gt;&lt;wsp:rsid wsp:val=&quot;004574DB&quot;/&gt;&lt;wsp:rsid wsp:val=&quot;0045778F&quot;/&gt;&lt;wsp:rsid wsp:val=&quot;004578AE&quot;/&gt;&lt;wsp:rsid wsp:val=&quot;0045795A&quot;/&gt;&lt;wsp:rsid wsp:val=&quot;00457F3D&quot;/&gt;&lt;wsp:rsid wsp:val=&quot;00457F84&quot;/&gt;&lt;wsp:rsid wsp:val=&quot;004607E8&quot;/&gt;&lt;wsp:rsid wsp:val=&quot;00460B73&quot;/&gt;&lt;wsp:rsid wsp:val=&quot;004610FE&quot;/&gt;&lt;wsp:rsid wsp:val=&quot;004614B9&quot;/&gt;&lt;wsp:rsid wsp:val=&quot;004614FC&quot;/&gt;&lt;wsp:rsid wsp:val=&quot;0046164E&quot;/&gt;&lt;wsp:rsid wsp:val=&quot;00461876&quot;/&gt;&lt;wsp:rsid wsp:val=&quot;00461B62&quot;/&gt;&lt;wsp:rsid wsp:val=&quot;00461D2C&quot;/&gt;&lt;wsp:rsid wsp:val=&quot;00462009&quot;/&gt;&lt;wsp:rsid wsp:val=&quot;00462727&quot;/&gt;&lt;wsp:rsid wsp:val=&quot;00463278&quot;/&gt;&lt;wsp:rsid wsp:val=&quot;0046339C&quot;/&gt;&lt;wsp:rsid wsp:val=&quot;00463797&quot;/&gt;&lt;wsp:rsid wsp:val=&quot;00463FAF&quot;/&gt;&lt;wsp:rsid wsp:val=&quot;0046406F&quot;/&gt;&lt;wsp:rsid wsp:val=&quot;00464678&quot;/&gt;&lt;wsp:rsid wsp:val=&quot;004648F8&quot;/&gt;&lt;wsp:rsid wsp:val=&quot;00464E99&quot;/&gt;&lt;wsp:rsid wsp:val=&quot;00465242&quot;/&gt;&lt;wsp:rsid wsp:val=&quot;00465380&quot;/&gt;&lt;wsp:rsid wsp:val=&quot;004655AD&quot;/&gt;&lt;wsp:rsid wsp:val=&quot;004655EA&quot;/&gt;&lt;wsp:rsid wsp:val=&quot;00465C90&quot;/&gt;&lt;wsp:rsid wsp:val=&quot;00465FB1&quot;/&gt;&lt;wsp:rsid wsp:val=&quot;0046676E&quot;/&gt;&lt;wsp:rsid wsp:val=&quot;004667A7&quot;/&gt;&lt;wsp:rsid wsp:val=&quot;004669F7&quot;/&gt;&lt;wsp:rsid wsp:val=&quot;00466A1D&quot;/&gt;&lt;wsp:rsid wsp:val=&quot;00466A86&quot;/&gt;&lt;wsp:rsid wsp:val=&quot;004679AF&quot;/&gt;&lt;wsp:rsid wsp:val=&quot;00470384&quot;/&gt;&lt;wsp:rsid wsp:val=&quot;0047038D&quot;/&gt;&lt;wsp:rsid wsp:val=&quot;00470AFA&quot;/&gt;&lt;wsp:rsid wsp:val=&quot;00470B71&quot;/&gt;&lt;wsp:rsid wsp:val=&quot;00470D31&quot;/&gt;&lt;wsp:rsid wsp:val=&quot;0047100F&quot;/&gt;&lt;wsp:rsid wsp:val=&quot;00471592&quot;/&gt;&lt;wsp:rsid wsp:val=&quot;00471B17&quot;/&gt;&lt;wsp:rsid wsp:val=&quot;00471E6B&quot;/&gt;&lt;wsp:rsid wsp:val=&quot;004724C8&quot;/&gt;&lt;wsp:rsid wsp:val=&quot;0047275C&quot;/&gt;&lt;wsp:rsid wsp:val=&quot;004728FC&quot;/&gt;&lt;wsp:rsid wsp:val=&quot;00472A0A&quot;/&gt;&lt;wsp:rsid wsp:val=&quot;00473C80&quot;/&gt;&lt;wsp:rsid wsp:val=&quot;00473D47&quot;/&gt;&lt;wsp:rsid wsp:val=&quot;00474020&quot;/&gt;&lt;wsp:rsid wsp:val=&quot;004741B2&quot;/&gt;&lt;wsp:rsid wsp:val=&quot;00474ED9&quot;/&gt;&lt;wsp:rsid wsp:val=&quot;004757BD&quot;/&gt;&lt;wsp:rsid wsp:val=&quot;00476AC4&quot;/&gt;&lt;wsp:rsid wsp:val=&quot;00476CD2&quot;/&gt;&lt;wsp:rsid wsp:val=&quot;004770B2&quot;/&gt;&lt;wsp:rsid wsp:val=&quot;004773E1&quot;/&gt;&lt;wsp:rsid wsp:val=&quot;00477C36&quot;/&gt;&lt;wsp:rsid wsp:val=&quot;00477CA7&quot;/&gt;&lt;wsp:rsid wsp:val=&quot;0048060E&quot;/&gt;&lt;wsp:rsid wsp:val=&quot;00480901&quot;/&gt;&lt;wsp:rsid wsp:val=&quot;00480B77&quot;/&gt;&lt;wsp:rsid wsp:val=&quot;00480C02&quot;/&gt;&lt;wsp:rsid wsp:val=&quot;00480D65&quot;/&gt;&lt;wsp:rsid wsp:val=&quot;00480EE5&quot;/&gt;&lt;wsp:rsid wsp:val=&quot;00480F83&quot;/&gt;&lt;wsp:rsid wsp:val=&quot;00481108&quot;/&gt;&lt;wsp:rsid wsp:val=&quot;00481B71&quot;/&gt;&lt;wsp:rsid wsp:val=&quot;00481C0C&quot;/&gt;&lt;wsp:rsid wsp:val=&quot;00481CBF&quot;/&gt;&lt;wsp:rsid wsp:val=&quot;00481CE1&quot;/&gt;&lt;wsp:rsid wsp:val=&quot;004826A1&quot;/&gt;&lt;wsp:rsid wsp:val=&quot;004828B9&quot;/&gt;&lt;wsp:rsid wsp:val=&quot;00482CB2&quot;/&gt;&lt;wsp:rsid wsp:val=&quot;00482D86&quot;/&gt;&lt;wsp:rsid wsp:val=&quot;00482E10&quot;/&gt;&lt;wsp:rsid wsp:val=&quot;004831BB&quot;/&gt;&lt;wsp:rsid wsp:val=&quot;00483628&quot;/&gt;&lt;wsp:rsid wsp:val=&quot;00483C15&quot;/&gt;&lt;wsp:rsid wsp:val=&quot;00484912&quot;/&gt;&lt;wsp:rsid wsp:val=&quot;00484B57&quot;/&gt;&lt;wsp:rsid wsp:val=&quot;00484DA2&quot;/&gt;&lt;wsp:rsid wsp:val=&quot;00485032&quot;/&gt;&lt;wsp:rsid wsp:val=&quot;004853D5&quot;/&gt;&lt;wsp:rsid wsp:val=&quot;00485410&quot;/&gt;&lt;wsp:rsid wsp:val=&quot;004855E7&quot;/&gt;&lt;wsp:rsid wsp:val=&quot;00485696&quot;/&gt;&lt;wsp:rsid wsp:val=&quot;00485BDA&quot;/&gt;&lt;wsp:rsid wsp:val=&quot;00485D76&quot;/&gt;&lt;wsp:rsid wsp:val=&quot;00486003&quot;/&gt;&lt;wsp:rsid wsp:val=&quot;00486231&quot;/&gt;&lt;wsp:rsid wsp:val=&quot;0048639C&quot;/&gt;&lt;wsp:rsid wsp:val=&quot;00486773&quot;/&gt;&lt;wsp:rsid wsp:val=&quot;004868B9&quot;/&gt;&lt;wsp:rsid wsp:val=&quot;004868BF&quot;/&gt;&lt;wsp:rsid wsp:val=&quot;00486A13&quot;/&gt;&lt;wsp:rsid wsp:val=&quot;00486C40&quot;/&gt;&lt;wsp:rsid wsp:val=&quot;00486D29&quot;/&gt;&lt;wsp:rsid wsp:val=&quot;00486D46&quot;/&gt;&lt;wsp:rsid wsp:val=&quot;00486F24&quot;/&gt;&lt;wsp:rsid wsp:val=&quot;00487586&quot;/&gt;&lt;wsp:rsid wsp:val=&quot;00487973&quot;/&gt;&lt;wsp:rsid wsp:val=&quot;00487CA3&quot;/&gt;&lt;wsp:rsid wsp:val=&quot;00487CE5&quot;/&gt;&lt;wsp:rsid wsp:val=&quot;00487D73&quot;/&gt;&lt;wsp:rsid wsp:val=&quot;00487FA9&quot;/&gt;&lt;wsp:rsid wsp:val=&quot;0049088E&quot;/&gt;&lt;wsp:rsid wsp:val=&quot;00490D82&quot;/&gt;&lt;wsp:rsid wsp:val=&quot;00491C17&quot;/&gt;&lt;wsp:rsid wsp:val=&quot;00491F89&quot;/&gt;&lt;wsp:rsid wsp:val=&quot;0049206E&quot;/&gt;&lt;wsp:rsid wsp:val=&quot;004920FD&quot;/&gt;&lt;wsp:rsid wsp:val=&quot;00492332&quot;/&gt;&lt;wsp:rsid wsp:val=&quot;00492534&quot;/&gt;&lt;wsp:rsid wsp:val=&quot;0049260C&quot;/&gt;&lt;wsp:rsid wsp:val=&quot;00492621&quot;/&gt;&lt;wsp:rsid wsp:val=&quot;00492A4C&quot;/&gt;&lt;wsp:rsid wsp:val=&quot;00492DB6&quot;/&gt;&lt;wsp:rsid wsp:val=&quot;0049307E&quot;/&gt;&lt;wsp:rsid wsp:val=&quot;00493471&quot;/&gt;&lt;wsp:rsid wsp:val=&quot;00493792&quot;/&gt;&lt;wsp:rsid wsp:val=&quot;00493A85&quot;/&gt;&lt;wsp:rsid wsp:val=&quot;00493AAD&quot;/&gt;&lt;wsp:rsid wsp:val=&quot;00494091&quot;/&gt;&lt;wsp:rsid wsp:val=&quot;0049422C&quot;/&gt;&lt;wsp:rsid wsp:val=&quot;00494362&quot;/&gt;&lt;wsp:rsid wsp:val=&quot;004943DA&quot;/&gt;&lt;wsp:rsid wsp:val=&quot;004943FD&quot;/&gt;&lt;wsp:rsid wsp:val=&quot;004949B0&quot;/&gt;&lt;wsp:rsid wsp:val=&quot;004956F1&quot;/&gt;&lt;wsp:rsid wsp:val=&quot;004957D9&quot;/&gt;&lt;wsp:rsid wsp:val=&quot;0049598A&quot;/&gt;&lt;wsp:rsid wsp:val=&quot;00495B3A&quot;/&gt;&lt;wsp:rsid wsp:val=&quot;00495B8F&quot;/&gt;&lt;wsp:rsid wsp:val=&quot;004966DE&quot;/&gt;&lt;wsp:rsid wsp:val=&quot;00496931&quot;/&gt;&lt;wsp:rsid wsp:val=&quot;00496A2C&quot;/&gt;&lt;wsp:rsid wsp:val=&quot;004972A3&quot;/&gt;&lt;wsp:rsid wsp:val=&quot;0049753E&quot;/&gt;&lt;wsp:rsid wsp:val=&quot;004976B4&quot;/&gt;&lt;wsp:rsid wsp:val=&quot;00497709&quot;/&gt;&lt;wsp:rsid wsp:val=&quot;00497742&quot;/&gt;&lt;wsp:rsid wsp:val=&quot;00497AB6&quot;/&gt;&lt;wsp:rsid wsp:val=&quot;004A0BC1&quot;/&gt;&lt;wsp:rsid wsp:val=&quot;004A0C28&quot;/&gt;&lt;wsp:rsid wsp:val=&quot;004A0D7A&quot;/&gt;&lt;wsp:rsid wsp:val=&quot;004A0F58&quot;/&gt;&lt;wsp:rsid wsp:val=&quot;004A121B&quot;/&gt;&lt;wsp:rsid wsp:val=&quot;004A1236&quot;/&gt;&lt;wsp:rsid wsp:val=&quot;004A1775&quot;/&gt;&lt;wsp:rsid wsp:val=&quot;004A18DC&quot;/&gt;&lt;wsp:rsid wsp:val=&quot;004A1CD3&quot;/&gt;&lt;wsp:rsid wsp:val=&quot;004A1F12&quot;/&gt;&lt;wsp:rsid wsp:val=&quot;004A226D&quot;/&gt;&lt;wsp:rsid wsp:val=&quot;004A2379&quot;/&gt;&lt;wsp:rsid wsp:val=&quot;004A25BA&quot;/&gt;&lt;wsp:rsid wsp:val=&quot;004A26FF&quot;/&gt;&lt;wsp:rsid wsp:val=&quot;004A2DD1&quot;/&gt;&lt;wsp:rsid wsp:val=&quot;004A3143&quot;/&gt;&lt;wsp:rsid wsp:val=&quot;004A3375&quot;/&gt;&lt;wsp:rsid wsp:val=&quot;004A35DF&quot;/&gt;&lt;wsp:rsid wsp:val=&quot;004A3887&quot;/&gt;&lt;wsp:rsid wsp:val=&quot;004A3908&quot;/&gt;&lt;wsp:rsid wsp:val=&quot;004A422A&quot;/&gt;&lt;wsp:rsid wsp:val=&quot;004A4948&quot;/&gt;&lt;wsp:rsid wsp:val=&quot;004A4D3A&quot;/&gt;&lt;wsp:rsid wsp:val=&quot;004A5087&quot;/&gt;&lt;wsp:rsid wsp:val=&quot;004A51C5&quot;/&gt;&lt;wsp:rsid wsp:val=&quot;004A58A6&quot;/&gt;&lt;wsp:rsid wsp:val=&quot;004A6098&quot;/&gt;&lt;wsp:rsid wsp:val=&quot;004A6E39&quot;/&gt;&lt;wsp:rsid wsp:val=&quot;004A768B&quot;/&gt;&lt;wsp:rsid wsp:val=&quot;004A76BA&quot;/&gt;&lt;wsp:rsid wsp:val=&quot;004B0276&quot;/&gt;&lt;wsp:rsid wsp:val=&quot;004B0B89&quot;/&gt;&lt;wsp:rsid wsp:val=&quot;004B1162&quot;/&gt;&lt;wsp:rsid wsp:val=&quot;004B16E6&quot;/&gt;&lt;wsp:rsid wsp:val=&quot;004B1795&quot;/&gt;&lt;wsp:rsid wsp:val=&quot;004B1838&quot;/&gt;&lt;wsp:rsid wsp:val=&quot;004B1A61&quot;/&gt;&lt;wsp:rsid wsp:val=&quot;004B1C79&quot;/&gt;&lt;wsp:rsid wsp:val=&quot;004B1CBC&quot;/&gt;&lt;wsp:rsid wsp:val=&quot;004B1E99&quot;/&gt;&lt;wsp:rsid wsp:val=&quot;004B220C&quot;/&gt;&lt;wsp:rsid wsp:val=&quot;004B2AF4&quot;/&gt;&lt;wsp:rsid wsp:val=&quot;004B2DB5&quot;/&gt;&lt;wsp:rsid wsp:val=&quot;004B3292&quot;/&gt;&lt;wsp:rsid wsp:val=&quot;004B4072&quot;/&gt;&lt;wsp:rsid wsp:val=&quot;004B506E&quot;/&gt;&lt;wsp:rsid wsp:val=&quot;004B516B&quot;/&gt;&lt;wsp:rsid wsp:val=&quot;004B52F0&quot;/&gt;&lt;wsp:rsid wsp:val=&quot;004B562E&quot;/&gt;&lt;wsp:rsid wsp:val=&quot;004B589A&quot;/&gt;&lt;wsp:rsid wsp:val=&quot;004B6014&quot;/&gt;&lt;wsp:rsid wsp:val=&quot;004B62D7&quot;/&gt;&lt;wsp:rsid wsp:val=&quot;004B6394&quot;/&gt;&lt;wsp:rsid wsp:val=&quot;004B6F1D&quot;/&gt;&lt;wsp:rsid wsp:val=&quot;004B7A0F&quot;/&gt;&lt;wsp:rsid wsp:val=&quot;004B7A91&quot;/&gt;&lt;wsp:rsid wsp:val=&quot;004C01B3&quot;/&gt;&lt;wsp:rsid wsp:val=&quot;004C0561&quot;/&gt;&lt;wsp:rsid wsp:val=&quot;004C0887&quot;/&gt;&lt;wsp:rsid wsp:val=&quot;004C0AF3&quot;/&gt;&lt;wsp:rsid wsp:val=&quot;004C10C0&quot;/&gt;&lt;wsp:rsid wsp:val=&quot;004C13DD&quot;/&gt;&lt;wsp:rsid wsp:val=&quot;004C15AF&quot;/&gt;&lt;wsp:rsid wsp:val=&quot;004C1706&quot;/&gt;&lt;wsp:rsid wsp:val=&quot;004C176B&quot;/&gt;&lt;wsp:rsid wsp:val=&quot;004C1814&quot;/&gt;&lt;wsp:rsid wsp:val=&quot;004C1C77&quot;/&gt;&lt;wsp:rsid wsp:val=&quot;004C1D6A&quot;/&gt;&lt;wsp:rsid wsp:val=&quot;004C1FF5&quot;/&gt;&lt;wsp:rsid wsp:val=&quot;004C25CD&quot;/&gt;&lt;wsp:rsid wsp:val=&quot;004C2984&quot;/&gt;&lt;wsp:rsid wsp:val=&quot;004C2A30&quot;/&gt;&lt;wsp:rsid wsp:val=&quot;004C2BFE&quot;/&gt;&lt;wsp:rsid wsp:val=&quot;004C2FF8&quot;/&gt;&lt;wsp:rsid wsp:val=&quot;004C3347&quot;/&gt;&lt;wsp:rsid wsp:val=&quot;004C3676&quot;/&gt;&lt;wsp:rsid wsp:val=&quot;004C43B5&quot;/&gt;&lt;wsp:rsid wsp:val=&quot;004C45C1&quot;/&gt;&lt;wsp:rsid wsp:val=&quot;004C4B1C&quot;/&gt;&lt;wsp:rsid wsp:val=&quot;004C4E03&quot;/&gt;&lt;wsp:rsid wsp:val=&quot;004C4F1D&quot;/&gt;&lt;wsp:rsid wsp:val=&quot;004C5167&quot;/&gt;&lt;wsp:rsid wsp:val=&quot;004C55C3&quot;/&gt;&lt;wsp:rsid wsp:val=&quot;004C5C51&quot;/&gt;&lt;wsp:rsid wsp:val=&quot;004C6280&quot;/&gt;&lt;wsp:rsid wsp:val=&quot;004C6456&quot;/&gt;&lt;wsp:rsid wsp:val=&quot;004C64A5&quot;/&gt;&lt;wsp:rsid wsp:val=&quot;004C6512&quot;/&gt;&lt;wsp:rsid wsp:val=&quot;004C6865&quot;/&gt;&lt;wsp:rsid wsp:val=&quot;004C6B07&quot;/&gt;&lt;wsp:rsid wsp:val=&quot;004C6B0D&quot;/&gt;&lt;wsp:rsid wsp:val=&quot;004C6D01&quot;/&gt;&lt;wsp:rsid wsp:val=&quot;004C72A7&quot;/&gt;&lt;wsp:rsid wsp:val=&quot;004C7E8C&quot;/&gt;&lt;wsp:rsid wsp:val=&quot;004D01B0&quot;/&gt;&lt;wsp:rsid wsp:val=&quot;004D07D5&quot;/&gt;&lt;wsp:rsid wsp:val=&quot;004D140B&quot;/&gt;&lt;wsp:rsid wsp:val=&quot;004D14FA&quot;/&gt;&lt;wsp:rsid wsp:val=&quot;004D18CC&quot;/&gt;&lt;wsp:rsid wsp:val=&quot;004D1914&quot;/&gt;&lt;wsp:rsid wsp:val=&quot;004D1DAE&quot;/&gt;&lt;wsp:rsid wsp:val=&quot;004D1F0F&quot;/&gt;&lt;wsp:rsid wsp:val=&quot;004D21FB&quot;/&gt;&lt;wsp:rsid wsp:val=&quot;004D2B1E&quot;/&gt;&lt;wsp:rsid wsp:val=&quot;004D2C3E&quot;/&gt;&lt;wsp:rsid wsp:val=&quot;004D2D7B&quot;/&gt;&lt;wsp:rsid wsp:val=&quot;004D36E3&quot;/&gt;&lt;wsp:rsid wsp:val=&quot;004D3D12&quot;/&gt;&lt;wsp:rsid wsp:val=&quot;004D4363&quot;/&gt;&lt;wsp:rsid wsp:val=&quot;004D450F&quot;/&gt;&lt;wsp:rsid wsp:val=&quot;004D4A78&quot;/&gt;&lt;wsp:rsid wsp:val=&quot;004D4BE6&quot;/&gt;&lt;wsp:rsid wsp:val=&quot;004D4DEC&quot;/&gt;&lt;wsp:rsid wsp:val=&quot;004D51A9&quot;/&gt;&lt;wsp:rsid wsp:val=&quot;004D53FC&quot;/&gt;&lt;wsp:rsid wsp:val=&quot;004D5525&quot;/&gt;&lt;wsp:rsid wsp:val=&quot;004D5998&quot;/&gt;&lt;wsp:rsid wsp:val=&quot;004D5FAF&quot;/&gt;&lt;wsp:rsid wsp:val=&quot;004D627F&quot;/&gt;&lt;wsp:rsid wsp:val=&quot;004D64E1&quot;/&gt;&lt;wsp:rsid wsp:val=&quot;004D6743&quot;/&gt;&lt;wsp:rsid wsp:val=&quot;004D6E7D&quot;/&gt;&lt;wsp:rsid wsp:val=&quot;004D7076&quot;/&gt;&lt;wsp:rsid wsp:val=&quot;004D71FF&quot;/&gt;&lt;wsp:rsid wsp:val=&quot;004D77FF&quot;/&gt;&lt;wsp:rsid wsp:val=&quot;004D780F&quot;/&gt;&lt;wsp:rsid wsp:val=&quot;004D798F&quot;/&gt;&lt;wsp:rsid wsp:val=&quot;004D7A53&quot;/&gt;&lt;wsp:rsid wsp:val=&quot;004D7B27&quot;/&gt;&lt;wsp:rsid wsp:val=&quot;004E002D&quot;/&gt;&lt;wsp:rsid wsp:val=&quot;004E0491&quot;/&gt;&lt;wsp:rsid wsp:val=&quot;004E078D&quot;/&gt;&lt;wsp:rsid wsp:val=&quot;004E08AA&quot;/&gt;&lt;wsp:rsid wsp:val=&quot;004E0DEE&quot;/&gt;&lt;wsp:rsid wsp:val=&quot;004E1506&quot;/&gt;&lt;wsp:rsid wsp:val=&quot;004E1A41&quot;/&gt;&lt;wsp:rsid wsp:val=&quot;004E2082&quot;/&gt;&lt;wsp:rsid wsp:val=&quot;004E27A9&quot;/&gt;&lt;wsp:rsid wsp:val=&quot;004E294E&quot;/&gt;&lt;wsp:rsid wsp:val=&quot;004E2E05&quot;/&gt;&lt;wsp:rsid wsp:val=&quot;004E2EC4&quot;/&gt;&lt;wsp:rsid wsp:val=&quot;004E2FF2&quot;/&gt;&lt;wsp:rsid wsp:val=&quot;004E345E&quot;/&gt;&lt;wsp:rsid wsp:val=&quot;004E37F5&quot;/&gt;&lt;wsp:rsid wsp:val=&quot;004E3A19&quot;/&gt;&lt;wsp:rsid wsp:val=&quot;004E3E03&quot;/&gt;&lt;wsp:rsid wsp:val=&quot;004E3E26&quot;/&gt;&lt;wsp:rsid wsp:val=&quot;004E3E7C&quot;/&gt;&lt;wsp:rsid wsp:val=&quot;004E40E8&quot;/&gt;&lt;wsp:rsid wsp:val=&quot;004E439D&quot;/&gt;&lt;wsp:rsid wsp:val=&quot;004E4BD8&quot;/&gt;&lt;wsp:rsid wsp:val=&quot;004E4C68&quot;/&gt;&lt;wsp:rsid wsp:val=&quot;004E4EF9&quot;/&gt;&lt;wsp:rsid wsp:val=&quot;004E50ED&quot;/&gt;&lt;wsp:rsid wsp:val=&quot;004E577F&quot;/&gt;&lt;wsp:rsid wsp:val=&quot;004E5958&quot;/&gt;&lt;wsp:rsid wsp:val=&quot;004E638F&quot;/&gt;&lt;wsp:rsid wsp:val=&quot;004E6833&quot;/&gt;&lt;wsp:rsid wsp:val=&quot;004E7128&quot;/&gt;&lt;wsp:rsid wsp:val=&quot;004E743A&quot;/&gt;&lt;wsp:rsid wsp:val=&quot;004E76F4&quot;/&gt;&lt;wsp:rsid wsp:val=&quot;004E7AA5&quot;/&gt;&lt;wsp:rsid wsp:val=&quot;004E7D30&quot;/&gt;&lt;wsp:rsid wsp:val=&quot;004F0097&quot;/&gt;&lt;wsp:rsid wsp:val=&quot;004F1179&quot;/&gt;&lt;wsp:rsid wsp:val=&quot;004F155E&quot;/&gt;&lt;wsp:rsid wsp:val=&quot;004F2C05&quot;/&gt;&lt;wsp:rsid wsp:val=&quot;004F2C94&quot;/&gt;&lt;wsp:rsid wsp:val=&quot;004F2D5D&quot;/&gt;&lt;wsp:rsid wsp:val=&quot;004F3305&quot;/&gt;&lt;wsp:rsid wsp:val=&quot;004F3523&quot;/&gt;&lt;wsp:rsid wsp:val=&quot;004F361E&quot;/&gt;&lt;wsp:rsid wsp:val=&quot;004F39DD&quot;/&gt;&lt;wsp:rsid wsp:val=&quot;004F39FE&quot;/&gt;&lt;wsp:rsid wsp:val=&quot;004F458C&quot;/&gt;&lt;wsp:rsid wsp:val=&quot;004F46BC&quot;/&gt;&lt;wsp:rsid wsp:val=&quot;004F478F&quot;/&gt;&lt;wsp:rsid wsp:val=&quot;004F4DB5&quot;/&gt;&lt;wsp:rsid wsp:val=&quot;004F4E01&quot;/&gt;&lt;wsp:rsid wsp:val=&quot;004F4E09&quot;/&gt;&lt;wsp:rsid wsp:val=&quot;004F4F22&quot;/&gt;&lt;wsp:rsid wsp:val=&quot;004F57C7&quot;/&gt;&lt;wsp:rsid wsp:val=&quot;004F5CC0&quot;/&gt;&lt;wsp:rsid wsp:val=&quot;004F665B&quot;/&gt;&lt;wsp:rsid wsp:val=&quot;004F6D1D&quot;/&gt;&lt;wsp:rsid wsp:val=&quot;004F6E20&quot;/&gt;&lt;wsp:rsid wsp:val=&quot;004F6EB3&quot;/&gt;&lt;wsp:rsid wsp:val=&quot;004F70B1&quot;/&gt;&lt;wsp:rsid wsp:val=&quot;004F7173&quot;/&gt;&lt;wsp:rsid wsp:val=&quot;004F7691&quot;/&gt;&lt;wsp:rsid wsp:val=&quot;004F76D3&quot;/&gt;&lt;wsp:rsid wsp:val=&quot;004F78DC&quot;/&gt;&lt;wsp:rsid wsp:val=&quot;00500145&quot;/&gt;&lt;wsp:rsid wsp:val=&quot;0050017A&quot;/&gt;&lt;wsp:rsid wsp:val=&quot;00500259&quot;/&gt;&lt;wsp:rsid wsp:val=&quot;005004B4&quot;/&gt;&lt;wsp:rsid wsp:val=&quot;00500568&quot;/&gt;&lt;wsp:rsid wsp:val=&quot;0050094B&quot;/&gt;&lt;wsp:rsid wsp:val=&quot;00500C03&quot;/&gt;&lt;wsp:rsid wsp:val=&quot;005013B8&quot;/&gt;&lt;wsp:rsid wsp:val=&quot;00502103&quot;/&gt;&lt;wsp:rsid wsp:val=&quot;0050210E&quot;/&gt;&lt;wsp:rsid wsp:val=&quot;005028CC&quot;/&gt;&lt;wsp:rsid wsp:val=&quot;00502ADF&quot;/&gt;&lt;wsp:rsid wsp:val=&quot;00502B6E&quot;/&gt;&lt;wsp:rsid wsp:val=&quot;005036DC&quot;/&gt;&lt;wsp:rsid wsp:val=&quot;00503B00&quot;/&gt;&lt;wsp:rsid wsp:val=&quot;00504215&quot;/&gt;&lt;wsp:rsid wsp:val=&quot;005042B2&quot;/&gt;&lt;wsp:rsid wsp:val=&quot;00504AB4&quot;/&gt;&lt;wsp:rsid wsp:val=&quot;00504B76&quot;/&gt;&lt;wsp:rsid wsp:val=&quot;005055A3&quot;/&gt;&lt;wsp:rsid wsp:val=&quot;00505956&quot;/&gt;&lt;wsp:rsid wsp:val=&quot;0050610D&quot;/&gt;&lt;wsp:rsid wsp:val=&quot;00506538&quot;/&gt;&lt;wsp:rsid wsp:val=&quot;0050656E&quot;/&gt;&lt;wsp:rsid wsp:val=&quot;00506964&quot;/&gt;&lt;wsp:rsid wsp:val=&quot;00506BFC&quot;/&gt;&lt;wsp:rsid wsp:val=&quot;0050726E&quot;/&gt;&lt;wsp:rsid wsp:val=&quot;0050733C&quot;/&gt;&lt;wsp:rsid wsp:val=&quot;00507767&quot;/&gt;&lt;wsp:rsid wsp:val=&quot;005077B9&quot;/&gt;&lt;wsp:rsid wsp:val=&quot;0050798F&quot;/&gt;&lt;wsp:rsid wsp:val=&quot;005079FB&quot;/&gt;&lt;wsp:rsid wsp:val=&quot;00507A14&quot;/&gt;&lt;wsp:rsid wsp:val=&quot;00510308&quot;/&gt;&lt;wsp:rsid wsp:val=&quot;005109E6&quot;/&gt;&lt;wsp:rsid wsp:val=&quot;00510A8A&quot;/&gt;&lt;wsp:rsid wsp:val=&quot;00510DF1&quot;/&gt;&lt;wsp:rsid wsp:val=&quot;0051118A&quot;/&gt;&lt;wsp:rsid wsp:val=&quot;0051186A&quot;/&gt;&lt;wsp:rsid wsp:val=&quot;00511E80&quot;/&gt;&lt;wsp:rsid wsp:val=&quot;005120FF&quot;/&gt;&lt;wsp:rsid wsp:val=&quot;00512259&quot;/&gt;&lt;wsp:rsid wsp:val=&quot;0051253D&quot;/&gt;&lt;wsp:rsid wsp:val=&quot;005126F9&quot;/&gt;&lt;wsp:rsid wsp:val=&quot;00512886&quot;/&gt;&lt;wsp:rsid wsp:val=&quot;00512DE8&quot;/&gt;&lt;wsp:rsid wsp:val=&quot;005137D4&quot;/&gt;&lt;wsp:rsid wsp:val=&quot;00513BCF&quot;/&gt;&lt;wsp:rsid wsp:val=&quot;00513CFA&quot;/&gt;&lt;wsp:rsid wsp:val=&quot;00513EA3&quot;/&gt;&lt;wsp:rsid wsp:val=&quot;00514EB2&quot;/&gt;&lt;wsp:rsid wsp:val=&quot;00515100&quot;/&gt;&lt;wsp:rsid wsp:val=&quot;00515212&quot;/&gt;&lt;wsp:rsid wsp:val=&quot;0051556C&quot;/&gt;&lt;wsp:rsid wsp:val=&quot;005155DD&quot;/&gt;&lt;wsp:rsid wsp:val=&quot;00515EC2&quot;/&gt;&lt;wsp:rsid wsp:val=&quot;00515EF5&quot;/&gt;&lt;wsp:rsid wsp:val=&quot;0051603C&quot;/&gt;&lt;wsp:rsid wsp:val=&quot;00516080&quot;/&gt;&lt;wsp:rsid wsp:val=&quot;0051643F&quot;/&gt;&lt;wsp:rsid wsp:val=&quot;00516539&quot;/&gt;&lt;wsp:rsid wsp:val=&quot;00516AF7&quot;/&gt;&lt;wsp:rsid wsp:val=&quot;00516B67&quot;/&gt;&lt;wsp:rsid wsp:val=&quot;00516BD6&quot;/&gt;&lt;wsp:rsid wsp:val=&quot;00516C3A&quot;/&gt;&lt;wsp:rsid wsp:val=&quot;00516FBC&quot;/&gt;&lt;wsp:rsid wsp:val=&quot;005173B4&quot;/&gt;&lt;wsp:rsid wsp:val=&quot;005176A6&quot;/&gt;&lt;wsp:rsid wsp:val=&quot;00517A57&quot;/&gt;&lt;wsp:rsid wsp:val=&quot;00520048&quot;/&gt;&lt;wsp:rsid wsp:val=&quot;0052043B&quot;/&gt;&lt;wsp:rsid wsp:val=&quot;005204FB&quot;/&gt;&lt;wsp:rsid wsp:val=&quot;00520933&quot;/&gt;&lt;wsp:rsid wsp:val=&quot;005209BF&quot;/&gt;&lt;wsp:rsid wsp:val=&quot;005214DC&quot;/&gt;&lt;wsp:rsid wsp:val=&quot;005217B4&quot;/&gt;&lt;wsp:rsid wsp:val=&quot;0052182F&quot;/&gt;&lt;wsp:rsid wsp:val=&quot;00521ED7&quot;/&gt;&lt;wsp:rsid wsp:val=&quot;00521F58&quot;/&gt;&lt;wsp:rsid wsp:val=&quot;00521F7C&quot;/&gt;&lt;wsp:rsid wsp:val=&quot;00522051&quot;/&gt;&lt;wsp:rsid wsp:val=&quot;005226BB&quot;/&gt;&lt;wsp:rsid wsp:val=&quot;00522C19&quot;/&gt;&lt;wsp:rsid wsp:val=&quot;00522D93&quot;/&gt;&lt;wsp:rsid wsp:val=&quot;005230CE&quot;/&gt;&lt;wsp:rsid wsp:val=&quot;00523184&quot;/&gt;&lt;wsp:rsid wsp:val=&quot;005233B7&quot;/&gt;&lt;wsp:rsid wsp:val=&quot;0052361F&quot;/&gt;&lt;wsp:rsid wsp:val=&quot;00523773&quot;/&gt;&lt;wsp:rsid wsp:val=&quot;0052399E&quot;/&gt;&lt;wsp:rsid wsp:val=&quot;005239EC&quot;/&gt;&lt;wsp:rsid wsp:val=&quot;00523EC1&quot;/&gt;&lt;wsp:rsid wsp:val=&quot;00524046&quot;/&gt;&lt;wsp:rsid wsp:val=&quot;00524165&quot;/&gt;&lt;wsp:rsid wsp:val=&quot;005247AD&quot;/&gt;&lt;wsp:rsid wsp:val=&quot;0052484A&quot;/&gt;&lt;wsp:rsid wsp:val=&quot;00524A24&quot;/&gt;&lt;wsp:rsid wsp:val=&quot;00524D49&quot;/&gt;&lt;wsp:rsid wsp:val=&quot;00525001&quot;/&gt;&lt;wsp:rsid wsp:val=&quot;00525505&quot;/&gt;&lt;wsp:rsid wsp:val=&quot;0052596F&quot;/&gt;&lt;wsp:rsid wsp:val=&quot;00525DE9&quot;/&gt;&lt;wsp:rsid wsp:val=&quot;0052642C&quot;/&gt;&lt;wsp:rsid wsp:val=&quot;00526D1B&quot;/&gt;&lt;wsp:rsid wsp:val=&quot;00526E9B&quot;/&gt;&lt;wsp:rsid wsp:val=&quot;0052714C&quot;/&gt;&lt;wsp:rsid wsp:val=&quot;005271A2&quot;/&gt;&lt;wsp:rsid wsp:val=&quot;005275DE&quot;/&gt;&lt;wsp:rsid wsp:val=&quot;0052782C&quot;/&gt;&lt;wsp:rsid wsp:val=&quot;00527D30&quot;/&gt;&lt;wsp:rsid wsp:val=&quot;00527F45&quot;/&gt;&lt;wsp:rsid wsp:val=&quot;005302A8&quot;/&gt;&lt;wsp:rsid wsp:val=&quot;00530F53&quot;/&gt;&lt;wsp:rsid wsp:val=&quot;00531889&quot;/&gt;&lt;wsp:rsid wsp:val=&quot;00531CF9&quot;/&gt;&lt;wsp:rsid wsp:val=&quot;0053223B&quot;/&gt;&lt;wsp:rsid wsp:val=&quot;00532366&quot;/&gt;&lt;wsp:rsid wsp:val=&quot;0053283A&quot;/&gt;&lt;wsp:rsid wsp:val=&quot;00533660&quot;/&gt;&lt;wsp:rsid wsp:val=&quot;005340CA&quot;/&gt;&lt;wsp:rsid wsp:val=&quot;005341C6&quot;/&gt;&lt;wsp:rsid wsp:val=&quot;00534431&quot;/&gt;&lt;wsp:rsid wsp:val=&quot;00534B21&quot;/&gt;&lt;wsp:rsid wsp:val=&quot;00534FE9&quot;/&gt;&lt;wsp:rsid wsp:val=&quot;0053527C&quot;/&gt;&lt;wsp:rsid wsp:val=&quot;00535386&quot;/&gt;&lt;wsp:rsid wsp:val=&quot;005355F3&quot;/&gt;&lt;wsp:rsid wsp:val=&quot;005359F1&quot;/&gt;&lt;wsp:rsid wsp:val=&quot;00535A4B&quot;/&gt;&lt;wsp:rsid wsp:val=&quot;00536013&quot;/&gt;&lt;wsp:rsid wsp:val=&quot;005361DE&quot;/&gt;&lt;wsp:rsid wsp:val=&quot;00536A29&quot;/&gt;&lt;wsp:rsid wsp:val=&quot;00536A49&quot;/&gt;&lt;wsp:rsid wsp:val=&quot;00536A55&quot;/&gt;&lt;wsp:rsid wsp:val=&quot;00536BBF&quot;/&gt;&lt;wsp:rsid wsp:val=&quot;00536D2F&quot;/&gt;&lt;wsp:rsid wsp:val=&quot;00536F11&quot;/&gt;&lt;wsp:rsid wsp:val=&quot;00537191&quot;/&gt;&lt;wsp:rsid wsp:val=&quot;00537468&quot;/&gt;&lt;wsp:rsid wsp:val=&quot;00537710&quot;/&gt;&lt;wsp:rsid wsp:val=&quot;005378BE&quot;/&gt;&lt;wsp:rsid wsp:val=&quot;00537F7E&quot;/&gt;&lt;wsp:rsid wsp:val=&quot;00540782&quot;/&gt;&lt;wsp:rsid wsp:val=&quot;005409C6&quot;/&gt;&lt;wsp:rsid wsp:val=&quot;00540F71&quot;/&gt;&lt;wsp:rsid wsp:val=&quot;00541070&quot;/&gt;&lt;wsp:rsid wsp:val=&quot;005412B7&quot;/&gt;&lt;wsp:rsid wsp:val=&quot;00541EE9&quot;/&gt;&lt;wsp:rsid wsp:val=&quot;0054210F&quot;/&gt;&lt;wsp:rsid wsp:val=&quot;00542DEF&quot;/&gt;&lt;wsp:rsid wsp:val=&quot;00543867&quot;/&gt;&lt;wsp:rsid wsp:val=&quot;00544139&quot;/&gt;&lt;wsp:rsid wsp:val=&quot;005444D0&quot;/&gt;&lt;wsp:rsid wsp:val=&quot;0054456A&quot;/&gt;&lt;wsp:rsid wsp:val=&quot;00544950&quot;/&gt;&lt;wsp:rsid wsp:val=&quot;005450A1&quot;/&gt;&lt;wsp:rsid wsp:val=&quot;00545354&quot;/&gt;&lt;wsp:rsid wsp:val=&quot;00545883&quot;/&gt;&lt;wsp:rsid wsp:val=&quot;00546115&quot;/&gt;&lt;wsp:rsid wsp:val=&quot;00546343&quot;/&gt;&lt;wsp:rsid wsp:val=&quot;00546B7A&quot;/&gt;&lt;wsp:rsid wsp:val=&quot;00546E4B&quot;/&gt;&lt;wsp:rsid wsp:val=&quot;00546E74&quot;/&gt;&lt;wsp:rsid wsp:val=&quot;005474D5&quot;/&gt;&lt;wsp:rsid wsp:val=&quot;00547EE2&quot;/&gt;&lt;wsp:rsid wsp:val=&quot;00547F93&quot;/&gt;&lt;wsp:rsid wsp:val=&quot;005501EC&quot;/&gt;&lt;wsp:rsid wsp:val=&quot;00550A15&quot;/&gt;&lt;wsp:rsid wsp:val=&quot;00550C36&quot;/&gt;&lt;wsp:rsid wsp:val=&quot;00550DDC&quot;/&gt;&lt;wsp:rsid wsp:val=&quot;005516E3&quot;/&gt;&lt;wsp:rsid wsp:val=&quot;00551BC9&quot;/&gt;&lt;wsp:rsid wsp:val=&quot;00551DAD&quot;/&gt;&lt;wsp:rsid wsp:val=&quot;00551DBB&quot;/&gt;&lt;wsp:rsid wsp:val=&quot;00551EB9&quot;/&gt;&lt;wsp:rsid wsp:val=&quot;00552791&quot;/&gt;&lt;wsp:rsid wsp:val=&quot;00552EBE&quot;/&gt;&lt;wsp:rsid wsp:val=&quot;005530D5&quot;/&gt;&lt;wsp:rsid wsp:val=&quot;005532A5&quot;/&gt;&lt;wsp:rsid wsp:val=&quot;00553430&quot;/&gt;&lt;wsp:rsid wsp:val=&quot;0055384A&quot;/&gt;&lt;wsp:rsid wsp:val=&quot;005539A3&quot;/&gt;&lt;wsp:rsid wsp:val=&quot;00553ABC&quot;/&gt;&lt;wsp:rsid wsp:val=&quot;00553AFA&quot;/&gt;&lt;wsp:rsid wsp:val=&quot;005543D4&quot;/&gt;&lt;wsp:rsid wsp:val=&quot;00554673&quot;/&gt;&lt;wsp:rsid wsp:val=&quot;0055482D&quot;/&gt;&lt;wsp:rsid wsp:val=&quot;00555036&quot;/&gt;&lt;wsp:rsid wsp:val=&quot;005552A2&quot;/&gt;&lt;wsp:rsid wsp:val=&quot;00555449&quot;/&gt;&lt;wsp:rsid wsp:val=&quot;005554B8&quot;/&gt;&lt;wsp:rsid wsp:val=&quot;005557A4&quot;/&gt;&lt;wsp:rsid wsp:val=&quot;00555AA7&quot;/&gt;&lt;wsp:rsid wsp:val=&quot;00555F5E&quot;/&gt;&lt;wsp:rsid wsp:val=&quot;00555FDB&quot;/&gt;&lt;wsp:rsid wsp:val=&quot;005563C4&quot;/&gt;&lt;wsp:rsid wsp:val=&quot;005565A9&quot;/&gt;&lt;wsp:rsid wsp:val=&quot;0055663B&quot;/&gt;&lt;wsp:rsid wsp:val=&quot;00556730&quot;/&gt;&lt;wsp:rsid wsp:val=&quot;00556891&quot;/&gt;&lt;wsp:rsid wsp:val=&quot;00556B88&quot;/&gt;&lt;wsp:rsid wsp:val=&quot;00556F97&quot;/&gt;&lt;wsp:rsid wsp:val=&quot;00557083&quot;/&gt;&lt;wsp:rsid wsp:val=&quot;00557CE2&quot;/&gt;&lt;wsp:rsid wsp:val=&quot;005600D8&quot;/&gt;&lt;wsp:rsid wsp:val=&quot;00560432&quot;/&gt;&lt;wsp:rsid wsp:val=&quot;00560660&quot;/&gt;&lt;wsp:rsid wsp:val=&quot;00560725&quot;/&gt;&lt;wsp:rsid wsp:val=&quot;005607F9&quot;/&gt;&lt;wsp:rsid wsp:val=&quot;00560874&quot;/&gt;&lt;wsp:rsid wsp:val=&quot;005610D7&quot;/&gt;&lt;wsp:rsid wsp:val=&quot;00561750&quot;/&gt;&lt;wsp:rsid wsp:val=&quot;00561A4A&quot;/&gt;&lt;wsp:rsid wsp:val=&quot;00561C00&quot;/&gt;&lt;wsp:rsid wsp:val=&quot;00561C63&quot;/&gt;&lt;wsp:rsid wsp:val=&quot;00561EA8&quot;/&gt;&lt;wsp:rsid wsp:val=&quot;00562130&quot;/&gt;&lt;wsp:rsid wsp:val=&quot;00562193&quot;/&gt;&lt;wsp:rsid wsp:val=&quot;00562562&quot;/&gt;&lt;wsp:rsid wsp:val=&quot;0056298B&quot;/&gt;&lt;wsp:rsid wsp:val=&quot;00562D06&quot;/&gt;&lt;wsp:rsid wsp:val=&quot;00563063&quot;/&gt;&lt;wsp:rsid wsp:val=&quot;00563216&quot;/&gt;&lt;wsp:rsid wsp:val=&quot;00563503&quot;/&gt;&lt;wsp:rsid wsp:val=&quot;005635BC&quot;/&gt;&lt;wsp:rsid wsp:val=&quot;005636F9&quot;/&gt;&lt;wsp:rsid wsp:val=&quot;00563719&quot;/&gt;&lt;wsp:rsid wsp:val=&quot;0056413E&quot;/&gt;&lt;wsp:rsid wsp:val=&quot;00564803&quot;/&gt;&lt;wsp:rsid wsp:val=&quot;00564A68&quot;/&gt;&lt;wsp:rsid wsp:val=&quot;00564A70&quot;/&gt;&lt;wsp:rsid wsp:val=&quot;00564BE0&quot;/&gt;&lt;wsp:rsid wsp:val=&quot;00564F2B&quot;/&gt;&lt;wsp:rsid wsp:val=&quot;00565060&quot;/&gt;&lt;wsp:rsid wsp:val=&quot;00565139&quot;/&gt;&lt;wsp:rsid wsp:val=&quot;00565154&quot;/&gt;&lt;wsp:rsid wsp:val=&quot;0056559D&quot;/&gt;&lt;wsp:rsid wsp:val=&quot;00565B97&quot;/&gt;&lt;wsp:rsid wsp:val=&quot;005660E9&quot;/&gt;&lt;wsp:rsid wsp:val=&quot;00566C1E&quot;/&gt;&lt;wsp:rsid wsp:val=&quot;00566CE6&quot;/&gt;&lt;wsp:rsid wsp:val=&quot;00566F56&quot;/&gt;&lt;wsp:rsid wsp:val=&quot;0056719E&quot;/&gt;&lt;wsp:rsid wsp:val=&quot;00567204&quot;/&gt;&lt;wsp:rsid wsp:val=&quot;005674F5&quot;/&gt;&lt;wsp:rsid wsp:val=&quot;00567657&quot;/&gt;&lt;wsp:rsid wsp:val=&quot;00567B04&quot;/&gt;&lt;wsp:rsid wsp:val=&quot;0057002A&quot;/&gt;&lt;wsp:rsid wsp:val=&quot;0057020F&quot;/&gt;&lt;wsp:rsid wsp:val=&quot;005702DB&quot;/&gt;&lt;wsp:rsid wsp:val=&quot;005705BB&quot;/&gt;&lt;wsp:rsid wsp:val=&quot;00570C44&quot;/&gt;&lt;wsp:rsid wsp:val=&quot;00570D8D&quot;/&gt;&lt;wsp:rsid wsp:val=&quot;00570F6D&quot;/&gt;&lt;wsp:rsid wsp:val=&quot;0057134D&quot;/&gt;&lt;wsp:rsid wsp:val=&quot;0057135C&quot;/&gt;&lt;wsp:rsid wsp:val=&quot;005713AF&quot;/&gt;&lt;wsp:rsid wsp:val=&quot;005713E9&quot;/&gt;&lt;wsp:rsid wsp:val=&quot;00571744&quot;/&gt;&lt;wsp:rsid wsp:val=&quot;00571C0A&quot;/&gt;&lt;wsp:rsid wsp:val=&quot;00571CD9&quot;/&gt;&lt;wsp:rsid wsp:val=&quot;00571D3D&quot;/&gt;&lt;wsp:rsid wsp:val=&quot;00572859&quot;/&gt;&lt;wsp:rsid wsp:val=&quot;00573059&quot;/&gt;&lt;wsp:rsid wsp:val=&quot;005730F3&quot;/&gt;&lt;wsp:rsid wsp:val=&quot;00573529&quot;/&gt;&lt;wsp:rsid wsp:val=&quot;00573569&quot;/&gt;&lt;wsp:rsid wsp:val=&quot;005740B1&quot;/&gt;&lt;wsp:rsid wsp:val=&quot;005741C5&quot;/&gt;&lt;wsp:rsid wsp:val=&quot;005742DB&quot;/&gt;&lt;wsp:rsid wsp:val=&quot;005743BE&quot;/&gt;&lt;wsp:rsid wsp:val=&quot;0057448A&quot;/&gt;&lt;wsp:rsid wsp:val=&quot;005746AA&quot;/&gt;&lt;wsp:rsid wsp:val=&quot;0057496B&quot;/&gt;&lt;wsp:rsid wsp:val=&quot;00574DD2&quot;/&gt;&lt;wsp:rsid wsp:val=&quot;00575384&quot;/&gt;&lt;wsp:rsid wsp:val=&quot;00575A7A&quot;/&gt;&lt;wsp:rsid wsp:val=&quot;00575ECF&quot;/&gt;&lt;wsp:rsid wsp:val=&quot;0057605E&quot;/&gt;&lt;wsp:rsid wsp:val=&quot;005761F7&quot;/&gt;&lt;wsp:rsid wsp:val=&quot;005766C8&quot;/&gt;&lt;wsp:rsid wsp:val=&quot;00576853&quot;/&gt;&lt;wsp:rsid wsp:val=&quot;00576E96&quot;/&gt;&lt;wsp:rsid wsp:val=&quot;00576EAC&quot;/&gt;&lt;wsp:rsid wsp:val=&quot;005770FD&quot;/&gt;&lt;wsp:rsid wsp:val=&quot;005771E9&quot;/&gt;&lt;wsp:rsid wsp:val=&quot;00577891&quot;/&gt;&lt;wsp:rsid wsp:val=&quot;00577C80&quot;/&gt;&lt;wsp:rsid wsp:val=&quot;00577E98&quot;/&gt;&lt;wsp:rsid wsp:val=&quot;00577EE6&quot;/&gt;&lt;wsp:rsid wsp:val=&quot;00580271&quot;/&gt;&lt;wsp:rsid wsp:val=&quot;0058078E&quot;/&gt;&lt;wsp:rsid wsp:val=&quot;00580EBC&quot;/&gt;&lt;wsp:rsid wsp:val=&quot;0058150E&quot;/&gt;&lt;wsp:rsid wsp:val=&quot;00581AA5&quot;/&gt;&lt;wsp:rsid wsp:val=&quot;00581EF0&quot;/&gt;&lt;wsp:rsid wsp:val=&quot;00582134&quot;/&gt;&lt;wsp:rsid wsp:val=&quot;00582284&quot;/&gt;&lt;wsp:rsid wsp:val=&quot;005823D1&quot;/&gt;&lt;wsp:rsid wsp:val=&quot;0058243F&quot;/&gt;&lt;wsp:rsid wsp:val=&quot;00582961&quot;/&gt;&lt;wsp:rsid wsp:val=&quot;00582A5D&quot;/&gt;&lt;wsp:rsid wsp:val=&quot;00582BDB&quot;/&gt;&lt;wsp:rsid wsp:val=&quot;00583025&quot;/&gt;&lt;wsp:rsid wsp:val=&quot;005832AF&quot;/&gt;&lt;wsp:rsid wsp:val=&quot;0058370B&quot;/&gt;&lt;wsp:rsid wsp:val=&quot;005838AD&quot;/&gt;&lt;wsp:rsid wsp:val=&quot;00583E85&quot;/&gt;&lt;wsp:rsid wsp:val=&quot;0058416D&quot;/&gt;&lt;wsp:rsid wsp:val=&quot;00584570&quot;/&gt;&lt;wsp:rsid wsp:val=&quot;0058461B&quot;/&gt;&lt;wsp:rsid wsp:val=&quot;00584D1B&quot;/&gt;&lt;wsp:rsid wsp:val=&quot;005850F8&quot;/&gt;&lt;wsp:rsid wsp:val=&quot;005854F4&quot;/&gt;&lt;wsp:rsid wsp:val=&quot;005856A3&quot;/&gt;&lt;wsp:rsid wsp:val=&quot;005868B3&quot;/&gt;&lt;wsp:rsid wsp:val=&quot;00586EF5&quot;/&gt;&lt;wsp:rsid wsp:val=&quot;005872FF&quot;/&gt;&lt;wsp:rsid wsp:val=&quot;00587D1A&quot;/&gt;&lt;wsp:rsid wsp:val=&quot;005901F4&quot;/&gt;&lt;wsp:rsid wsp:val=&quot;00590256&quot;/&gt;&lt;wsp:rsid wsp:val=&quot;005903DB&quot;/&gt;&lt;wsp:rsid wsp:val=&quot;005905D5&quot;/&gt;&lt;wsp:rsid wsp:val=&quot;005907CB&quot;/&gt;&lt;wsp:rsid wsp:val=&quot;0059097C&quot;/&gt;&lt;wsp:rsid wsp:val=&quot;00590D35&quot;/&gt;&lt;wsp:rsid wsp:val=&quot;005911D9&quot;/&gt;&lt;wsp:rsid wsp:val=&quot;0059157F&quot;/&gt;&lt;wsp:rsid wsp:val=&quot;00592552&quot;/&gt;&lt;wsp:rsid wsp:val=&quot;005927E2&quot;/&gt;&lt;wsp:rsid wsp:val=&quot;00592960&quot;/&gt;&lt;wsp:rsid wsp:val=&quot;00592CE4&quot;/&gt;&lt;wsp:rsid wsp:val=&quot;00592D33&quot;/&gt;&lt;wsp:rsid wsp:val=&quot;00592E33&quot;/&gt;&lt;wsp:rsid wsp:val=&quot;00592FCB&quot;/&gt;&lt;wsp:rsid wsp:val=&quot;00593CC4&quot;/&gt;&lt;wsp:rsid wsp:val=&quot;0059409F&quot;/&gt;&lt;wsp:rsid wsp:val=&quot;0059416C&quot;/&gt;&lt;wsp:rsid wsp:val=&quot;005941A5&quot;/&gt;&lt;wsp:rsid wsp:val=&quot;0059457B&quot;/&gt;&lt;wsp:rsid wsp:val=&quot;0059458B&quot;/&gt;&lt;wsp:rsid wsp:val=&quot;005947AB&quot;/&gt;&lt;wsp:rsid wsp:val=&quot;00594B83&quot;/&gt;&lt;wsp:rsid wsp:val=&quot;00594DE5&quot;/&gt;&lt;wsp:rsid wsp:val=&quot;00595094&quot;/&gt;&lt;wsp:rsid wsp:val=&quot;00595188&quot;/&gt;&lt;wsp:rsid wsp:val=&quot;00595311&quot;/&gt;&lt;wsp:rsid wsp:val=&quot;0059540D&quot;/&gt;&lt;wsp:rsid wsp:val=&quot;005955FD&quot;/&gt;&lt;wsp:rsid wsp:val=&quot;00595A51&quot;/&gt;&lt;wsp:rsid wsp:val=&quot;00595E80&quot;/&gt;&lt;wsp:rsid wsp:val=&quot;005963C2&quot;/&gt;&lt;wsp:rsid wsp:val=&quot;00596845&quot;/&gt;&lt;wsp:rsid wsp:val=&quot;005972B3&quot;/&gt;&lt;wsp:rsid wsp:val=&quot;0059743C&quot;/&gt;&lt;wsp:rsid wsp:val=&quot;005974E9&quot;/&gt;&lt;wsp:rsid wsp:val=&quot;00597AA8&quot;/&gt;&lt;wsp:rsid wsp:val=&quot;00597C7D&quot;/&gt;&lt;wsp:rsid wsp:val=&quot;00597D51&quot;/&gt;&lt;wsp:rsid wsp:val=&quot;005A03F1&quot;/&gt;&lt;wsp:rsid wsp:val=&quot;005A063E&quot;/&gt;&lt;wsp:rsid wsp:val=&quot;005A07A2&quot;/&gt;&lt;wsp:rsid wsp:val=&quot;005A093D&quot;/&gt;&lt;wsp:rsid wsp:val=&quot;005A0983&quot;/&gt;&lt;wsp:rsid wsp:val=&quot;005A0C0B&quot;/&gt;&lt;wsp:rsid wsp:val=&quot;005A1359&quot;/&gt;&lt;wsp:rsid wsp:val=&quot;005A13A0&quot;/&gt;&lt;wsp:rsid wsp:val=&quot;005A2277&quot;/&gt;&lt;wsp:rsid wsp:val=&quot;005A238F&quot;/&gt;&lt;wsp:rsid wsp:val=&quot;005A2464&quot;/&gt;&lt;wsp:rsid wsp:val=&quot;005A2714&quot;/&gt;&lt;wsp:rsid wsp:val=&quot;005A3CDA&quot;/&gt;&lt;wsp:rsid wsp:val=&quot;005A3D60&quot;/&gt;&lt;wsp:rsid wsp:val=&quot;005A41C2&quot;/&gt;&lt;wsp:rsid wsp:val=&quot;005A4259&quot;/&gt;&lt;wsp:rsid wsp:val=&quot;005A4F7F&quot;/&gt;&lt;wsp:rsid wsp:val=&quot;005A534C&quot;/&gt;&lt;wsp:rsid wsp:val=&quot;005A54C3&quot;/&gt;&lt;wsp:rsid wsp:val=&quot;005A591A&quot;/&gt;&lt;wsp:rsid wsp:val=&quot;005A5F10&quot;/&gt;&lt;wsp:rsid wsp:val=&quot;005A60D5&quot;/&gt;&lt;wsp:rsid wsp:val=&quot;005A61E4&quot;/&gt;&lt;wsp:rsid wsp:val=&quot;005A63BA&quot;/&gt;&lt;wsp:rsid wsp:val=&quot;005A72BB&quot;/&gt;&lt;wsp:rsid wsp:val=&quot;005A7392&quot;/&gt;&lt;wsp:rsid wsp:val=&quot;005A78F7&quot;/&gt;&lt;wsp:rsid wsp:val=&quot;005A7AED&quot;/&gt;&lt;wsp:rsid wsp:val=&quot;005A7C91&quot;/&gt;&lt;wsp:rsid wsp:val=&quot;005A7DED&quot;/&gt;&lt;wsp:rsid wsp:val=&quot;005B0015&quot;/&gt;&lt;wsp:rsid wsp:val=&quot;005B0377&quot;/&gt;&lt;wsp:rsid wsp:val=&quot;005B0447&quot;/&gt;&lt;wsp:rsid wsp:val=&quot;005B1D3B&quot;/&gt;&lt;wsp:rsid wsp:val=&quot;005B1D6C&quot;/&gt;&lt;wsp:rsid wsp:val=&quot;005B22D0&quot;/&gt;&lt;wsp:rsid wsp:val=&quot;005B245C&quot;/&gt;&lt;wsp:rsid wsp:val=&quot;005B2A0E&quot;/&gt;&lt;wsp:rsid wsp:val=&quot;005B2B21&quot;/&gt;&lt;wsp:rsid wsp:val=&quot;005B2B95&quot;/&gt;&lt;wsp:rsid wsp:val=&quot;005B2DAB&quot;/&gt;&lt;wsp:rsid wsp:val=&quot;005B30BD&quot;/&gt;&lt;wsp:rsid wsp:val=&quot;005B37A6&quot;/&gt;&lt;wsp:rsid wsp:val=&quot;005B38A7&quot;/&gt;&lt;wsp:rsid wsp:val=&quot;005B457E&quot;/&gt;&lt;wsp:rsid wsp:val=&quot;005B4D7D&quot;/&gt;&lt;wsp:rsid wsp:val=&quot;005B5780&quot;/&gt;&lt;wsp:rsid wsp:val=&quot;005B582E&quot;/&gt;&lt;wsp:rsid wsp:val=&quot;005B5B3B&quot;/&gt;&lt;wsp:rsid wsp:val=&quot;005B5D0B&quot;/&gt;&lt;wsp:rsid wsp:val=&quot;005B6F94&quot;/&gt;&lt;wsp:rsid wsp:val=&quot;005B7080&quot;/&gt;&lt;wsp:rsid wsp:val=&quot;005B7797&quot;/&gt;&lt;wsp:rsid wsp:val=&quot;005B7AD6&quot;/&gt;&lt;wsp:rsid wsp:val=&quot;005C008B&quot;/&gt;&lt;wsp:rsid wsp:val=&quot;005C0306&quot;/&gt;&lt;wsp:rsid wsp:val=&quot;005C0611&quot;/&gt;&lt;wsp:rsid wsp:val=&quot;005C079F&quot;/&gt;&lt;wsp:rsid wsp:val=&quot;005C09F8&quot;/&gt;&lt;wsp:rsid wsp:val=&quot;005C0F4E&quot;/&gt;&lt;wsp:rsid wsp:val=&quot;005C1248&quot;/&gt;&lt;wsp:rsid wsp:val=&quot;005C135A&quot;/&gt;&lt;wsp:rsid wsp:val=&quot;005C200C&quot;/&gt;&lt;wsp:rsid wsp:val=&quot;005C2C42&quot;/&gt;&lt;wsp:rsid wsp:val=&quot;005C2CC7&quot;/&gt;&lt;wsp:rsid wsp:val=&quot;005C2FAA&quot;/&gt;&lt;wsp:rsid wsp:val=&quot;005C2FEA&quot;/&gt;&lt;wsp:rsid wsp:val=&quot;005C35E8&quot;/&gt;&lt;wsp:rsid wsp:val=&quot;005C37F1&quot;/&gt;&lt;wsp:rsid wsp:val=&quot;005C3BBB&quot;/&gt;&lt;wsp:rsid wsp:val=&quot;005C3EA0&quot;/&gt;&lt;wsp:rsid wsp:val=&quot;005C4846&quot;/&gt;&lt;wsp:rsid wsp:val=&quot;005C51D1&quot;/&gt;&lt;wsp:rsid wsp:val=&quot;005C544E&quot;/&gt;&lt;wsp:rsid wsp:val=&quot;005C6205&quot;/&gt;&lt;wsp:rsid wsp:val=&quot;005C62E4&quot;/&gt;&lt;wsp:rsid wsp:val=&quot;005C6562&quot;/&gt;&lt;wsp:rsid wsp:val=&quot;005C6A06&quot;/&gt;&lt;wsp:rsid wsp:val=&quot;005C73C4&quot;/&gt;&lt;wsp:rsid wsp:val=&quot;005C750F&quot;/&gt;&lt;wsp:rsid wsp:val=&quot;005C75C0&quot;/&gt;&lt;wsp:rsid wsp:val=&quot;005C75F7&quot;/&gt;&lt;wsp:rsid wsp:val=&quot;005C78A6&quot;/&gt;&lt;wsp:rsid wsp:val=&quot;005C7F0F&quot;/&gt;&lt;wsp:rsid wsp:val=&quot;005D0422&quot;/&gt;&lt;wsp:rsid wsp:val=&quot;005D0677&quot;/&gt;&lt;wsp:rsid wsp:val=&quot;005D0731&quot;/&gt;&lt;wsp:rsid wsp:val=&quot;005D0C38&quot;/&gt;&lt;wsp:rsid wsp:val=&quot;005D0C9F&quot;/&gt;&lt;wsp:rsid wsp:val=&quot;005D1039&quot;/&gt;&lt;wsp:rsid wsp:val=&quot;005D1703&quot;/&gt;&lt;wsp:rsid wsp:val=&quot;005D1D2E&quot;/&gt;&lt;wsp:rsid wsp:val=&quot;005D1E12&quot;/&gt;&lt;wsp:rsid wsp:val=&quot;005D1F1C&quot;/&gt;&lt;wsp:rsid wsp:val=&quot;005D2218&quot;/&gt;&lt;wsp:rsid wsp:val=&quot;005D2CA8&quot;/&gt;&lt;wsp:rsid wsp:val=&quot;005D2E88&quot;/&gt;&lt;wsp:rsid wsp:val=&quot;005D37AC&quot;/&gt;&lt;wsp:rsid wsp:val=&quot;005D3D3D&quot;/&gt;&lt;wsp:rsid wsp:val=&quot;005D406A&quot;/&gt;&lt;wsp:rsid wsp:val=&quot;005D44E7&quot;/&gt;&lt;wsp:rsid wsp:val=&quot;005D45E3&quot;/&gt;&lt;wsp:rsid wsp:val=&quot;005D461B&quot;/&gt;&lt;wsp:rsid wsp:val=&quot;005D4BE1&quot;/&gt;&lt;wsp:rsid wsp:val=&quot;005D4BF9&quot;/&gt;&lt;wsp:rsid wsp:val=&quot;005D4D84&quot;/&gt;&lt;wsp:rsid wsp:val=&quot;005D4F73&quot;/&gt;&lt;wsp:rsid wsp:val=&quot;005D5291&quot;/&gt;&lt;wsp:rsid wsp:val=&quot;005D52F8&quot;/&gt;&lt;wsp:rsid wsp:val=&quot;005D53F6&quot;/&gt;&lt;wsp:rsid wsp:val=&quot;005D5475&quot;/&gt;&lt;wsp:rsid wsp:val=&quot;005D55D0&quot;/&gt;&lt;wsp:rsid wsp:val=&quot;005D5765&quot;/&gt;&lt;wsp:rsid wsp:val=&quot;005D593C&quot;/&gt;&lt;wsp:rsid wsp:val=&quot;005D5976&quot;/&gt;&lt;wsp:rsid wsp:val=&quot;005D5B75&quot;/&gt;&lt;wsp:rsid wsp:val=&quot;005D5BCC&quot;/&gt;&lt;wsp:rsid wsp:val=&quot;005D60AC&quot;/&gt;&lt;wsp:rsid wsp:val=&quot;005D691D&quot;/&gt;&lt;wsp:rsid wsp:val=&quot;005D6A1B&quot;/&gt;&lt;wsp:rsid wsp:val=&quot;005D6AF2&quot;/&gt;&lt;wsp:rsid wsp:val=&quot;005D6BDC&quot;/&gt;&lt;wsp:rsid wsp:val=&quot;005D7350&quot;/&gt;&lt;wsp:rsid wsp:val=&quot;005D744B&quot;/&gt;&lt;wsp:rsid wsp:val=&quot;005D7808&quot;/&gt;&lt;wsp:rsid wsp:val=&quot;005D7A8F&quot;/&gt;&lt;wsp:rsid wsp:val=&quot;005D7FE7&quot;/&gt;&lt;wsp:rsid wsp:val=&quot;005E0B92&quot;/&gt;&lt;wsp:rsid wsp:val=&quot;005E0FE5&quot;/&gt;&lt;wsp:rsid wsp:val=&quot;005E165B&quot;/&gt;&lt;wsp:rsid wsp:val=&quot;005E1A16&quot;/&gt;&lt;wsp:rsid wsp:val=&quot;005E1D5D&quot;/&gt;&lt;wsp:rsid wsp:val=&quot;005E1E1C&quot;/&gt;&lt;wsp:rsid wsp:val=&quot;005E1E2B&quot;/&gt;&lt;wsp:rsid wsp:val=&quot;005E221C&quot;/&gt;&lt;wsp:rsid wsp:val=&quot;005E247A&quot;/&gt;&lt;wsp:rsid wsp:val=&quot;005E2531&quot;/&gt;&lt;wsp:rsid wsp:val=&quot;005E26AF&quot;/&gt;&lt;wsp:rsid wsp:val=&quot;005E2B92&quot;/&gt;&lt;wsp:rsid wsp:val=&quot;005E2CEC&quot;/&gt;&lt;wsp:rsid wsp:val=&quot;005E2FC9&quot;/&gt;&lt;wsp:rsid wsp:val=&quot;005E3630&quot;/&gt;&lt;wsp:rsid wsp:val=&quot;005E3EF8&quot;/&gt;&lt;wsp:rsid wsp:val=&quot;005E43BF&quot;/&gt;&lt;wsp:rsid wsp:val=&quot;005E450D&quot;/&gt;&lt;wsp:rsid wsp:val=&quot;005E4585&quot;/&gt;&lt;wsp:rsid wsp:val=&quot;005E5509&quot;/&gt;&lt;wsp:rsid wsp:val=&quot;005E561B&quot;/&gt;&lt;wsp:rsid wsp:val=&quot;005E5AFC&quot;/&gt;&lt;wsp:rsid wsp:val=&quot;005E5BCE&quot;/&gt;&lt;wsp:rsid wsp:val=&quot;005E5CB7&quot;/&gt;&lt;wsp:rsid wsp:val=&quot;005E5F2B&quot;/&gt;&lt;wsp:rsid wsp:val=&quot;005E68C5&quot;/&gt;&lt;wsp:rsid wsp:val=&quot;005E6AA8&quot;/&gt;&lt;wsp:rsid wsp:val=&quot;005E6BF3&quot;/&gt;&lt;wsp:rsid wsp:val=&quot;005E6E22&quot;/&gt;&lt;wsp:rsid wsp:val=&quot;005E71DC&quot;/&gt;&lt;wsp:rsid wsp:val=&quot;005E7235&quot;/&gt;&lt;wsp:rsid wsp:val=&quot;005E7C34&quot;/&gt;&lt;wsp:rsid wsp:val=&quot;005E7D41&quot;/&gt;&lt;wsp:rsid wsp:val=&quot;005F04EB&quot;/&gt;&lt;wsp:rsid wsp:val=&quot;005F050A&quot;/&gt;&lt;wsp:rsid wsp:val=&quot;005F0632&quot;/&gt;&lt;wsp:rsid wsp:val=&quot;005F0C49&quot;/&gt;&lt;wsp:rsid wsp:val=&quot;005F0CE9&quot;/&gt;&lt;wsp:rsid wsp:val=&quot;005F0E3A&quot;/&gt;&lt;wsp:rsid wsp:val=&quot;005F16EE&quot;/&gt;&lt;wsp:rsid wsp:val=&quot;005F19E0&quot;/&gt;&lt;wsp:rsid wsp:val=&quot;005F1C69&quot;/&gt;&lt;wsp:rsid wsp:val=&quot;005F22A2&quot;/&gt;&lt;wsp:rsid wsp:val=&quot;005F2621&quot;/&gt;&lt;wsp:rsid wsp:val=&quot;005F2866&quot;/&gt;&lt;wsp:rsid wsp:val=&quot;005F2FF8&quot;/&gt;&lt;wsp:rsid wsp:val=&quot;005F3B83&quot;/&gt;&lt;wsp:rsid wsp:val=&quot;005F3E25&quot;/&gt;&lt;wsp:rsid wsp:val=&quot;005F3E6F&quot;/&gt;&lt;wsp:rsid wsp:val=&quot;005F3EDD&quot;/&gt;&lt;wsp:rsid wsp:val=&quot;005F4731&quot;/&gt;&lt;wsp:rsid wsp:val=&quot;005F497F&quot;/&gt;&lt;wsp:rsid wsp:val=&quot;005F567A&quot;/&gt;&lt;wsp:rsid wsp:val=&quot;005F5A25&quot;/&gt;&lt;wsp:rsid wsp:val=&quot;005F6386&quot;/&gt;&lt;wsp:rsid wsp:val=&quot;005F65EF&quot;/&gt;&lt;wsp:rsid wsp:val=&quot;005F6F2C&quot;/&gt;&lt;wsp:rsid wsp:val=&quot;005F707D&quot;/&gt;&lt;wsp:rsid wsp:val=&quot;005F71F2&quot;/&gt;&lt;wsp:rsid wsp:val=&quot;005F79A0&quot;/&gt;&lt;wsp:rsid wsp:val=&quot;005F7A93&quot;/&gt;&lt;wsp:rsid wsp:val=&quot;00600502&quot;/&gt;&lt;wsp:rsid wsp:val=&quot;00600992&quot;/&gt;&lt;wsp:rsid wsp:val=&quot;00600A8F&quot;/&gt;&lt;wsp:rsid wsp:val=&quot;00600ADA&quot;/&gt;&lt;wsp:rsid wsp:val=&quot;00600FB0&quot;/&gt;&lt;wsp:rsid wsp:val=&quot;006015D6&quot;/&gt;&lt;wsp:rsid wsp:val=&quot;00601B12&quot;/&gt;&lt;wsp:rsid wsp:val=&quot;00601C7B&quot;/&gt;&lt;wsp:rsid wsp:val=&quot;0060205C&quot;/&gt;&lt;wsp:rsid wsp:val=&quot;006020B3&quot;/&gt;&lt;wsp:rsid wsp:val=&quot;0060236E&quot;/&gt;&lt;wsp:rsid wsp:val=&quot;00602472&quot;/&gt;&lt;wsp:rsid wsp:val=&quot;00602DF0&quot;/&gt;&lt;wsp:rsid wsp:val=&quot;00603206&quot;/&gt;&lt;wsp:rsid wsp:val=&quot;00603D6E&quot;/&gt;&lt;wsp:rsid wsp:val=&quot;0060409A&quot;/&gt;&lt;wsp:rsid wsp:val=&quot;006040C3&quot;/&gt;&lt;wsp:rsid wsp:val=&quot;00604756&quot;/&gt;&lt;wsp:rsid wsp:val=&quot;00604AC3&quot;/&gt;&lt;wsp:rsid wsp:val=&quot;00604BFF&quot;/&gt;&lt;wsp:rsid wsp:val=&quot;00604C66&quot;/&gt;&lt;wsp:rsid wsp:val=&quot;00604CB3&quot;/&gt;&lt;wsp:rsid wsp:val=&quot;006053B8&quot;/&gt;&lt;wsp:rsid wsp:val=&quot;00605546&quot;/&gt;&lt;wsp:rsid wsp:val=&quot;00605C53&quot;/&gt;&lt;wsp:rsid wsp:val=&quot;006067EC&quot;/&gt;&lt;wsp:rsid wsp:val=&quot;006069B0&quot;/&gt;&lt;wsp:rsid wsp:val=&quot;00606FED&quot;/&gt;&lt;wsp:rsid wsp:val=&quot;00607025&quot;/&gt;&lt;wsp:rsid wsp:val=&quot;00607129&quot;/&gt;&lt;wsp:rsid wsp:val=&quot;00607310&quot;/&gt;&lt;wsp:rsid wsp:val=&quot;0060735B&quot;/&gt;&lt;wsp:rsid wsp:val=&quot;006073CA&quot;/&gt;&lt;wsp:rsid wsp:val=&quot;00607522&quot;/&gt;&lt;wsp:rsid wsp:val=&quot;00607A01&quot;/&gt;&lt;wsp:rsid wsp:val=&quot;0061008E&quot;/&gt;&lt;wsp:rsid wsp:val=&quot;0061078E&quot;/&gt;&lt;wsp:rsid wsp:val=&quot;006108CE&quot;/&gt;&lt;wsp:rsid wsp:val=&quot;00610D9E&quot;/&gt;&lt;wsp:rsid wsp:val=&quot;0061109F&quot;/&gt;&lt;wsp:rsid wsp:val=&quot;0061121B&quot;/&gt;&lt;wsp:rsid wsp:val=&quot;006120EB&quot;/&gt;&lt;wsp:rsid wsp:val=&quot;006125DD&quot;/&gt;&lt;wsp:rsid wsp:val=&quot;00612617&quot;/&gt;&lt;wsp:rsid wsp:val=&quot;00612753&quot;/&gt;&lt;wsp:rsid wsp:val=&quot;0061295A&quot;/&gt;&lt;wsp:rsid wsp:val=&quot;00612F01&quot;/&gt;&lt;wsp:rsid wsp:val=&quot;006130CF&quot;/&gt;&lt;wsp:rsid wsp:val=&quot;00613199&quot;/&gt;&lt;wsp:rsid wsp:val=&quot;006132C1&quot;/&gt;&lt;wsp:rsid wsp:val=&quot;00613666&quot;/&gt;&lt;wsp:rsid wsp:val=&quot;00613B29&quot;/&gt;&lt;wsp:rsid wsp:val=&quot;00613ED2&quot;/&gt;&lt;wsp:rsid wsp:val=&quot;00614025&quot;/&gt;&lt;wsp:rsid wsp:val=&quot;0061403D&quot;/&gt;&lt;wsp:rsid wsp:val=&quot;0061424D&quot;/&gt;&lt;wsp:rsid wsp:val=&quot;00614275&quot;/&gt;&lt;wsp:rsid wsp:val=&quot;0061442E&quot;/&gt;&lt;wsp:rsid wsp:val=&quot;0061447B&quot;/&gt;&lt;wsp:rsid wsp:val=&quot;006145F8&quot;/&gt;&lt;wsp:rsid wsp:val=&quot;00614874&quot;/&gt;&lt;wsp:rsid wsp:val=&quot;00614D6E&quot;/&gt;&lt;wsp:rsid wsp:val=&quot;0061548A&quot;/&gt;&lt;wsp:rsid wsp:val=&quot;0061570A&quot;/&gt;&lt;wsp:rsid wsp:val=&quot;00615EB3&quot;/&gt;&lt;wsp:rsid wsp:val=&quot;00616221&quot;/&gt;&lt;wsp:rsid wsp:val=&quot;0061637A&quot;/&gt;&lt;wsp:rsid wsp:val=&quot;006167AC&quot;/&gt;&lt;wsp:rsid wsp:val=&quot;00616EDD&quot;/&gt;&lt;wsp:rsid wsp:val=&quot;006175A2&quot;/&gt;&lt;wsp:rsid wsp:val=&quot;006176CF&quot;/&gt;&lt;wsp:rsid wsp:val=&quot;00617912&quot;/&gt;&lt;wsp:rsid wsp:val=&quot;00617C18&quot;/&gt;&lt;wsp:rsid wsp:val=&quot;00617C51&quot;/&gt;&lt;wsp:rsid wsp:val=&quot;00617CF3&quot;/&gt;&lt;wsp:rsid wsp:val=&quot;00620707&quot;/&gt;&lt;wsp:rsid wsp:val=&quot;00620822&quot;/&gt;&lt;wsp:rsid wsp:val=&quot;00620B38&quot;/&gt;&lt;wsp:rsid wsp:val=&quot;00621052&quot;/&gt;&lt;wsp:rsid wsp:val=&quot;00621939&quot;/&gt;&lt;wsp:rsid wsp:val=&quot;00621BD8&quot;/&gt;&lt;wsp:rsid wsp:val=&quot;006220A5&quot;/&gt;&lt;wsp:rsid wsp:val=&quot;00622A31&quot;/&gt;&lt;wsp:rsid wsp:val=&quot;00622B5D&quot;/&gt;&lt;wsp:rsid wsp:val=&quot;00622F08&quot;/&gt;&lt;wsp:rsid wsp:val=&quot;00623545&quot;/&gt;&lt;wsp:rsid wsp:val=&quot;00623787&quot;/&gt;&lt;wsp:rsid wsp:val=&quot;00623C32&quot;/&gt;&lt;wsp:rsid wsp:val=&quot;006240F3&quot;/&gt;&lt;wsp:rsid wsp:val=&quot;00624173&quot;/&gt;&lt;wsp:rsid wsp:val=&quot;006245EC&quot;/&gt;&lt;wsp:rsid wsp:val=&quot;00624D30&quot;/&gt;&lt;wsp:rsid wsp:val=&quot;0062519D&quot;/&gt;&lt;wsp:rsid wsp:val=&quot;00625281&quot;/&gt;&lt;wsp:rsid wsp:val=&quot;0062582D&quot;/&gt;&lt;wsp:rsid wsp:val=&quot;00625D41&quot;/&gt;&lt;wsp:rsid wsp:val=&quot;00625DB2&quot;/&gt;&lt;wsp:rsid wsp:val=&quot;00625E41&quot;/&gt;&lt;wsp:rsid wsp:val=&quot;006261CC&quot;/&gt;&lt;wsp:rsid wsp:val=&quot;00626269&quot;/&gt;&lt;wsp:rsid wsp:val=&quot;006263BD&quot;/&gt;&lt;wsp:rsid wsp:val=&quot;00626761&quot;/&gt;&lt;wsp:rsid wsp:val=&quot;0062681E&quot;/&gt;&lt;wsp:rsid wsp:val=&quot;0062704E&quot;/&gt;&lt;wsp:rsid wsp:val=&quot;006271D6&quot;/&gt;&lt;wsp:rsid wsp:val=&quot;00627321&quot;/&gt;&lt;wsp:rsid wsp:val=&quot;0062760C&quot;/&gt;&lt;wsp:rsid wsp:val=&quot;00627784&quot;/&gt;&lt;wsp:rsid wsp:val=&quot;006279E0&quot;/&gt;&lt;wsp:rsid wsp:val=&quot;006304C9&quot;/&gt;&lt;wsp:rsid wsp:val=&quot;006308C3&quot;/&gt;&lt;wsp:rsid wsp:val=&quot;00630CAD&quot;/&gt;&lt;wsp:rsid wsp:val=&quot;00630E4C&quot;/&gt;&lt;wsp:rsid wsp:val=&quot;006311D5&quot;/&gt;&lt;wsp:rsid wsp:val=&quot;00631954&quot;/&gt;&lt;wsp:rsid wsp:val=&quot;00631CEF&quot;/&gt;&lt;wsp:rsid wsp:val=&quot;00631E40&quot;/&gt;&lt;wsp:rsid wsp:val=&quot;00631FBD&quot;/&gt;&lt;wsp:rsid wsp:val=&quot;006321A7&quot;/&gt;&lt;wsp:rsid wsp:val=&quot;00632329&quot;/&gt;&lt;wsp:rsid wsp:val=&quot;00632457&quot;/&gt;&lt;wsp:rsid wsp:val=&quot;006328B4&quot;/&gt;&lt;wsp:rsid wsp:val=&quot;006328BA&quot;/&gt;&lt;wsp:rsid wsp:val=&quot;00632A27&quot;/&gt;&lt;wsp:rsid wsp:val=&quot;00633321&quot;/&gt;&lt;wsp:rsid wsp:val=&quot;00633A3E&quot;/&gt;&lt;wsp:rsid wsp:val=&quot;00633AA4&quot;/&gt;&lt;wsp:rsid wsp:val=&quot;00634025&quot;/&gt;&lt;wsp:rsid wsp:val=&quot;0063411C&quot;/&gt;&lt;wsp:rsid wsp:val=&quot;00634123&quot;/&gt;&lt;wsp:rsid wsp:val=&quot;0063494B&quot;/&gt;&lt;wsp:rsid wsp:val=&quot;00634A92&quot;/&gt;&lt;wsp:rsid wsp:val=&quot;00634CCA&quot;/&gt;&lt;wsp:rsid wsp:val=&quot;00634D7C&quot;/&gt;&lt;wsp:rsid wsp:val=&quot;00634DCE&quot;/&gt;&lt;wsp:rsid wsp:val=&quot;00634EF1&quot;/&gt;&lt;wsp:rsid wsp:val=&quot;00634F8B&quot;/&gt;&lt;wsp:rsid wsp:val=&quot;00635A84&quot;/&gt;&lt;wsp:rsid wsp:val=&quot;00635B54&quot;/&gt;&lt;wsp:rsid wsp:val=&quot;00635C82&quot;/&gt;&lt;wsp:rsid wsp:val=&quot;00635D25&quot;/&gt;&lt;wsp:rsid wsp:val=&quot;00635D76&quot;/&gt;&lt;wsp:rsid wsp:val=&quot;00635F16&quot;/&gt;&lt;wsp:rsid wsp:val=&quot;00635FD4&quot;/&gt;&lt;wsp:rsid wsp:val=&quot;006362F8&quot;/&gt;&lt;wsp:rsid wsp:val=&quot;00636601&quot;/&gt;&lt;wsp:rsid wsp:val=&quot;0063687D&quot;/&gt;&lt;wsp:rsid wsp:val=&quot;00636A5D&quot;/&gt;&lt;wsp:rsid wsp:val=&quot;00636E45&quot;/&gt;&lt;wsp:rsid wsp:val=&quot;00637023&quot;/&gt;&lt;wsp:rsid wsp:val=&quot;006371F0&quot;/&gt;&lt;wsp:rsid wsp:val=&quot;006372B0&quot;/&gt;&lt;wsp:rsid wsp:val=&quot;00637748&quot;/&gt;&lt;wsp:rsid wsp:val=&quot;00637C9B&quot;/&gt;&lt;wsp:rsid wsp:val=&quot;00640060&quot;/&gt;&lt;wsp:rsid wsp:val=&quot;00640207&quot;/&gt;&lt;wsp:rsid wsp:val=&quot;00640628&quot;/&gt;&lt;wsp:rsid wsp:val=&quot;0064082B&quot;/&gt;&lt;wsp:rsid wsp:val=&quot;00640B1C&quot;/&gt;&lt;wsp:rsid wsp:val=&quot;00641074&quot;/&gt;&lt;wsp:rsid wsp:val=&quot;0064107E&quot;/&gt;&lt;wsp:rsid wsp:val=&quot;006415C9&quot;/&gt;&lt;wsp:rsid wsp:val=&quot;0064179E&quot;/&gt;&lt;wsp:rsid wsp:val=&quot;00641A4D&quot;/&gt;&lt;wsp:rsid wsp:val=&quot;00641D5D&quot;/&gt;&lt;wsp:rsid wsp:val=&quot;00642149&quot;/&gt;&lt;wsp:rsid wsp:val=&quot;006422E6&quot;/&gt;&lt;wsp:rsid wsp:val=&quot;0064242A&quot;/&gt;&lt;wsp:rsid wsp:val=&quot;00642466&quot;/&gt;&lt;wsp:rsid wsp:val=&quot;00642830&quot;/&gt;&lt;wsp:rsid wsp:val=&quot;006432F3&quot;/&gt;&lt;wsp:rsid wsp:val=&quot;006433F7&quot;/&gt;&lt;wsp:rsid wsp:val=&quot;00643A44&quot;/&gt;&lt;wsp:rsid wsp:val=&quot;00643A47&quot;/&gt;&lt;wsp:rsid wsp:val=&quot;00643D05&quot;/&gt;&lt;wsp:rsid wsp:val=&quot;00643EBE&quot;/&gt;&lt;wsp:rsid wsp:val=&quot;006440A8&quot;/&gt;&lt;wsp:rsid wsp:val=&quot;006445BA&quot;/&gt;&lt;wsp:rsid wsp:val=&quot;0064470C&quot;/&gt;&lt;wsp:rsid wsp:val=&quot;00644814&quot;/&gt;&lt;wsp:rsid wsp:val=&quot;00644984&quot;/&gt;&lt;wsp:rsid wsp:val=&quot;00644E55&quot;/&gt;&lt;wsp:rsid wsp:val=&quot;006458DD&quot;/&gt;&lt;wsp:rsid wsp:val=&quot;00645B96&quot;/&gt;&lt;wsp:rsid wsp:val=&quot;00646F7D&quot;/&gt;&lt;wsp:rsid wsp:val=&quot;00647396&quot;/&gt;&lt;wsp:rsid wsp:val=&quot;00647640&quot;/&gt;&lt;wsp:rsid wsp:val=&quot;006502F7&quot;/&gt;&lt;wsp:rsid wsp:val=&quot;0065052C&quot;/&gt;&lt;wsp:rsid wsp:val=&quot;006505A8&quot;/&gt;&lt;wsp:rsid wsp:val=&quot;00650760&quot;/&gt;&lt;wsp:rsid wsp:val=&quot;00650DCC&quot;/&gt;&lt;wsp:rsid wsp:val=&quot;00651134&quot;/&gt;&lt;wsp:rsid wsp:val=&quot;006511DB&quot;/&gt;&lt;wsp:rsid wsp:val=&quot;0065130D&quot;/&gt;&lt;wsp:rsid wsp:val=&quot;00652132&quot;/&gt;&lt;wsp:rsid wsp:val=&quot;006529DF&quot;/&gt;&lt;wsp:rsid wsp:val=&quot;00652B93&quot;/&gt;&lt;wsp:rsid wsp:val=&quot;00652BA9&quot;/&gt;&lt;wsp:rsid wsp:val=&quot;00652C46&quot;/&gt;&lt;wsp:rsid wsp:val=&quot;006535BD&quot;/&gt;&lt;wsp:rsid wsp:val=&quot;0065380A&quot;/&gt;&lt;wsp:rsid wsp:val=&quot;006538B5&quot;/&gt;&lt;wsp:rsid wsp:val=&quot;00653AF8&quot;/&gt;&lt;wsp:rsid wsp:val=&quot;00653B70&quot;/&gt;&lt;wsp:rsid wsp:val=&quot;00654897&quot;/&gt;&lt;wsp:rsid wsp:val=&quot;00654922&quot;/&gt;&lt;wsp:rsid wsp:val=&quot;00654E22&quot;/&gt;&lt;wsp:rsid wsp:val=&quot;006558AA&quot;/&gt;&lt;wsp:rsid wsp:val=&quot;00655994&quot;/&gt;&lt;wsp:rsid wsp:val=&quot;00656110&quot;/&gt;&lt;wsp:rsid wsp:val=&quot;00656481&quot;/&gt;&lt;wsp:rsid wsp:val=&quot;006564AD&quot;/&gt;&lt;wsp:rsid wsp:val=&quot;00656E1C&quot;/&gt;&lt;wsp:rsid wsp:val=&quot;0065704B&quot;/&gt;&lt;wsp:rsid wsp:val=&quot;00657162&quot;/&gt;&lt;wsp:rsid wsp:val=&quot;00657547&quot;/&gt;&lt;wsp:rsid wsp:val=&quot;00657DAD&quot;/&gt;&lt;wsp:rsid wsp:val=&quot;00660412&quot;/&gt;&lt;wsp:rsid wsp:val=&quot;00660C9B&quot;/&gt;&lt;wsp:rsid wsp:val=&quot;00661353&quot;/&gt;&lt;wsp:rsid wsp:val=&quot;00661614&quot;/&gt;&lt;wsp:rsid wsp:val=&quot;00661C5A&quot;/&gt;&lt;wsp:rsid wsp:val=&quot;00661CCA&quot;/&gt;&lt;wsp:rsid wsp:val=&quot;00661D8D&quot;/&gt;&lt;wsp:rsid wsp:val=&quot;00661FC5&quot;/&gt;&lt;wsp:rsid wsp:val=&quot;006622D3&quot;/&gt;&lt;wsp:rsid wsp:val=&quot;006623E1&quot;/&gt;&lt;wsp:rsid wsp:val=&quot;00662673&quot;/&gt;&lt;wsp:rsid wsp:val=&quot;0066371A&quot;/&gt;&lt;wsp:rsid wsp:val=&quot;0066386F&quot;/&gt;&lt;wsp:rsid wsp:val=&quot;00663CA0&quot;/&gt;&lt;wsp:rsid wsp:val=&quot;00663D5E&quot;/&gt;&lt;wsp:rsid wsp:val=&quot;006641E6&quot;/&gt;&lt;wsp:rsid wsp:val=&quot;00664790&quot;/&gt;&lt;wsp:rsid wsp:val=&quot;00664B6D&quot;/&gt;&lt;wsp:rsid wsp:val=&quot;00664CEA&quot;/&gt;&lt;wsp:rsid wsp:val=&quot;00665C12&quot;/&gt;&lt;wsp:rsid wsp:val=&quot;00665C85&quot;/&gt;&lt;wsp:rsid wsp:val=&quot;00666009&quot;/&gt;&lt;wsp:rsid wsp:val=&quot;006665AC&quot;/&gt;&lt;wsp:rsid wsp:val=&quot;006665F4&quot;/&gt;&lt;wsp:rsid wsp:val=&quot;00666870&quot;/&gt;&lt;wsp:rsid wsp:val=&quot;0066695C&quot;/&gt;&lt;wsp:rsid wsp:val=&quot;0066753A&quot;/&gt;&lt;wsp:rsid wsp:val=&quot;006704DC&quot;/&gt;&lt;wsp:rsid wsp:val=&quot;00670669&quot;/&gt;&lt;wsp:rsid wsp:val=&quot;0067072C&quot;/&gt;&lt;wsp:rsid wsp:val=&quot;00670811&quot;/&gt;&lt;wsp:rsid wsp:val=&quot;00670B63&quot;/&gt;&lt;wsp:rsid wsp:val=&quot;00671052&quot;/&gt;&lt;wsp:rsid wsp:val=&quot;006710F5&quot;/&gt;&lt;wsp:rsid wsp:val=&quot;00671684&quot;/&gt;&lt;wsp:rsid wsp:val=&quot;00671B23&quot;/&gt;&lt;wsp:rsid wsp:val=&quot;00671CEA&quot;/&gt;&lt;wsp:rsid wsp:val=&quot;0067226C&quot;/&gt;&lt;wsp:rsid wsp:val=&quot;0067235D&quot;/&gt;&lt;wsp:rsid wsp:val=&quot;0067251C&quot;/&gt;&lt;wsp:rsid wsp:val=&quot;00672813&quot;/&gt;&lt;wsp:rsid wsp:val=&quot;00673016&quot;/&gt;&lt;wsp:rsid wsp:val=&quot;0067336E&quot;/&gt;&lt;wsp:rsid wsp:val=&quot;006733D2&quot;/&gt;&lt;wsp:rsid wsp:val=&quot;0067377F&quot;/&gt;&lt;wsp:rsid wsp:val=&quot;00673F8D&quot;/&gt;&lt;wsp:rsid wsp:val=&quot;006740B3&quot;/&gt;&lt;wsp:rsid wsp:val=&quot;0067424D&quot;/&gt;&lt;wsp:rsid wsp:val=&quot;00674620&quot;/&gt;&lt;wsp:rsid wsp:val=&quot;0067472F&quot;/&gt;&lt;wsp:rsid wsp:val=&quot;006748B9&quot;/&gt;&lt;wsp:rsid wsp:val=&quot;00674D28&quot;/&gt;&lt;wsp:rsid wsp:val=&quot;00674EA9&quot;/&gt;&lt;wsp:rsid wsp:val=&quot;00675687&quot;/&gt;&lt;wsp:rsid wsp:val=&quot;00675EB0&quot;/&gt;&lt;wsp:rsid wsp:val=&quot;00675F7D&quot;/&gt;&lt;wsp:rsid wsp:val=&quot;00676144&quot;/&gt;&lt;wsp:rsid wsp:val=&quot;00676553&quot;/&gt;&lt;wsp:rsid wsp:val=&quot;0067670D&quot;/&gt;&lt;wsp:rsid wsp:val=&quot;006767A7&quot;/&gt;&lt;wsp:rsid wsp:val=&quot;006768F7&quot;/&gt;&lt;wsp:rsid wsp:val=&quot;00676B05&quot;/&gt;&lt;wsp:rsid wsp:val=&quot;00676B9C&quot;/&gt;&lt;wsp:rsid wsp:val=&quot;00676DC6&quot;/&gt;&lt;wsp:rsid wsp:val=&quot;00677001&quot;/&gt;&lt;wsp:rsid wsp:val=&quot;006772D4&quot;/&gt;&lt;wsp:rsid wsp:val=&quot;00677318&quot;/&gt;&lt;wsp:rsid wsp:val=&quot;006775DC&quot;/&gt;&lt;wsp:rsid wsp:val=&quot;00677737&quot;/&gt;&lt;wsp:rsid wsp:val=&quot;00677795&quot;/&gt;&lt;wsp:rsid wsp:val=&quot;00677B8A&quot;/&gt;&lt;wsp:rsid wsp:val=&quot;00677CE9&quot;/&gt;&lt;wsp:rsid wsp:val=&quot;00680080&quot;/&gt;&lt;wsp:rsid wsp:val=&quot;00680316&quot;/&gt;&lt;wsp:rsid wsp:val=&quot;00680979&quot;/&gt;&lt;wsp:rsid wsp:val=&quot;00680B90&quot;/&gt;&lt;wsp:rsid wsp:val=&quot;00680D7C&quot;/&gt;&lt;wsp:rsid wsp:val=&quot;006812C2&quot;/&gt;&lt;wsp:rsid wsp:val=&quot;00681601&quot;/&gt;&lt;wsp:rsid wsp:val=&quot;00681AE6&quot;/&gt;&lt;wsp:rsid wsp:val=&quot;00681D3B&quot;/&gt;&lt;wsp:rsid wsp:val=&quot;00682338&quot;/&gt;&lt;wsp:rsid wsp:val=&quot;006825AD&quot;/&gt;&lt;wsp:rsid wsp:val=&quot;006825D0&quot;/&gt;&lt;wsp:rsid wsp:val=&quot;006828C6&quot;/&gt;&lt;wsp:rsid wsp:val=&quot;00682968&quot;/&gt;&lt;wsp:rsid wsp:val=&quot;006836FE&quot;/&gt;&lt;wsp:rsid wsp:val=&quot;00683A57&quot;/&gt;&lt;wsp:rsid wsp:val=&quot;006849CA&quot;/&gt;&lt;wsp:rsid wsp:val=&quot;00684EB5&quot;/&gt;&lt;wsp:rsid wsp:val=&quot;00685274&quot;/&gt;&lt;wsp:rsid wsp:val=&quot;0068537C&quot;/&gt;&lt;wsp:rsid wsp:val=&quot;0068566E&quot;/&gt;&lt;wsp:rsid wsp:val=&quot;00685C4F&quot;/&gt;&lt;wsp:rsid wsp:val=&quot;0068639E&quot;/&gt;&lt;wsp:rsid wsp:val=&quot;00686601&quot;/&gt;&lt;wsp:rsid wsp:val=&quot;0068674B&quot;/&gt;&lt;wsp:rsid wsp:val=&quot;00686D4F&quot;/&gt;&lt;wsp:rsid wsp:val=&quot;00686E31&quot;/&gt;&lt;wsp:rsid wsp:val=&quot;006872BF&quot;/&gt;&lt;wsp:rsid wsp:val=&quot;006872F5&quot;/&gt;&lt;wsp:rsid wsp:val=&quot;00687329&quot;/&gt;&lt;wsp:rsid wsp:val=&quot;00687532&quot;/&gt;&lt;wsp:rsid wsp:val=&quot;00687725&quot;/&gt;&lt;wsp:rsid wsp:val=&quot;006879B9&quot;/&gt;&lt;wsp:rsid wsp:val=&quot;00687DA0&quot;/&gt;&lt;wsp:rsid wsp:val=&quot;006900AA&quot;/&gt;&lt;wsp:rsid wsp:val=&quot;00690499&quot;/&gt;&lt;wsp:rsid wsp:val=&quot;0069052F&quot;/&gt;&lt;wsp:rsid wsp:val=&quot;00690792&quot;/&gt;&lt;wsp:rsid wsp:val=&quot;0069082F&quot;/&gt;&lt;wsp:rsid wsp:val=&quot;00690B00&quot;/&gt;&lt;wsp:rsid wsp:val=&quot;0069109B&quot;/&gt;&lt;wsp:rsid wsp:val=&quot;006915EC&quot;/&gt;&lt;wsp:rsid wsp:val=&quot;0069199F&quot;/&gt;&lt;wsp:rsid wsp:val=&quot;00691A3F&quot;/&gt;&lt;wsp:rsid wsp:val=&quot;00691BFB&quot;/&gt;&lt;wsp:rsid wsp:val=&quot;00692544&quot;/&gt;&lt;wsp:rsid wsp:val=&quot;0069284E&quot;/&gt;&lt;wsp:rsid wsp:val=&quot;00692B22&quot;/&gt;&lt;wsp:rsid wsp:val=&quot;00693368&quot;/&gt;&lt;wsp:rsid wsp:val=&quot;0069354F&quot;/&gt;&lt;wsp:rsid wsp:val=&quot;00693851&quot;/&gt;&lt;wsp:rsid wsp:val=&quot;00694244&quot;/&gt;&lt;wsp:rsid wsp:val=&quot;0069495F&quot;/&gt;&lt;wsp:rsid wsp:val=&quot;00694A7F&quot;/&gt;&lt;wsp:rsid wsp:val=&quot;00695865&quot;/&gt;&lt;wsp:rsid wsp:val=&quot;00695E7E&quot;/&gt;&lt;wsp:rsid wsp:val=&quot;00695F74&quot;/&gt;&lt;wsp:rsid wsp:val=&quot;00696266&quot;/&gt;&lt;wsp:rsid wsp:val=&quot;006965E4&quot;/&gt;&lt;wsp:rsid wsp:val=&quot;006966C4&quot;/&gt;&lt;wsp:rsid wsp:val=&quot;0069688B&quot;/&gt;&lt;wsp:rsid wsp:val=&quot;00696C52&quot;/&gt;&lt;wsp:rsid wsp:val=&quot;00696CD6&quot;/&gt;&lt;wsp:rsid wsp:val=&quot;00696FE7&quot;/&gt;&lt;wsp:rsid wsp:val=&quot;00697223&quot;/&gt;&lt;wsp:rsid wsp:val=&quot;006972DB&quot;/&gt;&lt;wsp:rsid wsp:val=&quot;0069749B&quot;/&gt;&lt;wsp:rsid wsp:val=&quot;00697671&quot;/&gt;&lt;wsp:rsid wsp:val=&quot;00697935&quot;/&gt;&lt;wsp:rsid wsp:val=&quot;00697F72&quot;/&gt;&lt;wsp:rsid wsp:val=&quot;006A03A3&quot;/&gt;&lt;wsp:rsid wsp:val=&quot;006A0549&quot;/&gt;&lt;wsp:rsid wsp:val=&quot;006A05FD&quot;/&gt;&lt;wsp:rsid wsp:val=&quot;006A0F57&quot;/&gt;&lt;wsp:rsid wsp:val=&quot;006A1525&quot;/&gt;&lt;wsp:rsid wsp:val=&quot;006A18DD&quot;/&gt;&lt;wsp:rsid wsp:val=&quot;006A1DDF&quot;/&gt;&lt;wsp:rsid wsp:val=&quot;006A245D&quot;/&gt;&lt;wsp:rsid wsp:val=&quot;006A2516&quot;/&gt;&lt;wsp:rsid wsp:val=&quot;006A28AE&quot;/&gt;&lt;wsp:rsid wsp:val=&quot;006A28B2&quot;/&gt;&lt;wsp:rsid wsp:val=&quot;006A294E&quot;/&gt;&lt;wsp:rsid wsp:val=&quot;006A3056&quot;/&gt;&lt;wsp:rsid wsp:val=&quot;006A332C&quot;/&gt;&lt;wsp:rsid wsp:val=&quot;006A33C4&quot;/&gt;&lt;wsp:rsid wsp:val=&quot;006A37B9&quot;/&gt;&lt;wsp:rsid wsp:val=&quot;006A3ADC&quot;/&gt;&lt;wsp:rsid wsp:val=&quot;006A3B04&quot;/&gt;&lt;wsp:rsid wsp:val=&quot;006A429E&quot;/&gt;&lt;wsp:rsid wsp:val=&quot;006A43D4&quot;/&gt;&lt;wsp:rsid wsp:val=&quot;006A4CC0&quot;/&gt;&lt;wsp:rsid wsp:val=&quot;006A4FF9&quot;/&gt;&lt;wsp:rsid wsp:val=&quot;006A5A6D&quot;/&gt;&lt;wsp:rsid wsp:val=&quot;006A5B27&quot;/&gt;&lt;wsp:rsid wsp:val=&quot;006A5CDB&quot;/&gt;&lt;wsp:rsid wsp:val=&quot;006A6170&quot;/&gt;&lt;wsp:rsid wsp:val=&quot;006A62B4&quot;/&gt;&lt;wsp:rsid wsp:val=&quot;006A673A&quot;/&gt;&lt;wsp:rsid wsp:val=&quot;006A6C08&quot;/&gt;&lt;wsp:rsid wsp:val=&quot;006A73D3&quot;/&gt;&lt;wsp:rsid wsp:val=&quot;006A741E&quot;/&gt;&lt;wsp:rsid wsp:val=&quot;006A7BD6&quot;/&gt;&lt;wsp:rsid wsp:val=&quot;006B0576&quot;/&gt;&lt;wsp:rsid wsp:val=&quot;006B06BB&quot;/&gt;&lt;wsp:rsid wsp:val=&quot;006B08D9&quot;/&gt;&lt;wsp:rsid wsp:val=&quot;006B09B0&quot;/&gt;&lt;wsp:rsid wsp:val=&quot;006B0A0F&quot;/&gt;&lt;wsp:rsid wsp:val=&quot;006B139B&quot;/&gt;&lt;wsp:rsid wsp:val=&quot;006B1727&quot;/&gt;&lt;wsp:rsid wsp:val=&quot;006B1B5E&quot;/&gt;&lt;wsp:rsid wsp:val=&quot;006B1BB5&quot;/&gt;&lt;wsp:rsid wsp:val=&quot;006B2149&quot;/&gt;&lt;wsp:rsid wsp:val=&quot;006B2233&quot;/&gt;&lt;wsp:rsid wsp:val=&quot;006B2EC0&quot;/&gt;&lt;wsp:rsid wsp:val=&quot;006B305F&quot;/&gt;&lt;wsp:rsid wsp:val=&quot;006B30AC&quot;/&gt;&lt;wsp:rsid wsp:val=&quot;006B3262&quot;/&gt;&lt;wsp:rsid wsp:val=&quot;006B342A&quot;/&gt;&lt;wsp:rsid wsp:val=&quot;006B3443&quot;/&gt;&lt;wsp:rsid wsp:val=&quot;006B3482&quot;/&gt;&lt;wsp:rsid wsp:val=&quot;006B354A&quot;/&gt;&lt;wsp:rsid wsp:val=&quot;006B3710&quot;/&gt;&lt;wsp:rsid wsp:val=&quot;006B383D&quot;/&gt;&lt;wsp:rsid wsp:val=&quot;006B39AB&quot;/&gt;&lt;wsp:rsid wsp:val=&quot;006B3FA6&quot;/&gt;&lt;wsp:rsid wsp:val=&quot;006B4064&quot;/&gt;&lt;wsp:rsid wsp:val=&quot;006B4502&quot;/&gt;&lt;wsp:rsid wsp:val=&quot;006B46B6&quot;/&gt;&lt;wsp:rsid wsp:val=&quot;006B4EF9&quot;/&gt;&lt;wsp:rsid wsp:val=&quot;006B4F32&quot;/&gt;&lt;wsp:rsid wsp:val=&quot;006B532C&quot;/&gt;&lt;wsp:rsid wsp:val=&quot;006B540A&quot;/&gt;&lt;wsp:rsid wsp:val=&quot;006B5D65&quot;/&gt;&lt;wsp:rsid wsp:val=&quot;006B5D7B&quot;/&gt;&lt;wsp:rsid wsp:val=&quot;006B5EAF&quot;/&gt;&lt;wsp:rsid wsp:val=&quot;006B6465&quot;/&gt;&lt;wsp:rsid wsp:val=&quot;006B6876&quot;/&gt;&lt;wsp:rsid wsp:val=&quot;006B6AA1&quot;/&gt;&lt;wsp:rsid wsp:val=&quot;006B74BF&quot;/&gt;&lt;wsp:rsid wsp:val=&quot;006B773D&quot;/&gt;&lt;wsp:rsid wsp:val=&quot;006B7977&quot;/&gt;&lt;wsp:rsid wsp:val=&quot;006B7C1E&quot;/&gt;&lt;wsp:rsid wsp:val=&quot;006B7C73&quot;/&gt;&lt;wsp:rsid wsp:val=&quot;006B7C7D&quot;/&gt;&lt;wsp:rsid wsp:val=&quot;006B7D65&quot;/&gt;&lt;wsp:rsid wsp:val=&quot;006C0718&quot;/&gt;&lt;wsp:rsid wsp:val=&quot;006C12BE&quot;/&gt;&lt;wsp:rsid wsp:val=&quot;006C152A&quot;/&gt;&lt;wsp:rsid wsp:val=&quot;006C17B5&quot;/&gt;&lt;wsp:rsid wsp:val=&quot;006C1C1A&quot;/&gt;&lt;wsp:rsid wsp:val=&quot;006C1DE7&quot;/&gt;&lt;wsp:rsid wsp:val=&quot;006C26A5&quot;/&gt;&lt;wsp:rsid wsp:val=&quot;006C27C7&quot;/&gt;&lt;wsp:rsid wsp:val=&quot;006C2B9B&quot;/&gt;&lt;wsp:rsid wsp:val=&quot;006C3070&quot;/&gt;&lt;wsp:rsid wsp:val=&quot;006C3103&quot;/&gt;&lt;wsp:rsid wsp:val=&quot;006C3265&quot;/&gt;&lt;wsp:rsid wsp:val=&quot;006C32EF&quot;/&gt;&lt;wsp:rsid wsp:val=&quot;006C3A8F&quot;/&gt;&lt;wsp:rsid wsp:val=&quot;006C3FD1&quot;/&gt;&lt;wsp:rsid wsp:val=&quot;006C3FD7&quot;/&gt;&lt;wsp:rsid wsp:val=&quot;006C4E09&quot;/&gt;&lt;wsp:rsid wsp:val=&quot;006C5016&quot;/&gt;&lt;wsp:rsid wsp:val=&quot;006C54CF&quot;/&gt;&lt;wsp:rsid wsp:val=&quot;006C55E4&quot;/&gt;&lt;wsp:rsid wsp:val=&quot;006C5FF8&quot;/&gt;&lt;wsp:rsid wsp:val=&quot;006C604A&quot;/&gt;&lt;wsp:rsid wsp:val=&quot;006C64C6&quot;/&gt;&lt;wsp:rsid wsp:val=&quot;006C659B&quot;/&gt;&lt;wsp:rsid wsp:val=&quot;006C65BB&quot;/&gt;&lt;wsp:rsid wsp:val=&quot;006C6990&quot;/&gt;&lt;wsp:rsid wsp:val=&quot;006C6CC2&quot;/&gt;&lt;wsp:rsid wsp:val=&quot;006C6CC8&quot;/&gt;&lt;wsp:rsid wsp:val=&quot;006C705D&quot;/&gt;&lt;wsp:rsid wsp:val=&quot;006C7159&quot;/&gt;&lt;wsp:rsid wsp:val=&quot;006C71B7&quot;/&gt;&lt;wsp:rsid wsp:val=&quot;006C78E5&quot;/&gt;&lt;wsp:rsid wsp:val=&quot;006D032A&quot;/&gt;&lt;wsp:rsid wsp:val=&quot;006D043D&quot;/&gt;&lt;wsp:rsid wsp:val=&quot;006D0772&quot;/&gt;&lt;wsp:rsid wsp:val=&quot;006D0CE3&quot;/&gt;&lt;wsp:rsid wsp:val=&quot;006D0DD8&quot;/&gt;&lt;wsp:rsid wsp:val=&quot;006D184D&quot;/&gt;&lt;wsp:rsid wsp:val=&quot;006D187B&quot;/&gt;&lt;wsp:rsid wsp:val=&quot;006D1A35&quot;/&gt;&lt;wsp:rsid wsp:val=&quot;006D1B2B&quot;/&gt;&lt;wsp:rsid wsp:val=&quot;006D1ECD&quot;/&gt;&lt;wsp:rsid wsp:val=&quot;006D1FA3&quot;/&gt;&lt;wsp:rsid wsp:val=&quot;006D217A&quot;/&gt;&lt;wsp:rsid wsp:val=&quot;006D24F6&quot;/&gt;&lt;wsp:rsid wsp:val=&quot;006D324E&quot;/&gt;&lt;wsp:rsid wsp:val=&quot;006D35F6&quot;/&gt;&lt;wsp:rsid wsp:val=&quot;006D392C&quot;/&gt;&lt;wsp:rsid wsp:val=&quot;006D3E3B&quot;/&gt;&lt;wsp:rsid wsp:val=&quot;006D418F&quot;/&gt;&lt;wsp:rsid wsp:val=&quot;006D4A14&quot;/&gt;&lt;wsp:rsid wsp:val=&quot;006D4C9C&quot;/&gt;&lt;wsp:rsid wsp:val=&quot;006D4E1F&quot;/&gt;&lt;wsp:rsid wsp:val=&quot;006D558F&quot;/&gt;&lt;wsp:rsid wsp:val=&quot;006D57A2&quot;/&gt;&lt;wsp:rsid wsp:val=&quot;006D5CAB&quot;/&gt;&lt;wsp:rsid wsp:val=&quot;006D5DB1&quot;/&gt;&lt;wsp:rsid wsp:val=&quot;006D63C1&quot;/&gt;&lt;wsp:rsid wsp:val=&quot;006D6516&quot;/&gt;&lt;wsp:rsid wsp:val=&quot;006D664B&quot;/&gt;&lt;wsp:rsid wsp:val=&quot;006D6BB9&quot;/&gt;&lt;wsp:rsid wsp:val=&quot;006D7AF3&quot;/&gt;&lt;wsp:rsid wsp:val=&quot;006D7D56&quot;/&gt;&lt;wsp:rsid wsp:val=&quot;006D7DA9&quot;/&gt;&lt;wsp:rsid wsp:val=&quot;006D7E32&quot;/&gt;&lt;wsp:rsid wsp:val=&quot;006E0158&quot;/&gt;&lt;wsp:rsid wsp:val=&quot;006E0369&quot;/&gt;&lt;wsp:rsid wsp:val=&quot;006E06F8&quot;/&gt;&lt;wsp:rsid wsp:val=&quot;006E09C2&quot;/&gt;&lt;wsp:rsid wsp:val=&quot;006E0C7B&quot;/&gt;&lt;wsp:rsid wsp:val=&quot;006E0F22&quot;/&gt;&lt;wsp:rsid wsp:val=&quot;006E110A&quot;/&gt;&lt;wsp:rsid wsp:val=&quot;006E1178&quot;/&gt;&lt;wsp:rsid wsp:val=&quot;006E15B3&quot;/&gt;&lt;wsp:rsid wsp:val=&quot;006E19E0&quot;/&gt;&lt;wsp:rsid wsp:val=&quot;006E228D&quot;/&gt;&lt;wsp:rsid wsp:val=&quot;006E22D1&quot;/&gt;&lt;wsp:rsid wsp:val=&quot;006E2536&quot;/&gt;&lt;wsp:rsid wsp:val=&quot;006E3494&quot;/&gt;&lt;wsp:rsid wsp:val=&quot;006E3ACD&quot;/&gt;&lt;wsp:rsid wsp:val=&quot;006E43FC&quot;/&gt;&lt;wsp:rsid wsp:val=&quot;006E473C&quot;/&gt;&lt;wsp:rsid wsp:val=&quot;006E493E&quot;/&gt;&lt;wsp:rsid wsp:val=&quot;006E4D3C&quot;/&gt;&lt;wsp:rsid wsp:val=&quot;006E53CE&quot;/&gt;&lt;wsp:rsid wsp:val=&quot;006E6115&quot;/&gt;&lt;wsp:rsid wsp:val=&quot;006E6290&quot;/&gt;&lt;wsp:rsid wsp:val=&quot;006E62E4&quot;/&gt;&lt;wsp:rsid wsp:val=&quot;006E7182&quot;/&gt;&lt;wsp:rsid wsp:val=&quot;006E7416&quot;/&gt;&lt;wsp:rsid wsp:val=&quot;006E7526&quot;/&gt;&lt;wsp:rsid wsp:val=&quot;006E7AB5&quot;/&gt;&lt;wsp:rsid wsp:val=&quot;006E7AEE&quot;/&gt;&lt;wsp:rsid wsp:val=&quot;006E7FE3&quot;/&gt;&lt;wsp:rsid wsp:val=&quot;006F0053&quot;/&gt;&lt;wsp:rsid wsp:val=&quot;006F00A0&quot;/&gt;&lt;wsp:rsid wsp:val=&quot;006F0811&quot;/&gt;&lt;wsp:rsid wsp:val=&quot;006F0E11&quot;/&gt;&lt;wsp:rsid wsp:val=&quot;006F1082&quot;/&gt;&lt;wsp:rsid wsp:val=&quot;006F1265&quot;/&gt;&lt;wsp:rsid wsp:val=&quot;006F174F&quot;/&gt;&lt;wsp:rsid wsp:val=&quot;006F17CB&quot;/&gt;&lt;wsp:rsid wsp:val=&quot;006F230D&quot;/&gt;&lt;wsp:rsid wsp:val=&quot;006F247E&quot;/&gt;&lt;wsp:rsid wsp:val=&quot;006F2A97&quot;/&gt;&lt;wsp:rsid wsp:val=&quot;006F2B60&quot;/&gt;&lt;wsp:rsid wsp:val=&quot;006F2BA2&quot;/&gt;&lt;wsp:rsid wsp:val=&quot;006F2F88&quot;/&gt;&lt;wsp:rsid wsp:val=&quot;006F3899&quot;/&gt;&lt;wsp:rsid wsp:val=&quot;006F3B0F&quot;/&gt;&lt;wsp:rsid wsp:val=&quot;006F40C2&quot;/&gt;&lt;wsp:rsid wsp:val=&quot;006F4938&quot;/&gt;&lt;wsp:rsid wsp:val=&quot;006F4B0D&quot;/&gt;&lt;wsp:rsid wsp:val=&quot;006F4BFC&quot;/&gt;&lt;wsp:rsid wsp:val=&quot;006F52AD&quot;/&gt;&lt;wsp:rsid wsp:val=&quot;006F578C&quot;/&gt;&lt;wsp:rsid wsp:val=&quot;006F5A25&quot;/&gt;&lt;wsp:rsid wsp:val=&quot;006F5A48&quot;/&gt;&lt;wsp:rsid wsp:val=&quot;006F5E11&quot;/&gt;&lt;wsp:rsid wsp:val=&quot;006F5FCA&quot;/&gt;&lt;wsp:rsid wsp:val=&quot;006F657F&quot;/&gt;&lt;wsp:rsid wsp:val=&quot;006F6581&quot;/&gt;&lt;wsp:rsid wsp:val=&quot;006F6697&quot;/&gt;&lt;wsp:rsid wsp:val=&quot;006F66CB&quot;/&gt;&lt;wsp:rsid wsp:val=&quot;006F6FC5&quot;/&gt;&lt;wsp:rsid wsp:val=&quot;006F729D&quot;/&gt;&lt;wsp:rsid wsp:val=&quot;006F7506&quot;/&gt;&lt;wsp:rsid wsp:val=&quot;00700648&quot;/&gt;&lt;wsp:rsid wsp:val=&quot;007006B8&quot;/&gt;&lt;wsp:rsid wsp:val=&quot;007008D6&quot;/&gt;&lt;wsp:rsid wsp:val=&quot;007009ED&quot;/&gt;&lt;wsp:rsid wsp:val=&quot;00700A99&quot;/&gt;&lt;wsp:rsid wsp:val=&quot;00700DFE&quot;/&gt;&lt;wsp:rsid wsp:val=&quot;00700F5F&quot;/&gt;&lt;wsp:rsid wsp:val=&quot;00701242&quot;/&gt;&lt;wsp:rsid wsp:val=&quot;00701516&quot;/&gt;&lt;wsp:rsid wsp:val=&quot;0070159F&quot;/&gt;&lt;wsp:rsid wsp:val=&quot;00701892&quot;/&gt;&lt;wsp:rsid wsp:val=&quot;007018D5&quot;/&gt;&lt;wsp:rsid wsp:val=&quot;00701E76&quot;/&gt;&lt;wsp:rsid wsp:val=&quot;00702070&quot;/&gt;&lt;wsp:rsid wsp:val=&quot;0070211D&quot;/&gt;&lt;wsp:rsid wsp:val=&quot;00702293&quot;/&gt;&lt;wsp:rsid wsp:val=&quot;007022DA&quot;/&gt;&lt;wsp:rsid wsp:val=&quot;00702A45&quot;/&gt;&lt;wsp:rsid wsp:val=&quot;00703BE1&quot;/&gt;&lt;wsp:rsid wsp:val=&quot;00704233&quot;/&gt;&lt;wsp:rsid wsp:val=&quot;00704509&quot;/&gt;&lt;wsp:rsid wsp:val=&quot;00704CBC&quot;/&gt;&lt;wsp:rsid wsp:val=&quot;00705134&quot;/&gt;&lt;wsp:rsid wsp:val=&quot;0070518F&quot;/&gt;&lt;wsp:rsid wsp:val=&quot;0070552E&quot;/&gt;&lt;wsp:rsid wsp:val=&quot;0070630B&quot;/&gt;&lt;wsp:rsid wsp:val=&quot;00706492&quot;/&gt;&lt;wsp:rsid wsp:val=&quot;007067BA&quot;/&gt;&lt;wsp:rsid wsp:val=&quot;0070711A&quot;/&gt;&lt;wsp:rsid wsp:val=&quot;00707154&quot;/&gt;&lt;wsp:rsid wsp:val=&quot;0071020F&quot;/&gt;&lt;wsp:rsid wsp:val=&quot;007109CE&quot;/&gt;&lt;wsp:rsid wsp:val=&quot;00710BD4&quot;/&gt;&lt;wsp:rsid wsp:val=&quot;0071108E&quot;/&gt;&lt;wsp:rsid wsp:val=&quot;007110B0&quot;/&gt;&lt;wsp:rsid wsp:val=&quot;0071151B&quot;/&gt;&lt;wsp:rsid wsp:val=&quot;0071165C&quot;/&gt;&lt;wsp:rsid wsp:val=&quot;00711BF0&quot;/&gt;&lt;wsp:rsid wsp:val=&quot;00711C81&quot;/&gt;&lt;wsp:rsid wsp:val=&quot;00712568&quot;/&gt;&lt;wsp:rsid wsp:val=&quot;007125BD&quot;/&gt;&lt;wsp:rsid wsp:val=&quot;0071280C&quot;/&gt;&lt;wsp:rsid wsp:val=&quot;0071343C&quot;/&gt;&lt;wsp:rsid wsp:val=&quot;00713674&quot;/&gt;&lt;wsp:rsid wsp:val=&quot;007139A2&quot;/&gt;&lt;wsp:rsid wsp:val=&quot;00713A82&quot;/&gt;&lt;wsp:rsid wsp:val=&quot;00713C2B&quot;/&gt;&lt;wsp:rsid wsp:val=&quot;00713FC1&quot;/&gt;&lt;wsp:rsid wsp:val=&quot;007145FD&quot;/&gt;&lt;wsp:rsid wsp:val=&quot;0071461C&quot;/&gt;&lt;wsp:rsid wsp:val=&quot;00714912&quot;/&gt;&lt;wsp:rsid wsp:val=&quot;00714F8B&quot;/&gt;&lt;wsp:rsid wsp:val=&quot;0071503C&quot;/&gt;&lt;wsp:rsid wsp:val=&quot;00715225&quot;/&gt;&lt;wsp:rsid wsp:val=&quot;00715262&quot;/&gt;&lt;wsp:rsid wsp:val=&quot;0071531F&quot;/&gt;&lt;wsp:rsid wsp:val=&quot;007156C9&quot;/&gt;&lt;wsp:rsid wsp:val=&quot;007159C6&quot;/&gt;&lt;wsp:rsid wsp:val=&quot;00715A9F&quot;/&gt;&lt;wsp:rsid wsp:val=&quot;00715D5A&quot;/&gt;&lt;wsp:rsid wsp:val=&quot;0071654B&quot;/&gt;&lt;wsp:rsid wsp:val=&quot;00716979&quot;/&gt;&lt;wsp:rsid wsp:val=&quot;00716A61&quot;/&gt;&lt;wsp:rsid wsp:val=&quot;00716BDA&quot;/&gt;&lt;wsp:rsid wsp:val=&quot;007170D8&quot;/&gt;&lt;wsp:rsid wsp:val=&quot;00717314&quot;/&gt;&lt;wsp:rsid wsp:val=&quot;00717649&quot;/&gt;&lt;wsp:rsid wsp:val=&quot;007176D1&quot;/&gt;&lt;wsp:rsid wsp:val=&quot;00717FE1&quot;/&gt;&lt;wsp:rsid wsp:val=&quot;00720015&quot;/&gt;&lt;wsp:rsid wsp:val=&quot;0072001A&quot;/&gt;&lt;wsp:rsid wsp:val=&quot;007202F9&quot;/&gt;&lt;wsp:rsid wsp:val=&quot;0072042A&quot;/&gt;&lt;wsp:rsid wsp:val=&quot;00721599&quot;/&gt;&lt;wsp:rsid wsp:val=&quot;007219E6&quot;/&gt;&lt;wsp:rsid wsp:val=&quot;00721F01&quot;/&gt;&lt;wsp:rsid wsp:val=&quot;007220BA&quot;/&gt;&lt;wsp:rsid wsp:val=&quot;00722B6E&quot;/&gt;&lt;wsp:rsid wsp:val=&quot;00722EE6&quot;/&gt;&lt;wsp:rsid wsp:val=&quot;0072317D&quot;/&gt;&lt;wsp:rsid wsp:val=&quot;00723733&quot;/&gt;&lt;wsp:rsid wsp:val=&quot;00723839&quot;/&gt;&lt;wsp:rsid wsp:val=&quot;00723841&quot;/&gt;&lt;wsp:rsid wsp:val=&quot;0072408E&quot;/&gt;&lt;wsp:rsid wsp:val=&quot;007245C1&quot;/&gt;&lt;wsp:rsid wsp:val=&quot;00724765&quot;/&gt;&lt;wsp:rsid wsp:val=&quot;0072499D&quot;/&gt;&lt;wsp:rsid wsp:val=&quot;00724B22&quot;/&gt;&lt;wsp:rsid wsp:val=&quot;00725050&quot;/&gt;&lt;wsp:rsid wsp:val=&quot;007252D1&quot;/&gt;&lt;wsp:rsid wsp:val=&quot;007260AA&quot;/&gt;&lt;wsp:rsid wsp:val=&quot;00726839&quot;/&gt;&lt;wsp:rsid wsp:val=&quot;00726AD6&quot;/&gt;&lt;wsp:rsid wsp:val=&quot;00726BC8&quot;/&gt;&lt;wsp:rsid wsp:val=&quot;00726E49&quot;/&gt;&lt;wsp:rsid wsp:val=&quot;00726E57&quot;/&gt;&lt;wsp:rsid wsp:val=&quot;007271AE&quot;/&gt;&lt;wsp:rsid wsp:val=&quot;00727235&quot;/&gt;&lt;wsp:rsid wsp:val=&quot;00727602&quot;/&gt;&lt;wsp:rsid wsp:val=&quot;007278DB&quot;/&gt;&lt;wsp:rsid wsp:val=&quot;00727DB7&quot;/&gt;&lt;wsp:rsid wsp:val=&quot;00727E45&quot;/&gt;&lt;wsp:rsid wsp:val=&quot;00727E8F&quot;/&gt;&lt;wsp:rsid wsp:val=&quot;00727EA1&quot;/&gt;&lt;wsp:rsid wsp:val=&quot;00727FE1&quot;/&gt;&lt;wsp:rsid wsp:val=&quot;0073063F&quot;/&gt;&lt;wsp:rsid wsp:val=&quot;00730907&quot;/&gt;&lt;wsp:rsid wsp:val=&quot;00730C1B&quot;/&gt;&lt;wsp:rsid wsp:val=&quot;00730EA4&quot;/&gt;&lt;wsp:rsid wsp:val=&quot;00730F54&quot;/&gt;&lt;wsp:rsid wsp:val=&quot;00731183&quot;/&gt;&lt;wsp:rsid wsp:val=&quot;007317BB&quot;/&gt;&lt;wsp:rsid wsp:val=&quot;00731B5C&quot;/&gt;&lt;wsp:rsid wsp:val=&quot;00731E67&quot;/&gt;&lt;wsp:rsid wsp:val=&quot;00731EB4&quot;/&gt;&lt;wsp:rsid wsp:val=&quot;00731EC5&quot;/&gt;&lt;wsp:rsid wsp:val=&quot;007326A6&quot;/&gt;&lt;wsp:rsid wsp:val=&quot;00732706&quot;/&gt;&lt;wsp:rsid wsp:val=&quot;007339E3&quot;/&gt;&lt;wsp:rsid wsp:val=&quot;00733C73&quot;/&gt;&lt;wsp:rsid wsp:val=&quot;00733EA1&quot;/&gt;&lt;wsp:rsid wsp:val=&quot;0073436C&quot;/&gt;&lt;wsp:rsid wsp:val=&quot;007343E7&quot;/&gt;&lt;wsp:rsid wsp:val=&quot;00734D48&quot;/&gt;&lt;wsp:rsid wsp:val=&quot;00734DA1&quot;/&gt;&lt;wsp:rsid wsp:val=&quot;00734E69&quot;/&gt;&lt;wsp:rsid wsp:val=&quot;00735791&quot;/&gt;&lt;wsp:rsid wsp:val=&quot;007358D9&quot;/&gt;&lt;wsp:rsid wsp:val=&quot;00735C35&quot;/&gt;&lt;wsp:rsid wsp:val=&quot;00736262&quot;/&gt;&lt;wsp:rsid wsp:val=&quot;0073641F&quot;/&gt;&lt;wsp:rsid wsp:val=&quot;007364C9&quot;/&gt;&lt;wsp:rsid wsp:val=&quot;007365A0&quot;/&gt;&lt;wsp:rsid wsp:val=&quot;00736AA0&quot;/&gt;&lt;wsp:rsid wsp:val=&quot;00736ED9&quot;/&gt;&lt;wsp:rsid wsp:val=&quot;00737EE5&quot;/&gt;&lt;wsp:rsid wsp:val=&quot;00737F44&quot;/&gt;&lt;wsp:rsid wsp:val=&quot;00740425&quot;/&gt;&lt;wsp:rsid wsp:val=&quot;007407B4&quot;/&gt;&lt;wsp:rsid wsp:val=&quot;00740E13&quot;/&gt;&lt;wsp:rsid wsp:val=&quot;00740F97&quot;/&gt;&lt;wsp:rsid wsp:val=&quot;007413AB&quot;/&gt;&lt;wsp:rsid wsp:val=&quot;00741782&quot;/&gt;&lt;wsp:rsid wsp:val=&quot;00741E83&quot;/&gt;&lt;wsp:rsid wsp:val=&quot;00742BF3&quot;/&gt;&lt;wsp:rsid wsp:val=&quot;00742C27&quot;/&gt;&lt;wsp:rsid wsp:val=&quot;00743CF5&quot;/&gt;&lt;wsp:rsid wsp:val=&quot;00743F8A&quot;/&gt;&lt;wsp:rsid wsp:val=&quot;00744002&quot;/&gt;&lt;wsp:rsid wsp:val=&quot;007441A1&quot;/&gt;&lt;wsp:rsid wsp:val=&quot;0074463B&quot;/&gt;&lt;wsp:rsid wsp:val=&quot;0074466F&quot;/&gt;&lt;wsp:rsid wsp:val=&quot;00744829&quot;/&gt;&lt;wsp:rsid wsp:val=&quot;00744A5A&quot;/&gt;&lt;wsp:rsid wsp:val=&quot;00744F02&quot;/&gt;&lt;wsp:rsid wsp:val=&quot;007451E9&quot;/&gt;&lt;wsp:rsid wsp:val=&quot;0074546C&quot;/&gt;&lt;wsp:rsid wsp:val=&quot;00745FA7&quot;/&gt;&lt;wsp:rsid wsp:val=&quot;007460BE&quot;/&gt;&lt;wsp:rsid wsp:val=&quot;007463EC&quot;/&gt;&lt;wsp:rsid wsp:val=&quot;00746827&quot;/&gt;&lt;wsp:rsid wsp:val=&quot;0074700C&quot;/&gt;&lt;wsp:rsid wsp:val=&quot;007470F7&quot;/&gt;&lt;wsp:rsid wsp:val=&quot;007479EF&quot;/&gt;&lt;wsp:rsid wsp:val=&quot;00747CF4&quot;/&gt;&lt;wsp:rsid wsp:val=&quot;00747FEE&quot;/&gt;&lt;wsp:rsid wsp:val=&quot;0075007F&quot;/&gt;&lt;wsp:rsid wsp:val=&quot;007505ED&quot;/&gt;&lt;wsp:rsid wsp:val=&quot;00750CFF&quot;/&gt;&lt;wsp:rsid wsp:val=&quot;00750DC6&quot;/&gt;&lt;wsp:rsid wsp:val=&quot;00750E08&quot;/&gt;&lt;wsp:rsid wsp:val=&quot;0075150D&quot;/&gt;&lt;wsp:rsid wsp:val=&quot;00751967&quot;/&gt;&lt;wsp:rsid wsp:val=&quot;00751B4E&quot;/&gt;&lt;wsp:rsid wsp:val=&quot;00751CEA&quot;/&gt;&lt;wsp:rsid wsp:val=&quot;00751F73&quot;/&gt;&lt;wsp:rsid wsp:val=&quot;007520FB&quot;/&gt;&lt;wsp:rsid wsp:val=&quot;00752597&quot;/&gt;&lt;wsp:rsid wsp:val=&quot;0075264B&quot;/&gt;&lt;wsp:rsid wsp:val=&quot;007526B6&quot;/&gt;&lt;wsp:rsid wsp:val=&quot;00752EA9&quot;/&gt;&lt;wsp:rsid wsp:val=&quot;00752FF9&quot;/&gt;&lt;wsp:rsid wsp:val=&quot;00753C1B&quot;/&gt;&lt;wsp:rsid wsp:val=&quot;00753D2A&quot;/&gt;&lt;wsp:rsid wsp:val=&quot;00753D58&quot;/&gt;&lt;wsp:rsid wsp:val=&quot;007544B4&quot;/&gt;&lt;wsp:rsid wsp:val=&quot;007546D7&quot;/&gt;&lt;wsp:rsid wsp:val=&quot;00754830&quot;/&gt;&lt;wsp:rsid wsp:val=&quot;00754A81&quot;/&gt;&lt;wsp:rsid wsp:val=&quot;00754A86&quot;/&gt;&lt;wsp:rsid wsp:val=&quot;00754CF6&quot;/&gt;&lt;wsp:rsid wsp:val=&quot;00755272&quot;/&gt;&lt;wsp:rsid wsp:val=&quot;0075534E&quot;/&gt;&lt;wsp:rsid wsp:val=&quot;0075638D&quot;/&gt;&lt;wsp:rsid wsp:val=&quot;00756837&quot;/&gt;&lt;wsp:rsid wsp:val=&quot;00756A27&quot;/&gt;&lt;wsp:rsid wsp:val=&quot;00756BE1&quot;/&gt;&lt;wsp:rsid wsp:val=&quot;00756DBA&quot;/&gt;&lt;wsp:rsid wsp:val=&quot;00756EDC&quot;/&gt;&lt;wsp:rsid wsp:val=&quot;00757C16&quot;/&gt;&lt;wsp:rsid wsp:val=&quot;00757E90&quot;/&gt;&lt;wsp:rsid wsp:val=&quot;00760186&quot;/&gt;&lt;wsp:rsid wsp:val=&quot;007602F2&quot;/&gt;&lt;wsp:rsid wsp:val=&quot;0076032B&quot;/&gt;&lt;wsp:rsid wsp:val=&quot;00760955&quot;/&gt;&lt;wsp:rsid wsp:val=&quot;00760F7C&quot;/&gt;&lt;wsp:rsid wsp:val=&quot;00760FC3&quot;/&gt;&lt;wsp:rsid wsp:val=&quot;007612D0&quot;/&gt;&lt;wsp:rsid wsp:val=&quot;00761370&quot;/&gt;&lt;wsp:rsid wsp:val=&quot;00761CFB&quot;/&gt;&lt;wsp:rsid wsp:val=&quot;007626B6&quot;/&gt;&lt;wsp:rsid wsp:val=&quot;00762728&quot;/&gt;&lt;wsp:rsid wsp:val=&quot;007628E2&quot;/&gt;&lt;wsp:rsid wsp:val=&quot;00762D87&quot;/&gt;&lt;wsp:rsid wsp:val=&quot;00763ED2&quot;/&gt;&lt;wsp:rsid wsp:val=&quot;007640E9&quot;/&gt;&lt;wsp:rsid wsp:val=&quot;00764195&quot;/&gt;&lt;wsp:rsid wsp:val=&quot;00764401&quot;/&gt;&lt;wsp:rsid wsp:val=&quot;007644DE&quot;/&gt;&lt;wsp:rsid wsp:val=&quot;00764D75&quot;/&gt;&lt;wsp:rsid wsp:val=&quot;00764D7E&quot;/&gt;&lt;wsp:rsid wsp:val=&quot;007657EB&quot;/&gt;&lt;wsp:rsid wsp:val=&quot;00765FF0&quot;/&gt;&lt;wsp:rsid wsp:val=&quot;00765FFD&quot;/&gt;&lt;wsp:rsid wsp:val=&quot;00766157&quot;/&gt;&lt;wsp:rsid wsp:val=&quot;0076649C&quot;/&gt;&lt;wsp:rsid wsp:val=&quot;00766DD0&quot;/&gt;&lt;wsp:rsid wsp:val=&quot;00767018&quot;/&gt;&lt;wsp:rsid wsp:val=&quot;007671A6&quot;/&gt;&lt;wsp:rsid wsp:val=&quot;00770043&quot;/&gt;&lt;wsp:rsid wsp:val=&quot;0077012F&quot;/&gt;&lt;wsp:rsid wsp:val=&quot;007701B4&quot;/&gt;&lt;wsp:rsid wsp:val=&quot;007702ED&quot;/&gt;&lt;wsp:rsid wsp:val=&quot;00770349&quot;/&gt;&lt;wsp:rsid wsp:val=&quot;00770558&quot;/&gt;&lt;wsp:rsid wsp:val=&quot;00770841&quot;/&gt;&lt;wsp:rsid wsp:val=&quot;00770B2F&quot;/&gt;&lt;wsp:rsid wsp:val=&quot;00770B4A&quot;/&gt;&lt;wsp:rsid wsp:val=&quot;00770E87&quot;/&gt;&lt;wsp:rsid wsp:val=&quot;007712B2&quot;/&gt;&lt;wsp:rsid wsp:val=&quot;0077139C&quot;/&gt;&lt;wsp:rsid wsp:val=&quot;007714D8&quot;/&gt;&lt;wsp:rsid wsp:val=&quot;007719F5&quot;/&gt;&lt;wsp:rsid wsp:val=&quot;00771BB9&quot;/&gt;&lt;wsp:rsid wsp:val=&quot;0077232F&quot;/&gt;&lt;wsp:rsid wsp:val=&quot;00772388&quot;/&gt;&lt;wsp:rsid wsp:val=&quot;00772430&quot;/&gt;&lt;wsp:rsid wsp:val=&quot;00772D10&quot;/&gt;&lt;wsp:rsid wsp:val=&quot;0077304E&quot;/&gt;&lt;wsp:rsid wsp:val=&quot;007731E7&quot;/&gt;&lt;wsp:rsid wsp:val=&quot;007733B5&quot;/&gt;&lt;wsp:rsid wsp:val=&quot;00773572&quot;/&gt;&lt;wsp:rsid wsp:val=&quot;007737C0&quot;/&gt;&lt;wsp:rsid wsp:val=&quot;00773989&quot;/&gt;&lt;wsp:rsid wsp:val=&quot;00773AF6&quot;/&gt;&lt;wsp:rsid wsp:val=&quot;00774D86&quot;/&gt;&lt;wsp:rsid wsp:val=&quot;00774FB0&quot;/&gt;&lt;wsp:rsid wsp:val=&quot;0077561F&quot;/&gt;&lt;wsp:rsid wsp:val=&quot;00775CEE&quot;/&gt;&lt;wsp:rsid wsp:val=&quot;00775F9B&quot;/&gt;&lt;wsp:rsid wsp:val=&quot;00775FF0&quot;/&gt;&lt;wsp:rsid wsp:val=&quot;007760E4&quot;/&gt;&lt;wsp:rsid wsp:val=&quot;0077628C&quot;/&gt;&lt;wsp:rsid wsp:val=&quot;00776686&quot;/&gt;&lt;wsp:rsid wsp:val=&quot;0077685E&quot;/&gt;&lt;wsp:rsid wsp:val=&quot;007768F2&quot;/&gt;&lt;wsp:rsid wsp:val=&quot;00776958&quot;/&gt;&lt;wsp:rsid wsp:val=&quot;00776F0C&quot;/&gt;&lt;wsp:rsid wsp:val=&quot;00776F4C&quot;/&gt;&lt;wsp:rsid wsp:val=&quot;007772DA&quot;/&gt;&lt;wsp:rsid wsp:val=&quot;0077745C&quot;/&gt;&lt;wsp:rsid wsp:val=&quot;0077780E&quot;/&gt;&lt;wsp:rsid wsp:val=&quot;00777BE3&quot;/&gt;&lt;wsp:rsid wsp:val=&quot;0078061A&quot;/&gt;&lt;wsp:rsid wsp:val=&quot;00780A1E&quot;/&gt;&lt;wsp:rsid wsp:val=&quot;00780C63&quot;/&gt;&lt;wsp:rsid wsp:val=&quot;0078103B&quot;/&gt;&lt;wsp:rsid wsp:val=&quot;00781534&quot;/&gt;&lt;wsp:rsid wsp:val=&quot;00781794&quot;/&gt;&lt;wsp:rsid wsp:val=&quot;00781CC5&quot;/&gt;&lt;wsp:rsid wsp:val=&quot;00781E4C&quot;/&gt;&lt;wsp:rsid wsp:val=&quot;00782301&quot;/&gt;&lt;wsp:rsid wsp:val=&quot;007828BE&quot;/&gt;&lt;wsp:rsid wsp:val=&quot;00782DF5&quot;/&gt;&lt;wsp:rsid wsp:val=&quot;00783294&quot;/&gt;&lt;wsp:rsid wsp:val=&quot;007834C5&quot;/&gt;&lt;wsp:rsid wsp:val=&quot;00783A2E&quot;/&gt;&lt;wsp:rsid wsp:val=&quot;00783BAF&quot;/&gt;&lt;wsp:rsid wsp:val=&quot;00783EC3&quot;/&gt;&lt;wsp:rsid wsp:val=&quot;007841B8&quot;/&gt;&lt;wsp:rsid wsp:val=&quot;0078447D&quot;/&gt;&lt;wsp:rsid wsp:val=&quot;0078465B&quot;/&gt;&lt;wsp:rsid wsp:val=&quot;00784876&quot;/&gt;&lt;wsp:rsid wsp:val=&quot;00784D45&quot;/&gt;&lt;wsp:rsid wsp:val=&quot;00786360&quot;/&gt;&lt;wsp:rsid wsp:val=&quot;00786707&quot;/&gt;&lt;wsp:rsid wsp:val=&quot;00786BB6&quot;/&gt;&lt;wsp:rsid wsp:val=&quot;007871C9&quot;/&gt;&lt;wsp:rsid wsp:val=&quot;0078767A&quot;/&gt;&lt;wsp:rsid wsp:val=&quot;007877AF&quot;/&gt;&lt;wsp:rsid wsp:val=&quot;00787C5E&quot;/&gt;&lt;wsp:rsid wsp:val=&quot;00787CFF&quot;/&gt;&lt;wsp:rsid wsp:val=&quot;007904E6&quot;/&gt;&lt;wsp:rsid wsp:val=&quot;007909CC&quot;/&gt;&lt;wsp:rsid wsp:val=&quot;00790A86&quot;/&gt;&lt;wsp:rsid wsp:val=&quot;00790CE6&quot;/&gt;&lt;wsp:rsid wsp:val=&quot;00790E63&quot;/&gt;&lt;wsp:rsid wsp:val=&quot;00790F5C&quot;/&gt;&lt;wsp:rsid wsp:val=&quot;00791342&quot;/&gt;&lt;wsp:rsid wsp:val=&quot;0079198B&quot;/&gt;&lt;wsp:rsid wsp:val=&quot;00791C27&quot;/&gt;&lt;wsp:rsid wsp:val=&quot;00791F71&quot;/&gt;&lt;wsp:rsid wsp:val=&quot;0079216E&quot;/&gt;&lt;wsp:rsid wsp:val=&quot;0079223B&quot;/&gt;&lt;wsp:rsid wsp:val=&quot;007927E3&quot;/&gt;&lt;wsp:rsid wsp:val=&quot;00792F53&quot;/&gt;&lt;wsp:rsid wsp:val=&quot;007933C6&quot;/&gt;&lt;wsp:rsid wsp:val=&quot;007935E4&quot;/&gt;&lt;wsp:rsid wsp:val=&quot;007939C8&quot;/&gt;&lt;wsp:rsid wsp:val=&quot;00793B5A&quot;/&gt;&lt;wsp:rsid wsp:val=&quot;00793C94&quot;/&gt;&lt;wsp:rsid wsp:val=&quot;00793D7C&quot;/&gt;&lt;wsp:rsid wsp:val=&quot;00793E3F&quot;/&gt;&lt;wsp:rsid wsp:val=&quot;007940BC&quot;/&gt;&lt;wsp:rsid wsp:val=&quot;00794147&quot;/&gt;&lt;wsp:rsid wsp:val=&quot;00794183&quot;/&gt;&lt;wsp:rsid wsp:val=&quot;00794572&quot;/&gt;&lt;wsp:rsid wsp:val=&quot;00794710&quot;/&gt;&lt;wsp:rsid wsp:val=&quot;00794908&quot;/&gt;&lt;wsp:rsid wsp:val=&quot;00794920&quot;/&gt;&lt;wsp:rsid wsp:val=&quot;00794EA7&quot;/&gt;&lt;wsp:rsid wsp:val=&quot;00795405&quot;/&gt;&lt;wsp:rsid wsp:val=&quot;00795636&quot;/&gt;&lt;wsp:rsid wsp:val=&quot;00795C3B&quot;/&gt;&lt;wsp:rsid wsp:val=&quot;00795D2B&quot;/&gt;&lt;wsp:rsid wsp:val=&quot;007966C5&quot;/&gt;&lt;wsp:rsid wsp:val=&quot;00796833&quot;/&gt;&lt;wsp:rsid wsp:val=&quot;007968CD&quot;/&gt;&lt;wsp:rsid wsp:val=&quot;007968F2&quot;/&gt;&lt;wsp:rsid wsp:val=&quot;00796A02&quot;/&gt;&lt;wsp:rsid wsp:val=&quot;0079749C&quot;/&gt;&lt;wsp:rsid wsp:val=&quot;00797636&quot;/&gt;&lt;wsp:rsid wsp:val=&quot;00797745&quot;/&gt;&lt;wsp:rsid wsp:val=&quot;00797D9A&quot;/&gt;&lt;wsp:rsid wsp:val=&quot;00797F5B&quot;/&gt;&lt;wsp:rsid wsp:val=&quot;00797F66&quot;/&gt;&lt;wsp:rsid wsp:val=&quot;007A0137&quot;/&gt;&lt;wsp:rsid wsp:val=&quot;007A0230&quot;/&gt;&lt;wsp:rsid wsp:val=&quot;007A0299&quot;/&gt;&lt;wsp:rsid wsp:val=&quot;007A02CD&quot;/&gt;&lt;wsp:rsid wsp:val=&quot;007A05B1&quot;/&gt;&lt;wsp:rsid wsp:val=&quot;007A179F&quot;/&gt;&lt;wsp:rsid wsp:val=&quot;007A1A2A&quot;/&gt;&lt;wsp:rsid wsp:val=&quot;007A1A72&quot;/&gt;&lt;wsp:rsid wsp:val=&quot;007A2017&quot;/&gt;&lt;wsp:rsid wsp:val=&quot;007A2349&quot;/&gt;&lt;wsp:rsid wsp:val=&quot;007A257B&quot;/&gt;&lt;wsp:rsid wsp:val=&quot;007A25B4&quot;/&gt;&lt;wsp:rsid wsp:val=&quot;007A2D3A&quot;/&gt;&lt;wsp:rsid wsp:val=&quot;007A30C8&quot;/&gt;&lt;wsp:rsid wsp:val=&quot;007A3A22&quot;/&gt;&lt;wsp:rsid wsp:val=&quot;007A3C0B&quot;/&gt;&lt;wsp:rsid wsp:val=&quot;007A3C29&quot;/&gt;&lt;wsp:rsid wsp:val=&quot;007A3E50&quot;/&gt;&lt;wsp:rsid wsp:val=&quot;007A4175&quot;/&gt;&lt;wsp:rsid wsp:val=&quot;007A4C2C&quot;/&gt;&lt;wsp:rsid wsp:val=&quot;007A4C80&quot;/&gt;&lt;wsp:rsid wsp:val=&quot;007A4D7E&quot;/&gt;&lt;wsp:rsid wsp:val=&quot;007A4FE6&quot;/&gt;&lt;wsp:rsid wsp:val=&quot;007A5002&quot;/&gt;&lt;wsp:rsid wsp:val=&quot;007A50F0&quot;/&gt;&lt;wsp:rsid wsp:val=&quot;007A5627&quot;/&gt;&lt;wsp:rsid wsp:val=&quot;007A58DD&quot;/&gt;&lt;wsp:rsid wsp:val=&quot;007A5995&quot;/&gt;&lt;wsp:rsid wsp:val=&quot;007A59AC&quot;/&gt;&lt;wsp:rsid wsp:val=&quot;007A5B14&quot;/&gt;&lt;wsp:rsid wsp:val=&quot;007A653E&quot;/&gt;&lt;wsp:rsid wsp:val=&quot;007A6A98&quot;/&gt;&lt;wsp:rsid wsp:val=&quot;007A7023&quot;/&gt;&lt;wsp:rsid wsp:val=&quot;007A715F&quot;/&gt;&lt;wsp:rsid wsp:val=&quot;007A7ABF&quot;/&gt;&lt;wsp:rsid wsp:val=&quot;007B0309&quot;/&gt;&lt;wsp:rsid wsp:val=&quot;007B072C&quot;/&gt;&lt;wsp:rsid wsp:val=&quot;007B0A35&quot;/&gt;&lt;wsp:rsid wsp:val=&quot;007B0FF4&quot;/&gt;&lt;wsp:rsid wsp:val=&quot;007B1321&quot;/&gt;&lt;wsp:rsid wsp:val=&quot;007B1405&quot;/&gt;&lt;wsp:rsid wsp:val=&quot;007B15CE&quot;/&gt;&lt;wsp:rsid wsp:val=&quot;007B1708&quot;/&gt;&lt;wsp:rsid wsp:val=&quot;007B1C61&quot;/&gt;&lt;wsp:rsid wsp:val=&quot;007B2153&quot;/&gt;&lt;wsp:rsid wsp:val=&quot;007B2E4A&quot;/&gt;&lt;wsp:rsid wsp:val=&quot;007B34BF&quot;/&gt;&lt;wsp:rsid wsp:val=&quot;007B3545&quot;/&gt;&lt;wsp:rsid wsp:val=&quot;007B35C4&quot;/&gt;&lt;wsp:rsid wsp:val=&quot;007B3686&quot;/&gt;&lt;wsp:rsid wsp:val=&quot;007B4379&quot;/&gt;&lt;wsp:rsid wsp:val=&quot;007B49DC&quot;/&gt;&lt;wsp:rsid wsp:val=&quot;007B4AD7&quot;/&gt;&lt;wsp:rsid wsp:val=&quot;007B56E3&quot;/&gt;&lt;wsp:rsid wsp:val=&quot;007B57CF&quot;/&gt;&lt;wsp:rsid wsp:val=&quot;007B5F4D&quot;/&gt;&lt;wsp:rsid wsp:val=&quot;007B601B&quot;/&gt;&lt;wsp:rsid wsp:val=&quot;007B6192&quot;/&gt;&lt;wsp:rsid wsp:val=&quot;007B67F7&quot;/&gt;&lt;wsp:rsid wsp:val=&quot;007B6CE6&quot;/&gt;&lt;wsp:rsid wsp:val=&quot;007B74CB&quot;/&gt;&lt;wsp:rsid wsp:val=&quot;007B7511&quot;/&gt;&lt;wsp:rsid wsp:val=&quot;007B77A9&quot;/&gt;&lt;wsp:rsid wsp:val=&quot;007B7B78&quot;/&gt;&lt;wsp:rsid wsp:val=&quot;007B7FA9&quot;/&gt;&lt;wsp:rsid wsp:val=&quot;007C021F&quot;/&gt;&lt;wsp:rsid wsp:val=&quot;007C04B8&quot;/&gt;&lt;wsp:rsid wsp:val=&quot;007C08DF&quot;/&gt;&lt;wsp:rsid wsp:val=&quot;007C0A2C&quot;/&gt;&lt;wsp:rsid wsp:val=&quot;007C0D44&quot;/&gt;&lt;wsp:rsid wsp:val=&quot;007C16CF&quot;/&gt;&lt;wsp:rsid wsp:val=&quot;007C1D92&quot;/&gt;&lt;wsp:rsid wsp:val=&quot;007C222E&quot;/&gt;&lt;wsp:rsid wsp:val=&quot;007C239C&quot;/&gt;&lt;wsp:rsid wsp:val=&quot;007C23B1&quot;/&gt;&lt;wsp:rsid wsp:val=&quot;007C2446&quot;/&gt;&lt;wsp:rsid wsp:val=&quot;007C2D18&quot;/&gt;&lt;wsp:rsid wsp:val=&quot;007C2E33&quot;/&gt;&lt;wsp:rsid wsp:val=&quot;007C4172&quot;/&gt;&lt;wsp:rsid wsp:val=&quot;007C4A50&quot;/&gt;&lt;wsp:rsid wsp:val=&quot;007C4BC9&quot;/&gt;&lt;wsp:rsid wsp:val=&quot;007C4D7C&quot;/&gt;&lt;wsp:rsid wsp:val=&quot;007C4E02&quot;/&gt;&lt;wsp:rsid wsp:val=&quot;007C550B&quot;/&gt;&lt;wsp:rsid wsp:val=&quot;007C55D8&quot;/&gt;&lt;wsp:rsid wsp:val=&quot;007C560C&quot;/&gt;&lt;wsp:rsid wsp:val=&quot;007C5B90&quot;/&gt;&lt;wsp:rsid wsp:val=&quot;007C637F&quot;/&gt;&lt;wsp:rsid wsp:val=&quot;007C64D2&quot;/&gt;&lt;wsp:rsid wsp:val=&quot;007C6773&quot;/&gt;&lt;wsp:rsid wsp:val=&quot;007C6D90&quot;/&gt;&lt;wsp:rsid wsp:val=&quot;007C6E4A&quot;/&gt;&lt;wsp:rsid wsp:val=&quot;007C7033&quot;/&gt;&lt;wsp:rsid wsp:val=&quot;007C711D&quot;/&gt;&lt;wsp:rsid wsp:val=&quot;007D04BA&quot;/&gt;&lt;wsp:rsid wsp:val=&quot;007D058B&quot;/&gt;&lt;wsp:rsid wsp:val=&quot;007D0621&quot;/&gt;&lt;wsp:rsid wsp:val=&quot;007D077A&quot;/&gt;&lt;wsp:rsid wsp:val=&quot;007D07F6&quot;/&gt;&lt;wsp:rsid wsp:val=&quot;007D0AC7&quot;/&gt;&lt;wsp:rsid wsp:val=&quot;007D0AD2&quot;/&gt;&lt;wsp:rsid wsp:val=&quot;007D0BFB&quot;/&gt;&lt;wsp:rsid wsp:val=&quot;007D10AB&quot;/&gt;&lt;wsp:rsid wsp:val=&quot;007D10E2&quot;/&gt;&lt;wsp:rsid wsp:val=&quot;007D1170&quot;/&gt;&lt;wsp:rsid wsp:val=&quot;007D120C&quot;/&gt;&lt;wsp:rsid wsp:val=&quot;007D196B&quot;/&gt;&lt;wsp:rsid wsp:val=&quot;007D23A7&quot;/&gt;&lt;wsp:rsid wsp:val=&quot;007D23D0&quot;/&gt;&lt;wsp:rsid wsp:val=&quot;007D2486&quot;/&gt;&lt;wsp:rsid wsp:val=&quot;007D2657&quot;/&gt;&lt;wsp:rsid wsp:val=&quot;007D2A43&quot;/&gt;&lt;wsp:rsid wsp:val=&quot;007D2AEA&quot;/&gt;&lt;wsp:rsid wsp:val=&quot;007D2C3A&quot;/&gt;&lt;wsp:rsid wsp:val=&quot;007D2C3F&quot;/&gt;&lt;wsp:rsid wsp:val=&quot;007D3171&quot;/&gt;&lt;wsp:rsid wsp:val=&quot;007D3212&quot;/&gt;&lt;wsp:rsid wsp:val=&quot;007D37A2&quot;/&gt;&lt;wsp:rsid wsp:val=&quot;007D3B94&quot;/&gt;&lt;wsp:rsid wsp:val=&quot;007D411B&quot;/&gt;&lt;wsp:rsid wsp:val=&quot;007D45AF&quot;/&gt;&lt;wsp:rsid wsp:val=&quot;007D4968&quot;/&gt;&lt;wsp:rsid wsp:val=&quot;007D4B92&quot;/&gt;&lt;wsp:rsid wsp:val=&quot;007D4D4D&quot;/&gt;&lt;wsp:rsid wsp:val=&quot;007D500A&quot;/&gt;&lt;wsp:rsid wsp:val=&quot;007D50CC&quot;/&gt;&lt;wsp:rsid wsp:val=&quot;007D524C&quot;/&gt;&lt;wsp:rsid wsp:val=&quot;007D53AE&quot;/&gt;&lt;wsp:rsid wsp:val=&quot;007D6480&quot;/&gt;&lt;wsp:rsid wsp:val=&quot;007D6B5A&quot;/&gt;&lt;wsp:rsid wsp:val=&quot;007D7422&quot;/&gt;&lt;wsp:rsid wsp:val=&quot;007D74E9&quot;/&gt;&lt;wsp:rsid wsp:val=&quot;007D76F5&quot;/&gt;&lt;wsp:rsid wsp:val=&quot;007E019F&quot;/&gt;&lt;wsp:rsid wsp:val=&quot;007E01AB&quot;/&gt;&lt;wsp:rsid wsp:val=&quot;007E02DE&quot;/&gt;&lt;wsp:rsid wsp:val=&quot;007E065F&quot;/&gt;&lt;wsp:rsid wsp:val=&quot;007E0951&quot;/&gt;&lt;wsp:rsid wsp:val=&quot;007E0FD8&quot;/&gt;&lt;wsp:rsid wsp:val=&quot;007E1112&quot;/&gt;&lt;wsp:rsid wsp:val=&quot;007E19BF&quot;/&gt;&lt;wsp:rsid wsp:val=&quot;007E2144&quot;/&gt;&lt;wsp:rsid wsp:val=&quot;007E2175&quot;/&gt;&lt;wsp:rsid wsp:val=&quot;007E2259&quot;/&gt;&lt;wsp:rsid wsp:val=&quot;007E2643&quot;/&gt;&lt;wsp:rsid wsp:val=&quot;007E2684&quot;/&gt;&lt;wsp:rsid wsp:val=&quot;007E2BA3&quot;/&gt;&lt;wsp:rsid wsp:val=&quot;007E30DE&quot;/&gt;&lt;wsp:rsid wsp:val=&quot;007E3101&quot;/&gt;&lt;wsp:rsid wsp:val=&quot;007E3133&quot;/&gt;&lt;wsp:rsid wsp:val=&quot;007E326C&quot;/&gt;&lt;wsp:rsid wsp:val=&quot;007E34D4&quot;/&gt;&lt;wsp:rsid wsp:val=&quot;007E396B&quot;/&gt;&lt;wsp:rsid wsp:val=&quot;007E3AD1&quot;/&gt;&lt;wsp:rsid wsp:val=&quot;007E3F3F&quot;/&gt;&lt;wsp:rsid wsp:val=&quot;007E411C&quot;/&gt;&lt;wsp:rsid wsp:val=&quot;007E4753&quot;/&gt;&lt;wsp:rsid wsp:val=&quot;007E4767&quot;/&gt;&lt;wsp:rsid wsp:val=&quot;007E49A0&quot;/&gt;&lt;wsp:rsid wsp:val=&quot;007E4B59&quot;/&gt;&lt;wsp:rsid wsp:val=&quot;007E5071&quot;/&gt;&lt;wsp:rsid wsp:val=&quot;007E5091&quot;/&gt;&lt;wsp:rsid wsp:val=&quot;007E52C7&quot;/&gt;&lt;wsp:rsid wsp:val=&quot;007E530B&quot;/&gt;&lt;wsp:rsid wsp:val=&quot;007E597D&quot;/&gt;&lt;wsp:rsid wsp:val=&quot;007E5995&quot;/&gt;&lt;wsp:rsid wsp:val=&quot;007E5B1B&quot;/&gt;&lt;wsp:rsid wsp:val=&quot;007E5DA9&quot;/&gt;&lt;wsp:rsid wsp:val=&quot;007E5EC6&quot;/&gt;&lt;wsp:rsid wsp:val=&quot;007E6024&quot;/&gt;&lt;wsp:rsid wsp:val=&quot;007E607A&quot;/&gt;&lt;wsp:rsid wsp:val=&quot;007E6143&quot;/&gt;&lt;wsp:rsid wsp:val=&quot;007E62EE&quot;/&gt;&lt;wsp:rsid wsp:val=&quot;007E6464&quot;/&gt;&lt;wsp:rsid wsp:val=&quot;007E6B60&quot;/&gt;&lt;wsp:rsid wsp:val=&quot;007E7056&quot;/&gt;&lt;wsp:rsid wsp:val=&quot;007E72D7&quot;/&gt;&lt;wsp:rsid wsp:val=&quot;007E7477&quot;/&gt;&lt;wsp:rsid wsp:val=&quot;007E7728&quot;/&gt;&lt;wsp:rsid wsp:val=&quot;007E7845&quot;/&gt;&lt;wsp:rsid wsp:val=&quot;007F00E9&quot;/&gt;&lt;wsp:rsid wsp:val=&quot;007F084B&quot;/&gt;&lt;wsp:rsid wsp:val=&quot;007F0900&quot;/&gt;&lt;wsp:rsid wsp:val=&quot;007F0E88&quot;/&gt;&lt;wsp:rsid wsp:val=&quot;007F0FD2&quot;/&gt;&lt;wsp:rsid wsp:val=&quot;007F0FDF&quot;/&gt;&lt;wsp:rsid wsp:val=&quot;007F1101&quot;/&gt;&lt;wsp:rsid wsp:val=&quot;007F15F3&quot;/&gt;&lt;wsp:rsid wsp:val=&quot;007F18F6&quot;/&gt;&lt;wsp:rsid wsp:val=&quot;007F1CC3&quot;/&gt;&lt;wsp:rsid wsp:val=&quot;007F202B&quot;/&gt;&lt;wsp:rsid wsp:val=&quot;007F2340&quot;/&gt;&lt;wsp:rsid wsp:val=&quot;007F26D3&quot;/&gt;&lt;wsp:rsid wsp:val=&quot;007F298F&quot;/&gt;&lt;wsp:rsid wsp:val=&quot;007F2F70&quot;/&gt;&lt;wsp:rsid wsp:val=&quot;007F36E8&quot;/&gt;&lt;wsp:rsid wsp:val=&quot;007F3875&quot;/&gt;&lt;wsp:rsid wsp:val=&quot;007F38A3&quot;/&gt;&lt;wsp:rsid wsp:val=&quot;007F3C57&quot;/&gt;&lt;wsp:rsid wsp:val=&quot;007F3CA9&quot;/&gt;&lt;wsp:rsid wsp:val=&quot;007F3CBC&quot;/&gt;&lt;wsp:rsid wsp:val=&quot;007F3EF2&quot;/&gt;&lt;wsp:rsid wsp:val=&quot;007F3FC4&quot;/&gt;&lt;wsp:rsid wsp:val=&quot;007F4553&quot;/&gt;&lt;wsp:rsid wsp:val=&quot;007F4D71&quot;/&gt;&lt;wsp:rsid wsp:val=&quot;007F506D&quot;/&gt;&lt;wsp:rsid wsp:val=&quot;007F5C88&quot;/&gt;&lt;wsp:rsid wsp:val=&quot;007F5CB0&quot;/&gt;&lt;wsp:rsid wsp:val=&quot;007F5D61&quot;/&gt;&lt;wsp:rsid wsp:val=&quot;007F61D9&quot;/&gt;&lt;wsp:rsid wsp:val=&quot;007F62B0&quot;/&gt;&lt;wsp:rsid wsp:val=&quot;007F62C4&quot;/&gt;&lt;wsp:rsid wsp:val=&quot;007F638E&quot;/&gt;&lt;wsp:rsid wsp:val=&quot;007F63D4&quot;/&gt;&lt;wsp:rsid wsp:val=&quot;007F6A63&quot;/&gt;&lt;wsp:rsid wsp:val=&quot;007F6CF9&quot;/&gt;&lt;wsp:rsid wsp:val=&quot;007F7BD7&quot;/&gt;&lt;wsp:rsid wsp:val=&quot;007F7F0C&quot;/&gt;&lt;wsp:rsid wsp:val=&quot;0080028E&quot;/&gt;&lt;wsp:rsid wsp:val=&quot;00800A65&quot;/&gt;&lt;wsp:rsid wsp:val=&quot;00800D9D&quot;/&gt;&lt;wsp:rsid wsp:val=&quot;008010EA&quot;/&gt;&lt;wsp:rsid wsp:val=&quot;00801927&quot;/&gt;&lt;wsp:rsid wsp:val=&quot;00801E11&quot;/&gt;&lt;wsp:rsid wsp:val=&quot;00801F50&quot;/&gt;&lt;wsp:rsid wsp:val=&quot;0080260C&quot;/&gt;&lt;wsp:rsid wsp:val=&quot;00802A81&quot;/&gt;&lt;wsp:rsid wsp:val=&quot;00802AAB&quot;/&gt;&lt;wsp:rsid wsp:val=&quot;00802ED8&quot;/&gt;&lt;wsp:rsid wsp:val=&quot;008030DE&quot;/&gt;&lt;wsp:rsid wsp:val=&quot;008030FB&quot;/&gt;&lt;wsp:rsid wsp:val=&quot;00803B70&quot;/&gt;&lt;wsp:rsid wsp:val=&quot;0080483C&quot;/&gt;&lt;wsp:rsid wsp:val=&quot;0080501A&quot;/&gt;&lt;wsp:rsid wsp:val=&quot;0080568E&quot;/&gt;&lt;wsp:rsid wsp:val=&quot;0080580A&quot;/&gt;&lt;wsp:rsid wsp:val=&quot;00805856&quot;/&gt;&lt;wsp:rsid wsp:val=&quot;00805B41&quot;/&gt;&lt;wsp:rsid wsp:val=&quot;00805C1A&quot;/&gt;&lt;wsp:rsid wsp:val=&quot;00805D2B&quot;/&gt;&lt;wsp:rsid wsp:val=&quot;00805E57&quot;/&gt;&lt;wsp:rsid wsp:val=&quot;00805FAF&quot;/&gt;&lt;wsp:rsid wsp:val=&quot;008062A2&quot;/&gt;&lt;wsp:rsid wsp:val=&quot;00806383&quot;/&gt;&lt;wsp:rsid wsp:val=&quot;0080659B&quot;/&gt;&lt;wsp:rsid wsp:val=&quot;00806A80&quot;/&gt;&lt;wsp:rsid wsp:val=&quot;00806DC7&quot;/&gt;&lt;wsp:rsid wsp:val=&quot;00807009&quot;/&gt;&lt;wsp:rsid wsp:val=&quot;00807B22&quot;/&gt;&lt;wsp:rsid wsp:val=&quot;008102CC&quot;/&gt;&lt;wsp:rsid wsp:val=&quot;00810487&quot;/&gt;&lt;wsp:rsid wsp:val=&quot;008104F0&quot;/&gt;&lt;wsp:rsid wsp:val=&quot;008105C5&quot;/&gt;&lt;wsp:rsid wsp:val=&quot;00811A2F&quot;/&gt;&lt;wsp:rsid wsp:val=&quot;00811D09&quot;/&gt;&lt;wsp:rsid wsp:val=&quot;00811FA4&quot;/&gt;&lt;wsp:rsid wsp:val=&quot;00812173&quot;/&gt;&lt;wsp:rsid wsp:val=&quot;00812D2B&quot;/&gt;&lt;wsp:rsid wsp:val=&quot;00813694&quot;/&gt;&lt;wsp:rsid wsp:val=&quot;00813736&quot;/&gt;&lt;wsp:rsid wsp:val=&quot;008143B0&quot;/&gt;&lt;wsp:rsid wsp:val=&quot;00814476&quot;/&gt;&lt;wsp:rsid wsp:val=&quot;00814884&quot;/&gt;&lt;wsp:rsid wsp:val=&quot;00814AAE&quot;/&gt;&lt;wsp:rsid wsp:val=&quot;00814B4A&quot;/&gt;&lt;wsp:rsid wsp:val=&quot;00815159&quot;/&gt;&lt;wsp:rsid wsp:val=&quot;008154A9&quot;/&gt;&lt;wsp:rsid wsp:val=&quot;008158F8&quot;/&gt;&lt;wsp:rsid wsp:val=&quot;00815E6C&quot;/&gt;&lt;wsp:rsid wsp:val=&quot;00816594&quot;/&gt;&lt;wsp:rsid wsp:val=&quot;00816807&quot;/&gt;&lt;wsp:rsid wsp:val=&quot;00816A62&quot;/&gt;&lt;wsp:rsid wsp:val=&quot;00816CC9&quot;/&gt;&lt;wsp:rsid wsp:val=&quot;00817A3D&quot;/&gt;&lt;wsp:rsid wsp:val=&quot;00817DF3&quot;/&gt;&lt;wsp:rsid wsp:val=&quot;00817E18&quot;/&gt;&lt;wsp:rsid wsp:val=&quot;00817F2F&quot;/&gt;&lt;wsp:rsid wsp:val=&quot;00820169&quot;/&gt;&lt;wsp:rsid wsp:val=&quot;00820447&quot;/&gt;&lt;wsp:rsid wsp:val=&quot;008204D5&quot;/&gt;&lt;wsp:rsid wsp:val=&quot;00820652&quot;/&gt;&lt;wsp:rsid wsp:val=&quot;00820AB9&quot;/&gt;&lt;wsp:rsid wsp:val=&quot;00820AD9&quot;/&gt;&lt;wsp:rsid wsp:val=&quot;00820C51&quot;/&gt;&lt;wsp:rsid wsp:val=&quot;00820E01&quot;/&gt;&lt;wsp:rsid wsp:val=&quot;00820F40&quot;/&gt;&lt;wsp:rsid wsp:val=&quot;0082102F&quot;/&gt;&lt;wsp:rsid wsp:val=&quot;0082137D&quot;/&gt;&lt;wsp:rsid wsp:val=&quot;008215A7&quot;/&gt;&lt;wsp:rsid wsp:val=&quot;00821705&quot;/&gt;&lt;wsp:rsid wsp:val=&quot;00821930&quot;/&gt;&lt;wsp:rsid wsp:val=&quot;008219EB&quot;/&gt;&lt;wsp:rsid wsp:val=&quot;008220FA&quot;/&gt;&lt;wsp:rsid wsp:val=&quot;008229DF&quot;/&gt;&lt;wsp:rsid wsp:val=&quot;0082358D&quot;/&gt;&lt;wsp:rsid wsp:val=&quot;00823CA6&quot;/&gt;&lt;wsp:rsid wsp:val=&quot;00824183&quot;/&gt;&lt;wsp:rsid wsp:val=&quot;00824BD7&quot;/&gt;&lt;wsp:rsid wsp:val=&quot;00824C20&quot;/&gt;&lt;wsp:rsid wsp:val=&quot;00824CEF&quot;/&gt;&lt;wsp:rsid wsp:val=&quot;00825261&quot;/&gt;&lt;wsp:rsid wsp:val=&quot;00825386&quot;/&gt;&lt;wsp:rsid wsp:val=&quot;0082584A&quot;/&gt;&lt;wsp:rsid wsp:val=&quot;0082590E&quot;/&gt;&lt;wsp:rsid wsp:val=&quot;00825AE8&quot;/&gt;&lt;wsp:rsid wsp:val=&quot;008262AB&quot;/&gt;&lt;wsp:rsid wsp:val=&quot;0082665B&quot;/&gt;&lt;wsp:rsid wsp:val=&quot;0082692E&quot;/&gt;&lt;wsp:rsid wsp:val=&quot;00826A93&quot;/&gt;&lt;wsp:rsid wsp:val=&quot;00826CB5&quot;/&gt;&lt;wsp:rsid wsp:val=&quot;008272CE&quot;/&gt;&lt;wsp:rsid wsp:val=&quot;008273B8&quot;/&gt;&lt;wsp:rsid wsp:val=&quot;0082750F&quot;/&gt;&lt;wsp:rsid wsp:val=&quot;00827980&quot;/&gt;&lt;wsp:rsid wsp:val=&quot;00827E9C&quot;/&gt;&lt;wsp:rsid wsp:val=&quot;008305E2&quot;/&gt;&lt;wsp:rsid wsp:val=&quot;008307BE&quot;/&gt;&lt;wsp:rsid wsp:val=&quot;008308B0&quot;/&gt;&lt;wsp:rsid wsp:val=&quot;008308ED&quot;/&gt;&lt;wsp:rsid wsp:val=&quot;00830C34&quot;/&gt;&lt;wsp:rsid wsp:val=&quot;00830CA9&quot;/&gt;&lt;wsp:rsid wsp:val=&quot;00830EB1&quot;/&gt;&lt;wsp:rsid wsp:val=&quot;00831024&quot;/&gt;&lt;wsp:rsid wsp:val=&quot;0083142B&quot;/&gt;&lt;wsp:rsid wsp:val=&quot;008317D5&quot;/&gt;&lt;wsp:rsid wsp:val=&quot;00831B9B&quot;/&gt;&lt;wsp:rsid wsp:val=&quot;00832210&quot;/&gt;&lt;wsp:rsid wsp:val=&quot;00832266&quot;/&gt;&lt;wsp:rsid wsp:val=&quot;00832910&quot;/&gt;&lt;wsp:rsid wsp:val=&quot;00833046&quot;/&gt;&lt;wsp:rsid wsp:val=&quot;008334D0&quot;/&gt;&lt;wsp:rsid wsp:val=&quot;00833765&quot;/&gt;&lt;wsp:rsid wsp:val=&quot;008337D9&quot;/&gt;&lt;wsp:rsid wsp:val=&quot;00833B52&quot;/&gt;&lt;wsp:rsid wsp:val=&quot;00833BFB&quot;/&gt;&lt;wsp:rsid wsp:val=&quot;00833EE5&quot;/&gt;&lt;wsp:rsid wsp:val=&quot;00833F7F&quot;/&gt;&lt;wsp:rsid wsp:val=&quot;00834F90&quot;/&gt;&lt;wsp:rsid wsp:val=&quot;00835427&quot;/&gt;&lt;wsp:rsid wsp:val=&quot;00835D2E&quot;/&gt;&lt;wsp:rsid wsp:val=&quot;008360D6&quot;/&gt;&lt;wsp:rsid wsp:val=&quot;008360F6&quot;/&gt;&lt;wsp:rsid wsp:val=&quot;00836557&quot;/&gt;&lt;wsp:rsid wsp:val=&quot;00836794&quot;/&gt;&lt;wsp:rsid wsp:val=&quot;0083764C&quot;/&gt;&lt;wsp:rsid wsp:val=&quot;00837723&quot;/&gt;&lt;wsp:rsid wsp:val=&quot;00837BE6&quot;/&gt;&lt;wsp:rsid wsp:val=&quot;00837FFB&quot;/&gt;&lt;wsp:rsid wsp:val=&quot;00840003&quot;/&gt;&lt;wsp:rsid wsp:val=&quot;008405D5&quot;/&gt;&lt;wsp:rsid wsp:val=&quot;00840865&quot;/&gt;&lt;wsp:rsid wsp:val=&quot;00840881&quot;/&gt;&lt;wsp:rsid wsp:val=&quot;008409AB&quot;/&gt;&lt;wsp:rsid wsp:val=&quot;00840BF4&quot;/&gt;&lt;wsp:rsid wsp:val=&quot;00840D72&quot;/&gt;&lt;wsp:rsid wsp:val=&quot;0084107E&quot;/&gt;&lt;wsp:rsid wsp:val=&quot;00841177&quot;/&gt;&lt;wsp:rsid wsp:val=&quot;0084125A&quot;/&gt;&lt;wsp:rsid wsp:val=&quot;00841AC3&quot;/&gt;&lt;wsp:rsid wsp:val=&quot;00841D5F&quot;/&gt;&lt;wsp:rsid wsp:val=&quot;008421A5&quot;/&gt;&lt;wsp:rsid wsp:val=&quot;008422DA&quot;/&gt;&lt;wsp:rsid wsp:val=&quot;008423C6&quot;/&gt;&lt;wsp:rsid wsp:val=&quot;008424B3&quot;/&gt;&lt;wsp:rsid wsp:val=&quot;00842648&quot;/&gt;&lt;wsp:rsid wsp:val=&quot;00842AA7&quot;/&gt;&lt;wsp:rsid wsp:val=&quot;00842AAB&quot;/&gt;&lt;wsp:rsid wsp:val=&quot;00842D59&quot;/&gt;&lt;wsp:rsid wsp:val=&quot;00842E23&quot;/&gt;&lt;wsp:rsid wsp:val=&quot;00842F8B&quot;/&gt;&lt;wsp:rsid wsp:val=&quot;008431C5&quot;/&gt;&lt;wsp:rsid wsp:val=&quot;008439B7&quot;/&gt;&lt;wsp:rsid wsp:val=&quot;008442DD&quot;/&gt;&lt;wsp:rsid wsp:val=&quot;0084454B&quot;/&gt;&lt;wsp:rsid wsp:val=&quot;00845511&quot;/&gt;&lt;wsp:rsid wsp:val=&quot;00845A10&quot;/&gt;&lt;wsp:rsid wsp:val=&quot;00845DEA&quot;/&gt;&lt;wsp:rsid wsp:val=&quot;008462E7&quot;/&gt;&lt;wsp:rsid wsp:val=&quot;0084647C&quot;/&gt;&lt;wsp:rsid wsp:val=&quot;00846688&quot;/&gt;&lt;wsp:rsid wsp:val=&quot;00846887&quot;/&gt;&lt;wsp:rsid wsp:val=&quot;00846DA8&quot;/&gt;&lt;wsp:rsid wsp:val=&quot;00846E06&quot;/&gt;&lt;wsp:rsid wsp:val=&quot;00846EA5&quot;/&gt;&lt;wsp:rsid wsp:val=&quot;00846EBE&quot;/&gt;&lt;wsp:rsid wsp:val=&quot;008471FE&quot;/&gt;&lt;wsp:rsid wsp:val=&quot;008474C7&quot;/&gt;&lt;wsp:rsid wsp:val=&quot;0084769B&quot;/&gt;&lt;wsp:rsid wsp:val=&quot;0085036D&quot;/&gt;&lt;wsp:rsid wsp:val=&quot;008507AA&quot;/&gt;&lt;wsp:rsid wsp:val=&quot;0085081D&quot;/&gt;&lt;wsp:rsid wsp:val=&quot;00850979&quot;/&gt;&lt;wsp:rsid wsp:val=&quot;00850B1E&quot;/&gt;&lt;wsp:rsid wsp:val=&quot;00850ECA&quot;/&gt;&lt;wsp:rsid wsp:val=&quot;008512AA&quot;/&gt;&lt;wsp:rsid wsp:val=&quot;0085189E&quot;/&gt;&lt;wsp:rsid wsp:val=&quot;00851A14&quot;/&gt;&lt;wsp:rsid wsp:val=&quot;00851ECC&quot;/&gt;&lt;wsp:rsid wsp:val=&quot;008521D0&quot;/&gt;&lt;wsp:rsid wsp:val=&quot;00852273&quot;/&gt;&lt;wsp:rsid wsp:val=&quot;008522E1&quot;/&gt;&lt;wsp:rsid wsp:val=&quot;0085249E&quot;/&gt;&lt;wsp:rsid wsp:val=&quot;00852F02&quot;/&gt;&lt;wsp:rsid wsp:val=&quot;0085311A&quot;/&gt;&lt;wsp:rsid wsp:val=&quot;008531EF&quot;/&gt;&lt;wsp:rsid wsp:val=&quot;008532C0&quot;/&gt;&lt;wsp:rsid wsp:val=&quot;0085363B&quot;/&gt;&lt;wsp:rsid wsp:val=&quot;0085365D&quot;/&gt;&lt;wsp:rsid wsp:val=&quot;0085390A&quot;/&gt;&lt;wsp:rsid wsp:val=&quot;008540BF&quot;/&gt;&lt;wsp:rsid wsp:val=&quot;008546A1&quot;/&gt;&lt;wsp:rsid wsp:val=&quot;00854D03&quot;/&gt;&lt;wsp:rsid wsp:val=&quot;00855A16&quot;/&gt;&lt;wsp:rsid wsp:val=&quot;00855DD8&quot;/&gt;&lt;wsp:rsid wsp:val=&quot;0085660E&quot;/&gt;&lt;wsp:rsid wsp:val=&quot;0085668A&quot;/&gt;&lt;wsp:rsid wsp:val=&quot;00856BB4&quot;/&gt;&lt;wsp:rsid wsp:val=&quot;008570C8&quot;/&gt;&lt;wsp:rsid wsp:val=&quot;0085718F&quot;/&gt;&lt;wsp:rsid wsp:val=&quot;008572A2&quot;/&gt;&lt;wsp:rsid wsp:val=&quot;008576ED&quot;/&gt;&lt;wsp:rsid wsp:val=&quot;008577E5&quot;/&gt;&lt;wsp:rsid wsp:val=&quot;00857A74&quot;/&gt;&lt;wsp:rsid wsp:val=&quot;00860500&quot;/&gt;&lt;wsp:rsid wsp:val=&quot;0086078E&quot;/&gt;&lt;wsp:rsid wsp:val=&quot;00860B9F&quot;/&gt;&lt;wsp:rsid wsp:val=&quot;00860FB2&quot;/&gt;&lt;wsp:rsid wsp:val=&quot;00861BDA&quot;/&gt;&lt;wsp:rsid wsp:val=&quot;00862568&quot;/&gt;&lt;wsp:rsid wsp:val=&quot;00862686&quot;/&gt;&lt;wsp:rsid wsp:val=&quot;008627D7&quot;/&gt;&lt;wsp:rsid wsp:val=&quot;00862A53&quot;/&gt;&lt;wsp:rsid wsp:val=&quot;00862BF0&quot;/&gt;&lt;wsp:rsid wsp:val=&quot;00863283&quot;/&gt;&lt;wsp:rsid wsp:val=&quot;0086335C&quot;/&gt;&lt;wsp:rsid wsp:val=&quot;00863C5E&quot;/&gt;&lt;wsp:rsid wsp:val=&quot;00863F0D&quot;/&gt;&lt;wsp:rsid wsp:val=&quot;00864AF2&quot;/&gt;&lt;wsp:rsid wsp:val=&quot;00864D8E&quot;/&gt;&lt;wsp:rsid wsp:val=&quot;00864FD0&quot;/&gt;&lt;wsp:rsid wsp:val=&quot;00865346&quot;/&gt;&lt;wsp:rsid wsp:val=&quot;008654B4&quot;/&gt;&lt;wsp:rsid wsp:val=&quot;008656DE&quot;/&gt;&lt;wsp:rsid wsp:val=&quot;008657C9&quot;/&gt;&lt;wsp:rsid wsp:val=&quot;00865CE4&quot;/&gt;&lt;wsp:rsid wsp:val=&quot;00865DF1&quot;/&gt;&lt;wsp:rsid wsp:val=&quot;00866201&quot;/&gt;&lt;wsp:rsid wsp:val=&quot;008662FB&quot;/&gt;&lt;wsp:rsid wsp:val=&quot;00866390&quot;/&gt;&lt;wsp:rsid wsp:val=&quot;008665E2&quot;/&gt;&lt;wsp:rsid wsp:val=&quot;00866D09&quot;/&gt;&lt;wsp:rsid wsp:val=&quot;00866DEB&quot;/&gt;&lt;wsp:rsid wsp:val=&quot;00867484&quot;/&gt;&lt;wsp:rsid wsp:val=&quot;00870324&quot;/&gt;&lt;wsp:rsid wsp:val=&quot;00870556&quot;/&gt;&lt;wsp:rsid wsp:val=&quot;0087057B&quot;/&gt;&lt;wsp:rsid wsp:val=&quot;00870FF0&quot;/&gt;&lt;wsp:rsid wsp:val=&quot;008715AA&quot;/&gt;&lt;wsp:rsid wsp:val=&quot;0087167E&quot;/&gt;&lt;wsp:rsid wsp:val=&quot;00871B4E&quot;/&gt;&lt;wsp:rsid wsp:val=&quot;00871C12&quot;/&gt;&lt;wsp:rsid wsp:val=&quot;00871E04&quot;/&gt;&lt;wsp:rsid wsp:val=&quot;00872144&quot;/&gt;&lt;wsp:rsid wsp:val=&quot;008724D1&quot;/&gt;&lt;wsp:rsid wsp:val=&quot;00872BCA&quot;/&gt;&lt;wsp:rsid wsp:val=&quot;00872BE6&quot;/&gt;&lt;wsp:rsid wsp:val=&quot;0087308B&quot;/&gt;&lt;wsp:rsid wsp:val=&quot;00873093&quot;/&gt;&lt;wsp:rsid wsp:val=&quot;008730D6&quot;/&gt;&lt;wsp:rsid wsp:val=&quot;00873300&quot;/&gt;&lt;wsp:rsid wsp:val=&quot;00873497&quot;/&gt;&lt;wsp:rsid wsp:val=&quot;008739C3&quot;/&gt;&lt;wsp:rsid wsp:val=&quot;00873BB4&quot;/&gt;&lt;wsp:rsid wsp:val=&quot;00873F09&quot;/&gt;&lt;wsp:rsid wsp:val=&quot;00874019&quot;/&gt;&lt;wsp:rsid wsp:val=&quot;0087415F&quot;/&gt;&lt;wsp:rsid wsp:val=&quot;00874317&quot;/&gt;&lt;wsp:rsid wsp:val=&quot;008744DE&quot;/&gt;&lt;wsp:rsid wsp:val=&quot;008749D2&quot;/&gt;&lt;wsp:rsid wsp:val=&quot;00875239&quot;/&gt;&lt;wsp:rsid wsp:val=&quot;0087546E&quot;/&gt;&lt;wsp:rsid wsp:val=&quot;00875756&quot;/&gt;&lt;wsp:rsid wsp:val=&quot;00875B3D&quot;/&gt;&lt;wsp:rsid wsp:val=&quot;00875F09&quot;/&gt;&lt;wsp:rsid wsp:val=&quot;008766E7&quot;/&gt;&lt;wsp:rsid wsp:val=&quot;00876742&quot;/&gt;&lt;wsp:rsid wsp:val=&quot;00876AC6&quot;/&gt;&lt;wsp:rsid wsp:val=&quot;00876BA8&quot;/&gt;&lt;wsp:rsid wsp:val=&quot;00876DDC&quot;/&gt;&lt;wsp:rsid wsp:val=&quot;00877194&quot;/&gt;&lt;wsp:rsid wsp:val=&quot;008774D6&quot;/&gt;&lt;wsp:rsid wsp:val=&quot;0087752A&quot;/&gt;&lt;wsp:rsid wsp:val=&quot;008775EB&quot;/&gt;&lt;wsp:rsid wsp:val=&quot;0087767B&quot;/&gt;&lt;wsp:rsid wsp:val=&quot;00877A00&quot;/&gt;&lt;wsp:rsid wsp:val=&quot;00877FD6&quot;/&gt;&lt;wsp:rsid wsp:val=&quot;00880B1E&quot;/&gt;&lt;wsp:rsid wsp:val=&quot;0088141A&quot;/&gt;&lt;wsp:rsid wsp:val=&quot;008815EC&quot;/&gt;&lt;wsp:rsid wsp:val=&quot;00881FA2&quot;/&gt;&lt;wsp:rsid wsp:val=&quot;00882459&quot;/&gt;&lt;wsp:rsid wsp:val=&quot;00882B4F&quot;/&gt;&lt;wsp:rsid wsp:val=&quot;00882B98&quot;/&gt;&lt;wsp:rsid wsp:val=&quot;00882BEE&quot;/&gt;&lt;wsp:rsid wsp:val=&quot;00882CBB&quot;/&gt;&lt;wsp:rsid wsp:val=&quot;00882CFF&quot;/&gt;&lt;wsp:rsid wsp:val=&quot;008834A3&quot;/&gt;&lt;wsp:rsid wsp:val=&quot;0088364A&quot;/&gt;&lt;wsp:rsid wsp:val=&quot;0088364C&quot;/&gt;&lt;wsp:rsid wsp:val=&quot;00883C5D&quot;/&gt;&lt;wsp:rsid wsp:val=&quot;00883D13&quot;/&gt;&lt;wsp:rsid wsp:val=&quot;00884ADB&quot;/&gt;&lt;wsp:rsid wsp:val=&quot;00884C44&quot;/&gt;&lt;wsp:rsid wsp:val=&quot;00884E6B&quot;/&gt;&lt;wsp:rsid wsp:val=&quot;00885155&quot;/&gt;&lt;wsp:rsid wsp:val=&quot;008856C6&quot;/&gt;&lt;wsp:rsid wsp:val=&quot;0088580E&quot;/&gt;&lt;wsp:rsid wsp:val=&quot;00885A7F&quot;/&gt;&lt;wsp:rsid wsp:val=&quot;00885C7C&quot;/&gt;&lt;wsp:rsid wsp:val=&quot;00885EA5&quot;/&gt;&lt;wsp:rsid wsp:val=&quot;00885F4F&quot;/&gt;&lt;wsp:rsid wsp:val=&quot;0088649F&quot;/&gt;&lt;wsp:rsid wsp:val=&quot;00886589&quot;/&gt;&lt;wsp:rsid wsp:val=&quot;008869C9&quot;/&gt;&lt;wsp:rsid wsp:val=&quot;00886C86&quot;/&gt;&lt;wsp:rsid wsp:val=&quot;008874B0&quot;/&gt;&lt;wsp:rsid wsp:val=&quot;00887C49&quot;/&gt;&lt;wsp:rsid wsp:val=&quot;00887D99&quot;/&gt;&lt;wsp:rsid wsp:val=&quot;00887FAF&quot;/&gt;&lt;wsp:rsid wsp:val=&quot;008901AD&quot;/&gt;&lt;wsp:rsid wsp:val=&quot;008916D9&quot;/&gt;&lt;wsp:rsid wsp:val=&quot;00891761&quot;/&gt;&lt;wsp:rsid wsp:val=&quot;008917B6&quot;/&gt;&lt;wsp:rsid wsp:val=&quot;00891940&quot;/&gt;&lt;wsp:rsid wsp:val=&quot;00891D5A&quot;/&gt;&lt;wsp:rsid wsp:val=&quot;00891FD4&quot;/&gt;&lt;wsp:rsid wsp:val=&quot;008921B6&quot;/&gt;&lt;wsp:rsid wsp:val=&quot;008921E0&quot;/&gt;&lt;wsp:rsid wsp:val=&quot;0089228B&quot;/&gt;&lt;wsp:rsid wsp:val=&quot;0089236D&quot;/&gt;&lt;wsp:rsid wsp:val=&quot;008925BC&quot;/&gt;&lt;wsp:rsid wsp:val=&quot;0089262B&quot;/&gt;&lt;wsp:rsid wsp:val=&quot;00892B48&quot;/&gt;&lt;wsp:rsid wsp:val=&quot;00892DDF&quot;/&gt;&lt;wsp:rsid wsp:val=&quot;0089378D&quot;/&gt;&lt;wsp:rsid wsp:val=&quot;00893832&quot;/&gt;&lt;wsp:rsid wsp:val=&quot;00893C5F&quot;/&gt;&lt;wsp:rsid wsp:val=&quot;008940D7&quot;/&gt;&lt;wsp:rsid wsp:val=&quot;00894E05&quot;/&gt;&lt;wsp:rsid wsp:val=&quot;0089503A&quot;/&gt;&lt;wsp:rsid wsp:val=&quot;00895902&quot;/&gt;&lt;wsp:rsid wsp:val=&quot;00895BCF&quot;/&gt;&lt;wsp:rsid wsp:val=&quot;00896009&quot;/&gt;&lt;wsp:rsid wsp:val=&quot;00896017&quot;/&gt;&lt;wsp:rsid wsp:val=&quot;0089690E&quot;/&gt;&lt;wsp:rsid wsp:val=&quot;00896AD6&quot;/&gt;&lt;wsp:rsid wsp:val=&quot;00896E02&quot;/&gt;&lt;wsp:rsid wsp:val=&quot;008971EF&quot;/&gt;&lt;wsp:rsid wsp:val=&quot;00897BD1&quot;/&gt;&lt;wsp:rsid wsp:val=&quot;008A0218&quot;/&gt;&lt;wsp:rsid wsp:val=&quot;008A0858&quot;/&gt;&lt;wsp:rsid wsp:val=&quot;008A0914&quot;/&gt;&lt;wsp:rsid wsp:val=&quot;008A1015&quot;/&gt;&lt;wsp:rsid wsp:val=&quot;008A2373&quot;/&gt;&lt;wsp:rsid wsp:val=&quot;008A2EE5&quot;/&gt;&lt;wsp:rsid wsp:val=&quot;008A3229&quot;/&gt;&lt;wsp:rsid wsp:val=&quot;008A3403&quot;/&gt;&lt;wsp:rsid wsp:val=&quot;008A3544&quot;/&gt;&lt;wsp:rsid wsp:val=&quot;008A367A&quot;/&gt;&lt;wsp:rsid wsp:val=&quot;008A40D2&quot;/&gt;&lt;wsp:rsid wsp:val=&quot;008A4461&quot;/&gt;&lt;wsp:rsid wsp:val=&quot;008A45BA&quot;/&gt;&lt;wsp:rsid wsp:val=&quot;008A4824&quot;/&gt;&lt;wsp:rsid wsp:val=&quot;008A52F7&quot;/&gt;&lt;wsp:rsid wsp:val=&quot;008A5D0D&quot;/&gt;&lt;wsp:rsid wsp:val=&quot;008A60D7&quot;/&gt;&lt;wsp:rsid wsp:val=&quot;008A693E&quot;/&gt;&lt;wsp:rsid wsp:val=&quot;008A69E3&quot;/&gt;&lt;wsp:rsid wsp:val=&quot;008A6FAD&quot;/&gt;&lt;wsp:rsid wsp:val=&quot;008A79D1&quot;/&gt;&lt;wsp:rsid wsp:val=&quot;008B0235&quot;/&gt;&lt;wsp:rsid wsp:val=&quot;008B0311&quot;/&gt;&lt;wsp:rsid wsp:val=&quot;008B0874&quot;/&gt;&lt;wsp:rsid wsp:val=&quot;008B0A8B&quot;/&gt;&lt;wsp:rsid wsp:val=&quot;008B0F7B&quot;/&gt;&lt;wsp:rsid wsp:val=&quot;008B1380&quot;/&gt;&lt;wsp:rsid wsp:val=&quot;008B1495&quot;/&gt;&lt;wsp:rsid wsp:val=&quot;008B15FF&quot;/&gt;&lt;wsp:rsid wsp:val=&quot;008B1A9B&quot;/&gt;&lt;wsp:rsid wsp:val=&quot;008B21FC&quot;/&gt;&lt;wsp:rsid wsp:val=&quot;008B22AF&quot;/&gt;&lt;wsp:rsid wsp:val=&quot;008B27DB&quot;/&gt;&lt;wsp:rsid wsp:val=&quot;008B2CBD&quot;/&gt;&lt;wsp:rsid wsp:val=&quot;008B2E7D&quot;/&gt;&lt;wsp:rsid wsp:val=&quot;008B3133&quot;/&gt;&lt;wsp:rsid wsp:val=&quot;008B37EC&quot;/&gt;&lt;wsp:rsid wsp:val=&quot;008B3D94&quot;/&gt;&lt;wsp:rsid wsp:val=&quot;008B3F49&quot;/&gt;&lt;wsp:rsid wsp:val=&quot;008B46D4&quot;/&gt;&lt;wsp:rsid wsp:val=&quot;008B4784&quot;/&gt;&lt;wsp:rsid wsp:val=&quot;008B479C&quot;/&gt;&lt;wsp:rsid wsp:val=&quot;008B480D&quot;/&gt;&lt;wsp:rsid wsp:val=&quot;008B4871&quot;/&gt;&lt;wsp:rsid wsp:val=&quot;008B4C94&quot;/&gt;&lt;wsp:rsid wsp:val=&quot;008B4D12&quot;/&gt;&lt;wsp:rsid wsp:val=&quot;008B5076&quot;/&gt;&lt;wsp:rsid wsp:val=&quot;008B511C&quot;/&gt;&lt;wsp:rsid wsp:val=&quot;008B51CD&quot;/&gt;&lt;wsp:rsid wsp:val=&quot;008B537D&quot;/&gt;&lt;wsp:rsid wsp:val=&quot;008B55CB&quot;/&gt;&lt;wsp:rsid wsp:val=&quot;008B5F9B&quot;/&gt;&lt;wsp:rsid wsp:val=&quot;008B685B&quot;/&gt;&lt;wsp:rsid wsp:val=&quot;008B6A24&quot;/&gt;&lt;wsp:rsid wsp:val=&quot;008B7677&quot;/&gt;&lt;wsp:rsid wsp:val=&quot;008C0139&quot;/&gt;&lt;wsp:rsid wsp:val=&quot;008C0B09&quot;/&gt;&lt;wsp:rsid wsp:val=&quot;008C0BD6&quot;/&gt;&lt;wsp:rsid wsp:val=&quot;008C0DC9&quot;/&gt;&lt;wsp:rsid wsp:val=&quot;008C195C&quot;/&gt;&lt;wsp:rsid wsp:val=&quot;008C1B67&quot;/&gt;&lt;wsp:rsid wsp:val=&quot;008C1C5B&quot;/&gt;&lt;wsp:rsid wsp:val=&quot;008C1F00&quot;/&gt;&lt;wsp:rsid wsp:val=&quot;008C22A4&quot;/&gt;&lt;wsp:rsid wsp:val=&quot;008C279D&quot;/&gt;&lt;wsp:rsid wsp:val=&quot;008C28A5&quot;/&gt;&lt;wsp:rsid wsp:val=&quot;008C2AA0&quot;/&gt;&lt;wsp:rsid wsp:val=&quot;008C2CE7&quot;/&gt;&lt;wsp:rsid wsp:val=&quot;008C2EDE&quot;/&gt;&lt;wsp:rsid wsp:val=&quot;008C358C&quot;/&gt;&lt;wsp:rsid wsp:val=&quot;008C3741&quot;/&gt;&lt;wsp:rsid wsp:val=&quot;008C3BB3&quot;/&gt;&lt;wsp:rsid wsp:val=&quot;008C3CEC&quot;/&gt;&lt;wsp:rsid wsp:val=&quot;008C3E8E&quot;/&gt;&lt;wsp:rsid wsp:val=&quot;008C3FEE&quot;/&gt;&lt;wsp:rsid wsp:val=&quot;008C405B&quot;/&gt;&lt;wsp:rsid wsp:val=&quot;008C40E4&quot;/&gt;&lt;wsp:rsid wsp:val=&quot;008C4714&quot;/&gt;&lt;wsp:rsid wsp:val=&quot;008C4BF3&quot;/&gt;&lt;wsp:rsid wsp:val=&quot;008C50F8&quot;/&gt;&lt;wsp:rsid wsp:val=&quot;008C5321&quot;/&gt;&lt;wsp:rsid wsp:val=&quot;008C549B&quot;/&gt;&lt;wsp:rsid wsp:val=&quot;008C5906&quot;/&gt;&lt;wsp:rsid wsp:val=&quot;008C5FA5&quot;/&gt;&lt;wsp:rsid wsp:val=&quot;008C6254&quot;/&gt;&lt;wsp:rsid wsp:val=&quot;008C6CB3&quot;/&gt;&lt;wsp:rsid wsp:val=&quot;008C7133&quot;/&gt;&lt;wsp:rsid wsp:val=&quot;008C7166&quot;/&gt;&lt;wsp:rsid wsp:val=&quot;008C7AA1&quot;/&gt;&lt;wsp:rsid wsp:val=&quot;008C7F22&quot;/&gt;&lt;wsp:rsid wsp:val=&quot;008D0087&quot;/&gt;&lt;wsp:rsid wsp:val=&quot;008D027D&quot;/&gt;&lt;wsp:rsid wsp:val=&quot;008D02FB&quot;/&gt;&lt;wsp:rsid wsp:val=&quot;008D08B0&quot;/&gt;&lt;wsp:rsid wsp:val=&quot;008D0B60&quot;/&gt;&lt;wsp:rsid wsp:val=&quot;008D0EEB&quot;/&gt;&lt;wsp:rsid wsp:val=&quot;008D146E&quot;/&gt;&lt;wsp:rsid wsp:val=&quot;008D1A59&quot;/&gt;&lt;wsp:rsid wsp:val=&quot;008D1BC9&quot;/&gt;&lt;wsp:rsid wsp:val=&quot;008D1E4C&quot;/&gt;&lt;wsp:rsid wsp:val=&quot;008D1F52&quot;/&gt;&lt;wsp:rsid wsp:val=&quot;008D1FA3&quot;/&gt;&lt;wsp:rsid wsp:val=&quot;008D1FDC&quot;/&gt;&lt;wsp:rsid wsp:val=&quot;008D2192&quot;/&gt;&lt;wsp:rsid wsp:val=&quot;008D2599&quot;/&gt;&lt;wsp:rsid wsp:val=&quot;008D2633&quot;/&gt;&lt;wsp:rsid wsp:val=&quot;008D277B&quot;/&gt;&lt;wsp:rsid wsp:val=&quot;008D2919&quot;/&gt;&lt;wsp:rsid wsp:val=&quot;008D2BCC&quot;/&gt;&lt;wsp:rsid wsp:val=&quot;008D2F5B&quot;/&gt;&lt;wsp:rsid wsp:val=&quot;008D2F9C&quot;/&gt;&lt;wsp:rsid wsp:val=&quot;008D3D94&quot;/&gt;&lt;wsp:rsid wsp:val=&quot;008D3E7D&quot;/&gt;&lt;wsp:rsid wsp:val=&quot;008D4562&quot;/&gt;&lt;wsp:rsid wsp:val=&quot;008D4587&quot;/&gt;&lt;wsp:rsid wsp:val=&quot;008D4647&quot;/&gt;&lt;wsp:rsid wsp:val=&quot;008D5676&quot;/&gt;&lt;wsp:rsid wsp:val=&quot;008D5B4C&quot;/&gt;&lt;wsp:rsid wsp:val=&quot;008D5C22&quot;/&gt;&lt;wsp:rsid wsp:val=&quot;008D5CF5&quot;/&gt;&lt;wsp:rsid wsp:val=&quot;008D62E3&quot;/&gt;&lt;wsp:rsid wsp:val=&quot;008D6E6F&quot;/&gt;&lt;wsp:rsid wsp:val=&quot;008D701E&quot;/&gt;&lt;wsp:rsid wsp:val=&quot;008D7046&quot;/&gt;&lt;wsp:rsid wsp:val=&quot;008D7C6D&quot;/&gt;&lt;wsp:rsid wsp:val=&quot;008D7EDF&quot;/&gt;&lt;wsp:rsid wsp:val=&quot;008E0237&quot;/&gt;&lt;wsp:rsid wsp:val=&quot;008E07B8&quot;/&gt;&lt;wsp:rsid wsp:val=&quot;008E16F7&quot;/&gt;&lt;wsp:rsid wsp:val=&quot;008E1B2C&quot;/&gt;&lt;wsp:rsid wsp:val=&quot;008E1D82&quot;/&gt;&lt;wsp:rsid wsp:val=&quot;008E2047&quot;/&gt;&lt;wsp:rsid wsp:val=&quot;008E21FA&quot;/&gt;&lt;wsp:rsid wsp:val=&quot;008E2208&quot;/&gt;&lt;wsp:rsid wsp:val=&quot;008E2333&quot;/&gt;&lt;wsp:rsid wsp:val=&quot;008E25DD&quot;/&gt;&lt;wsp:rsid wsp:val=&quot;008E2F2F&quot;/&gt;&lt;wsp:rsid wsp:val=&quot;008E3008&quot;/&gt;&lt;wsp:rsid wsp:val=&quot;008E300F&quot;/&gt;&lt;wsp:rsid wsp:val=&quot;008E3155&quot;/&gt;&lt;wsp:rsid wsp:val=&quot;008E35E1&quot;/&gt;&lt;wsp:rsid wsp:val=&quot;008E37EF&quot;/&gt;&lt;wsp:rsid wsp:val=&quot;008E37FE&quot;/&gt;&lt;wsp:rsid wsp:val=&quot;008E393E&quot;/&gt;&lt;wsp:rsid wsp:val=&quot;008E39E5&quot;/&gt;&lt;wsp:rsid wsp:val=&quot;008E3A99&quot;/&gt;&lt;wsp:rsid wsp:val=&quot;008E3CC2&quot;/&gt;&lt;wsp:rsid wsp:val=&quot;008E3E45&quot;/&gt;&lt;wsp:rsid wsp:val=&quot;008E41F2&quot;/&gt;&lt;wsp:rsid wsp:val=&quot;008E4259&quot;/&gt;&lt;wsp:rsid wsp:val=&quot;008E4502&quot;/&gt;&lt;wsp:rsid wsp:val=&quot;008E50AE&quot;/&gt;&lt;wsp:rsid wsp:val=&quot;008E53F9&quot;/&gt;&lt;wsp:rsid wsp:val=&quot;008E609E&quot;/&gt;&lt;wsp:rsid wsp:val=&quot;008E629D&quot;/&gt;&lt;wsp:rsid wsp:val=&quot;008E6BDA&quot;/&gt;&lt;wsp:rsid wsp:val=&quot;008E6F84&quot;/&gt;&lt;wsp:rsid wsp:val=&quot;008E78D6&quot;/&gt;&lt;wsp:rsid wsp:val=&quot;008E7C07&quot;/&gt;&lt;wsp:rsid wsp:val=&quot;008E7C16&quot;/&gt;&lt;wsp:rsid wsp:val=&quot;008E7D55&quot;/&gt;&lt;wsp:rsid wsp:val=&quot;008F01DA&quot;/&gt;&lt;wsp:rsid wsp:val=&quot;008F0B26&quot;/&gt;&lt;wsp:rsid wsp:val=&quot;008F1D38&quot;/&gt;&lt;wsp:rsid wsp:val=&quot;008F1EBA&quot;/&gt;&lt;wsp:rsid wsp:val=&quot;008F1FB1&quot;/&gt;&lt;wsp:rsid wsp:val=&quot;008F27A0&quot;/&gt;&lt;wsp:rsid wsp:val=&quot;008F32A3&quot;/&gt;&lt;wsp:rsid wsp:val=&quot;008F332E&quot;/&gt;&lt;wsp:rsid wsp:val=&quot;008F339B&quot;/&gt;&lt;wsp:rsid wsp:val=&quot;008F389C&quot;/&gt;&lt;wsp:rsid wsp:val=&quot;008F3901&quot;/&gt;&lt;wsp:rsid wsp:val=&quot;008F3958&quot;/&gt;&lt;wsp:rsid wsp:val=&quot;008F39D8&quot;/&gt;&lt;wsp:rsid wsp:val=&quot;008F3DE8&quot;/&gt;&lt;wsp:rsid wsp:val=&quot;008F3FEB&quot;/&gt;&lt;wsp:rsid wsp:val=&quot;008F4203&quot;/&gt;&lt;wsp:rsid wsp:val=&quot;008F433C&quot;/&gt;&lt;wsp:rsid wsp:val=&quot;008F4714&quot;/&gt;&lt;wsp:rsid wsp:val=&quot;008F4965&quot;/&gt;&lt;wsp:rsid wsp:val=&quot;008F4BD9&quot;/&gt;&lt;wsp:rsid wsp:val=&quot;008F4C10&quot;/&gt;&lt;wsp:rsid wsp:val=&quot;008F4DF1&quot;/&gt;&lt;wsp:rsid wsp:val=&quot;008F52EB&quot;/&gt;&lt;wsp:rsid wsp:val=&quot;008F574F&quot;/&gt;&lt;wsp:rsid wsp:val=&quot;008F58D0&quot;/&gt;&lt;wsp:rsid wsp:val=&quot;008F5BA9&quot;/&gt;&lt;wsp:rsid wsp:val=&quot;008F605A&quot;/&gt;&lt;wsp:rsid wsp:val=&quot;008F6146&quot;/&gt;&lt;wsp:rsid wsp:val=&quot;008F62A2&quot;/&gt;&lt;wsp:rsid wsp:val=&quot;008F6883&quot;/&gt;&lt;wsp:rsid wsp:val=&quot;008F6951&quot;/&gt;&lt;wsp:rsid wsp:val=&quot;008F6996&quot;/&gt;&lt;wsp:rsid wsp:val=&quot;008F6A17&quot;/&gt;&lt;wsp:rsid wsp:val=&quot;008F6A1C&quot;/&gt;&lt;wsp:rsid wsp:val=&quot;008F6DB0&quot;/&gt;&lt;wsp:rsid wsp:val=&quot;008F7DD4&quot;/&gt;&lt;wsp:rsid wsp:val=&quot;00900258&quot;/&gt;&lt;wsp:rsid wsp:val=&quot;0090025A&quot;/&gt;&lt;wsp:rsid wsp:val=&quot;009005CE&quot;/&gt;&lt;wsp:rsid wsp:val=&quot;009006D4&quot;/&gt;&lt;wsp:rsid wsp:val=&quot;009007AD&quot;/&gt;&lt;wsp:rsid wsp:val=&quot;0090089D&quot;/&gt;&lt;wsp:rsid wsp:val=&quot;00900BE1&quot;/&gt;&lt;wsp:rsid wsp:val=&quot;00900F0D&quot;/&gt;&lt;wsp:rsid wsp:val=&quot;0090276B&quot;/&gt;&lt;wsp:rsid wsp:val=&quot;009029EC&quot;/&gt;&lt;wsp:rsid wsp:val=&quot;00902C1F&quot;/&gt;&lt;wsp:rsid wsp:val=&quot;0090377B&quot;/&gt;&lt;wsp:rsid wsp:val=&quot;00903C7A&quot;/&gt;&lt;wsp:rsid wsp:val=&quot;00903F16&quot;/&gt;&lt;wsp:rsid wsp:val=&quot;00904045&quot;/&gt;&lt;wsp:rsid wsp:val=&quot;00904080&quot;/&gt;&lt;wsp:rsid wsp:val=&quot;009043F9&quot;/&gt;&lt;wsp:rsid wsp:val=&quot;00904472&quot;/&gt;&lt;wsp:rsid wsp:val=&quot;009045A9&quot;/&gt;&lt;wsp:rsid wsp:val=&quot;00904712&quot;/&gt;&lt;wsp:rsid wsp:val=&quot;0090478F&quot;/&gt;&lt;wsp:rsid wsp:val=&quot;009051F0&quot;/&gt;&lt;wsp:rsid wsp:val=&quot;00905A5E&quot;/&gt;&lt;wsp:rsid wsp:val=&quot;00905CBA&quot;/&gt;&lt;wsp:rsid wsp:val=&quot;0090648A&quot;/&gt;&lt;wsp:rsid wsp:val=&quot;009075F4&quot;/&gt;&lt;wsp:rsid wsp:val=&quot;00907C83&quot;/&gt;&lt;wsp:rsid wsp:val=&quot;00910035&quot;/&gt;&lt;wsp:rsid wsp:val=&quot;0091053C&quot;/&gt;&lt;wsp:rsid wsp:val=&quot;0091065D&quot;/&gt;&lt;wsp:rsid wsp:val=&quot;0091086A&quot;/&gt;&lt;wsp:rsid wsp:val=&quot;00910B58&quot;/&gt;&lt;wsp:rsid wsp:val=&quot;009113F3&quot;/&gt;&lt;wsp:rsid wsp:val=&quot;00911544&quot;/&gt;&lt;wsp:rsid wsp:val=&quot;009115EC&quot;/&gt;&lt;wsp:rsid wsp:val=&quot;009117DA&quot;/&gt;&lt;wsp:rsid wsp:val=&quot;009123C2&quot;/&gt;&lt;wsp:rsid wsp:val=&quot;0091262D&quot;/&gt;&lt;wsp:rsid wsp:val=&quot;009128A4&quot;/&gt;&lt;wsp:rsid wsp:val=&quot;00912B17&quot;/&gt;&lt;wsp:rsid wsp:val=&quot;00912B28&quot;/&gt;&lt;wsp:rsid wsp:val=&quot;00912CB6&quot;/&gt;&lt;wsp:rsid wsp:val=&quot;00912D03&quot;/&gt;&lt;wsp:rsid wsp:val=&quot;00912DA8&quot;/&gt;&lt;wsp:rsid wsp:val=&quot;00913D83&quot;/&gt;&lt;wsp:rsid wsp:val=&quot;00913F19&quot;/&gt;&lt;wsp:rsid wsp:val=&quot;009141B3&quot;/&gt;&lt;wsp:rsid wsp:val=&quot;00914465&quot;/&gt;&lt;wsp:rsid wsp:val=&quot;009144E0&quot;/&gt;&lt;wsp:rsid wsp:val=&quot;00914696&quot;/&gt;&lt;wsp:rsid wsp:val=&quot;00914791&quot;/&gt;&lt;wsp:rsid wsp:val=&quot;0091480C&quot;/&gt;&lt;wsp:rsid wsp:val=&quot;00914B51&quot;/&gt;&lt;wsp:rsid wsp:val=&quot;00914EB6&quot;/&gt;&lt;wsp:rsid wsp:val=&quot;00915384&quot;/&gt;&lt;wsp:rsid wsp:val=&quot;00915889&quot;/&gt;&lt;wsp:rsid wsp:val=&quot;0091617F&quot;/&gt;&lt;wsp:rsid wsp:val=&quot;009161C7&quot;/&gt;&lt;wsp:rsid wsp:val=&quot;009162E2&quot;/&gt;&lt;wsp:rsid wsp:val=&quot;0091631A&quot;/&gt;&lt;wsp:rsid wsp:val=&quot;0091676C&quot;/&gt;&lt;wsp:rsid wsp:val=&quot;00916C47&quot;/&gt;&lt;wsp:rsid wsp:val=&quot;009173F8&quot;/&gt;&lt;wsp:rsid wsp:val=&quot;0091747C&quot;/&gt;&lt;wsp:rsid wsp:val=&quot;00917509&quot;/&gt;&lt;wsp:rsid wsp:val=&quot;00917942&quot;/&gt;&lt;wsp:rsid wsp:val=&quot;00917FA0&quot;/&gt;&lt;wsp:rsid wsp:val=&quot;0092006A&quot;/&gt;&lt;wsp:rsid wsp:val=&quot;009200F2&quot;/&gt;&lt;wsp:rsid wsp:val=&quot;00920B2E&quot;/&gt;&lt;wsp:rsid wsp:val=&quot;00920E7E&quot;/&gt;&lt;wsp:rsid wsp:val=&quot;00921057&quot;/&gt;&lt;wsp:rsid wsp:val=&quot;009213B8&quot;/&gt;&lt;wsp:rsid wsp:val=&quot;00921535&quot;/&gt;&lt;wsp:rsid wsp:val=&quot;0092197E&quot;/&gt;&lt;wsp:rsid wsp:val=&quot;00921F3D&quot;/&gt;&lt;wsp:rsid wsp:val=&quot;009220CE&quot;/&gt;&lt;wsp:rsid wsp:val=&quot;009221C2&quot;/&gt;&lt;wsp:rsid wsp:val=&quot;00922460&quot;/&gt;&lt;wsp:rsid wsp:val=&quot;00922638&quot;/&gt;&lt;wsp:rsid wsp:val=&quot;00922D5F&quot;/&gt;&lt;wsp:rsid wsp:val=&quot;00922E74&quot;/&gt;&lt;wsp:rsid wsp:val=&quot;00922F47&quot;/&gt;&lt;wsp:rsid wsp:val=&quot;009232C7&quot;/&gt;&lt;wsp:rsid wsp:val=&quot;009233B9&quot;/&gt;&lt;wsp:rsid wsp:val=&quot;009241CC&quot;/&gt;&lt;wsp:rsid wsp:val=&quot;009242A9&quot;/&gt;&lt;wsp:rsid wsp:val=&quot;0092458E&quot;/&gt;&lt;wsp:rsid wsp:val=&quot;009245EA&quot;/&gt;&lt;wsp:rsid wsp:val=&quot;00924626&quot;/&gt;&lt;wsp:rsid wsp:val=&quot;00924869&quot;/&gt;&lt;wsp:rsid wsp:val=&quot;00924AFD&quot;/&gt;&lt;wsp:rsid wsp:val=&quot;0092580E&quot;/&gt;&lt;wsp:rsid wsp:val=&quot;00925DE1&quot;/&gt;&lt;wsp:rsid wsp:val=&quot;0092664E&quot;/&gt;&lt;wsp:rsid wsp:val=&quot;00927387&quot;/&gt;&lt;wsp:rsid wsp:val=&quot;00927F99&quot;/&gt;&lt;wsp:rsid wsp:val=&quot;00930153&quot;/&gt;&lt;wsp:rsid wsp:val=&quot;00930A27&quot;/&gt;&lt;wsp:rsid wsp:val=&quot;00930BC9&quot;/&gt;&lt;wsp:rsid wsp:val=&quot;00930C8A&quot;/&gt;&lt;wsp:rsid wsp:val=&quot;00930FA0&quot;/&gt;&lt;wsp:rsid wsp:val=&quot;00931920&quot;/&gt;&lt;wsp:rsid wsp:val=&quot;00931BB1&quot;/&gt;&lt;wsp:rsid wsp:val=&quot;009321EF&quot;/&gt;&lt;wsp:rsid wsp:val=&quot;009325A8&quot;/&gt;&lt;wsp:rsid wsp:val=&quot;009329D8&quot;/&gt;&lt;wsp:rsid wsp:val=&quot;00932A07&quot;/&gt;&lt;wsp:rsid wsp:val=&quot;00932B2A&quot;/&gt;&lt;wsp:rsid wsp:val=&quot;00932DF1&quot;/&gt;&lt;wsp:rsid wsp:val=&quot;00932EC9&quot;/&gt;&lt;wsp:rsid wsp:val=&quot;00932FA5&quot;/&gt;&lt;wsp:rsid wsp:val=&quot;009333D4&quot;/&gt;&lt;wsp:rsid wsp:val=&quot;00933EC6&quot;/&gt;&lt;wsp:rsid wsp:val=&quot;00933FB3&quot;/&gt;&lt;wsp:rsid wsp:val=&quot;009340BC&quot;/&gt;&lt;wsp:rsid wsp:val=&quot;00934272&quot;/&gt;&lt;wsp:rsid wsp:val=&quot;009342C1&quot;/&gt;&lt;wsp:rsid wsp:val=&quot;009346ED&quot;/&gt;&lt;wsp:rsid wsp:val=&quot;00935387&quot;/&gt;&lt;wsp:rsid wsp:val=&quot;00935490&quot;/&gt;&lt;wsp:rsid wsp:val=&quot;00936344&quot;/&gt;&lt;wsp:rsid wsp:val=&quot;009368E8&quot;/&gt;&lt;wsp:rsid wsp:val=&quot;00936C33&quot;/&gt;&lt;wsp:rsid wsp:val=&quot;009371E9&quot;/&gt;&lt;wsp:rsid wsp:val=&quot;0093742D&quot;/&gt;&lt;wsp:rsid wsp:val=&quot;009400F1&quot;/&gt;&lt;wsp:rsid wsp:val=&quot;009401F6&quot;/&gt;&lt;wsp:rsid wsp:val=&quot;0094049E&quot;/&gt;&lt;wsp:rsid wsp:val=&quot;009405CE&quot;/&gt;&lt;wsp:rsid wsp:val=&quot;00940A36&quot;/&gt;&lt;wsp:rsid wsp:val=&quot;00940BED&quot;/&gt;&lt;wsp:rsid wsp:val=&quot;0094119D&quot;/&gt;&lt;wsp:rsid wsp:val=&quot;0094120D&quot;/&gt;&lt;wsp:rsid wsp:val=&quot;00941560&quot;/&gt;&lt;wsp:rsid wsp:val=&quot;00941A15&quot;/&gt;&lt;wsp:rsid wsp:val=&quot;009420DF&quot;/&gt;&lt;wsp:rsid wsp:val=&quot;00942C06&quot;/&gt;&lt;wsp:rsid wsp:val=&quot;00942C1F&quot;/&gt;&lt;wsp:rsid wsp:val=&quot;0094314F&quot;/&gt;&lt;wsp:rsid wsp:val=&quot;009432B0&quot;/&gt;&lt;wsp:rsid wsp:val=&quot;00943583&quot;/&gt;&lt;wsp:rsid wsp:val=&quot;00943716&quot;/&gt;&lt;wsp:rsid wsp:val=&quot;0094400F&quot;/&gt;&lt;wsp:rsid wsp:val=&quot;0094414E&quot;/&gt;&lt;wsp:rsid wsp:val=&quot;00944193&quot;/&gt;&lt;wsp:rsid wsp:val=&quot;0094463C&quot;/&gt;&lt;wsp:rsid wsp:val=&quot;00944719&quot;/&gt;&lt;wsp:rsid wsp:val=&quot;00945024&quot;/&gt;&lt;wsp:rsid wsp:val=&quot;00945190&quot;/&gt;&lt;wsp:rsid wsp:val=&quot;0094523E&quot;/&gt;&lt;wsp:rsid wsp:val=&quot;009452F0&quot;/&gt;&lt;wsp:rsid wsp:val=&quot;009453CE&quot;/&gt;&lt;wsp:rsid wsp:val=&quot;009456B9&quot;/&gt;&lt;wsp:rsid wsp:val=&quot;009456FE&quot;/&gt;&lt;wsp:rsid wsp:val=&quot;00945A9B&quot;/&gt;&lt;wsp:rsid wsp:val=&quot;00945F59&quot;/&gt;&lt;wsp:rsid wsp:val=&quot;00945FEC&quot;/&gt;&lt;wsp:rsid wsp:val=&quot;00946290&quot;/&gt;&lt;wsp:rsid wsp:val=&quot;00946A0E&quot;/&gt;&lt;wsp:rsid wsp:val=&quot;00946F18&quot;/&gt;&lt;wsp:rsid wsp:val=&quot;00947085&quot;/&gt;&lt;wsp:rsid wsp:val=&quot;00947BB6&quot;/&gt;&lt;wsp:rsid wsp:val=&quot;00947C34&quot;/&gt;&lt;wsp:rsid wsp:val=&quot;00947CA2&quot;/&gt;&lt;wsp:rsid wsp:val=&quot;00947DF2&quot;/&gt;&lt;wsp:rsid wsp:val=&quot;00947E4C&quot;/&gt;&lt;wsp:rsid wsp:val=&quot;00947FC9&quot;/&gt;&lt;wsp:rsid wsp:val=&quot;00950207&quot;/&gt;&lt;wsp:rsid wsp:val=&quot;0095056C&quot;/&gt;&lt;wsp:rsid wsp:val=&quot;0095102F&quot;/&gt;&lt;wsp:rsid wsp:val=&quot;00951379&quot;/&gt;&lt;wsp:rsid wsp:val=&quot;00951403&quot;/&gt;&lt;wsp:rsid wsp:val=&quot;00951CD3&quot;/&gt;&lt;wsp:rsid wsp:val=&quot;00951E0C&quot;/&gt;&lt;wsp:rsid wsp:val=&quot;009528C5&quot;/&gt;&lt;wsp:rsid wsp:val=&quot;0095318A&quot;/&gt;&lt;wsp:rsid wsp:val=&quot;009532FD&quot;/&gt;&lt;wsp:rsid wsp:val=&quot;00953515&quot;/&gt;&lt;wsp:rsid wsp:val=&quot;009536F8&quot;/&gt;&lt;wsp:rsid wsp:val=&quot;0095426E&quot;/&gt;&lt;wsp:rsid wsp:val=&quot;00954CA2&quot;/&gt;&lt;wsp:rsid wsp:val=&quot;00954F38&quot;/&gt;&lt;wsp:rsid wsp:val=&quot;009550EB&quot;/&gt;&lt;wsp:rsid wsp:val=&quot;0095521F&quot;/&gt;&lt;wsp:rsid wsp:val=&quot;009552E0&quot;/&gt;&lt;wsp:rsid wsp:val=&quot;009552E9&quot;/&gt;&lt;wsp:rsid wsp:val=&quot;009556EC&quot;/&gt;&lt;wsp:rsid wsp:val=&quot;00955729&quot;/&gt;&lt;wsp:rsid wsp:val=&quot;00955F42&quot;/&gt;&lt;wsp:rsid wsp:val=&quot;00956511&quot;/&gt;&lt;wsp:rsid wsp:val=&quot;00956A97&quot;/&gt;&lt;wsp:rsid wsp:val=&quot;00956F9F&quot;/&gt;&lt;wsp:rsid wsp:val=&quot;0095716B&quot;/&gt;&lt;wsp:rsid wsp:val=&quot;0095757A&quot;/&gt;&lt;wsp:rsid wsp:val=&quot;00957AAE&quot;/&gt;&lt;wsp:rsid wsp:val=&quot;00960964&quot;/&gt;&lt;wsp:rsid wsp:val=&quot;00960B4D&quot;/&gt;&lt;wsp:rsid wsp:val=&quot;00961087&quot;/&gt;&lt;wsp:rsid wsp:val=&quot;009619F0&quot;/&gt;&lt;wsp:rsid wsp:val=&quot;00961A14&quot;/&gt;&lt;wsp:rsid wsp:val=&quot;00961FEF&quot;/&gt;&lt;wsp:rsid wsp:val=&quot;00962820&quot;/&gt;&lt;wsp:rsid wsp:val=&quot;009629DE&quot;/&gt;&lt;wsp:rsid wsp:val=&quot;009632EA&quot;/&gt;&lt;wsp:rsid wsp:val=&quot;00963435&quot;/&gt;&lt;wsp:rsid wsp:val=&quot;0096360F&quot;/&gt;&lt;wsp:rsid wsp:val=&quot;009637BE&quot;/&gt;&lt;wsp:rsid wsp:val=&quot;00964589&quot;/&gt;&lt;wsp:rsid wsp:val=&quot;00964766&quot;/&gt;&lt;wsp:rsid wsp:val=&quot;009649AF&quot;/&gt;&lt;wsp:rsid wsp:val=&quot;009649ED&quot;/&gt;&lt;wsp:rsid wsp:val=&quot;00964A05&quot;/&gt;&lt;wsp:rsid wsp:val=&quot;00964A91&quot;/&gt;&lt;wsp:rsid wsp:val=&quot;00965404&quot;/&gt;&lt;wsp:rsid wsp:val=&quot;00965860&quot;/&gt;&lt;wsp:rsid wsp:val=&quot;00965AF0&quot;/&gt;&lt;wsp:rsid wsp:val=&quot;00965C9C&quot;/&gt;&lt;wsp:rsid wsp:val=&quot;00965F6E&quot;/&gt;&lt;wsp:rsid wsp:val=&quot;0096629C&quot;/&gt;&lt;wsp:rsid wsp:val=&quot;009668BD&quot;/&gt;&lt;wsp:rsid wsp:val=&quot;00966A04&quot;/&gt;&lt;wsp:rsid wsp:val=&quot;00966A4E&quot;/&gt;&lt;wsp:rsid wsp:val=&quot;0096710D&quot;/&gt;&lt;wsp:rsid wsp:val=&quot;00967120&quot;/&gt;&lt;wsp:rsid wsp:val=&quot;00967210&quot;/&gt;&lt;wsp:rsid wsp:val=&quot;0096743A&quot;/&gt;&lt;wsp:rsid wsp:val=&quot;009674CF&quot;/&gt;&lt;wsp:rsid wsp:val=&quot;00967753&quot;/&gt;&lt;wsp:rsid wsp:val=&quot;00967A0D&quot;/&gt;&lt;wsp:rsid wsp:val=&quot;00967B52&quot;/&gt;&lt;wsp:rsid wsp:val=&quot;00967C76&quot;/&gt;&lt;wsp:rsid wsp:val=&quot;00970039&quot;/&gt;&lt;wsp:rsid wsp:val=&quot;009705A0&quot;/&gt;&lt;wsp:rsid wsp:val=&quot;00970841&quot;/&gt;&lt;wsp:rsid wsp:val=&quot;00970877&quot;/&gt;&lt;wsp:rsid wsp:val=&quot;00971109&quot;/&gt;&lt;wsp:rsid wsp:val=&quot;00971204&quot;/&gt;&lt;wsp:rsid wsp:val=&quot;00971647&quot;/&gt;&lt;wsp:rsid wsp:val=&quot;0097191F&quot;/&gt;&lt;wsp:rsid wsp:val=&quot;00971AA6&quot;/&gt;&lt;wsp:rsid wsp:val=&quot;00971BC4&quot;/&gt;&lt;wsp:rsid wsp:val=&quot;00971D70&quot;/&gt;&lt;wsp:rsid wsp:val=&quot;00971EEE&quot;/&gt;&lt;wsp:rsid wsp:val=&quot;00972465&quot;/&gt;&lt;wsp:rsid wsp:val=&quot;009727D7&quot;/&gt;&lt;wsp:rsid wsp:val=&quot;00972805&quot;/&gt;&lt;wsp:rsid wsp:val=&quot;00972917&quot;/&gt;&lt;wsp:rsid wsp:val=&quot;00972C80&quot;/&gt;&lt;wsp:rsid wsp:val=&quot;00972F78&quot;/&gt;&lt;wsp:rsid wsp:val=&quot;00972F90&quot;/&gt;&lt;wsp:rsid wsp:val=&quot;009731E3&quot;/&gt;&lt;wsp:rsid wsp:val=&quot;009732A5&quot;/&gt;&lt;wsp:rsid wsp:val=&quot;0097362E&quot;/&gt;&lt;wsp:rsid wsp:val=&quot;00973AA9&quot;/&gt;&lt;wsp:rsid wsp:val=&quot;00973CB9&quot;/&gt;&lt;wsp:rsid wsp:val=&quot;00974291&quot;/&gt;&lt;wsp:rsid wsp:val=&quot;00974361&quot;/&gt;&lt;wsp:rsid wsp:val=&quot;009755A9&quot;/&gt;&lt;wsp:rsid wsp:val=&quot;00975682&quot;/&gt;&lt;wsp:rsid wsp:val=&quot;00975782&quot;/&gt;&lt;wsp:rsid wsp:val=&quot;00975ADB&quot;/&gt;&lt;wsp:rsid wsp:val=&quot;00975DEE&quot;/&gt;&lt;wsp:rsid wsp:val=&quot;009760B9&quot;/&gt;&lt;wsp:rsid wsp:val=&quot;00976306&quot;/&gt;&lt;wsp:rsid wsp:val=&quot;00976B92&quot;/&gt;&lt;wsp:rsid wsp:val=&quot;00976F70&quot;/&gt;&lt;wsp:rsid wsp:val=&quot;00977323&quot;/&gt;&lt;wsp:rsid wsp:val=&quot;00977B1B&quot;/&gt;&lt;wsp:rsid wsp:val=&quot;00977F96&quot;/&gt;&lt;wsp:rsid wsp:val=&quot;0098000E&quot;/&gt;&lt;wsp:rsid wsp:val=&quot;009806DB&quot;/&gt;&lt;wsp:rsid wsp:val=&quot;009809AC&quot;/&gt;&lt;wsp:rsid wsp:val=&quot;00980E1F&quot;/&gt;&lt;wsp:rsid wsp:val=&quot;00981338&quot;/&gt;&lt;wsp:rsid wsp:val=&quot;0098169F&quot;/&gt;&lt;wsp:rsid wsp:val=&quot;009828F2&quot;/&gt;&lt;wsp:rsid wsp:val=&quot;00982E16&quot;/&gt;&lt;wsp:rsid wsp:val=&quot;00984806&quot;/&gt;&lt;wsp:rsid wsp:val=&quot;00984FD0&quot;/&gt;&lt;wsp:rsid wsp:val=&quot;009850B3&quot;/&gt;&lt;wsp:rsid wsp:val=&quot;009854DE&quot;/&gt;&lt;wsp:rsid wsp:val=&quot;00985A30&quot;/&gt;&lt;wsp:rsid wsp:val=&quot;00985D9E&quot;/&gt;&lt;wsp:rsid wsp:val=&quot;009863C8&quot;/&gt;&lt;wsp:rsid wsp:val=&quot;00986B6A&quot;/&gt;&lt;wsp:rsid wsp:val=&quot;00986C0B&quot;/&gt;&lt;wsp:rsid wsp:val=&quot;009871FF&quot;/&gt;&lt;wsp:rsid wsp:val=&quot;0098753B&quot;/&gt;&lt;wsp:rsid wsp:val=&quot;009876F6&quot;/&gt;&lt;wsp:rsid wsp:val=&quot;00987B0F&quot;/&gt;&lt;wsp:rsid wsp:val=&quot;00990162&quot;/&gt;&lt;wsp:rsid wsp:val=&quot;009902E9&quot;/&gt;&lt;wsp:rsid wsp:val=&quot;00990B5E&quot;/&gt;&lt;wsp:rsid wsp:val=&quot;00990C32&quot;/&gt;&lt;wsp:rsid wsp:val=&quot;00991254&quot;/&gt;&lt;wsp:rsid wsp:val=&quot;009915D6&quot;/&gt;&lt;wsp:rsid wsp:val=&quot;00991773&quot;/&gt;&lt;wsp:rsid wsp:val=&quot;00991805&quot;/&gt;&lt;wsp:rsid wsp:val=&quot;00992161&quot;/&gt;&lt;wsp:rsid wsp:val=&quot;00992433&quot;/&gt;&lt;wsp:rsid wsp:val=&quot;00992C35&quot;/&gt;&lt;wsp:rsid wsp:val=&quot;0099317C&quot;/&gt;&lt;wsp:rsid wsp:val=&quot;00993457&quot;/&gt;&lt;wsp:rsid wsp:val=&quot;009937DB&quot;/&gt;&lt;wsp:rsid wsp:val=&quot;0099384B&quot;/&gt;&lt;wsp:rsid wsp:val=&quot;00994134&quot;/&gt;&lt;wsp:rsid wsp:val=&quot;009949E7&quot;/&gt;&lt;wsp:rsid wsp:val=&quot;00994C27&quot;/&gt;&lt;wsp:rsid wsp:val=&quot;00994DEB&quot;/&gt;&lt;wsp:rsid wsp:val=&quot;009952DE&quot;/&gt;&lt;wsp:rsid wsp:val=&quot;0099552D&quot;/&gt;&lt;wsp:rsid wsp:val=&quot;009956F9&quot;/&gt;&lt;wsp:rsid wsp:val=&quot;00995AB6&quot;/&gt;&lt;wsp:rsid wsp:val=&quot;00995CA2&quot;/&gt;&lt;wsp:rsid wsp:val=&quot;00995DE6&quot;/&gt;&lt;wsp:rsid wsp:val=&quot;00996039&quot;/&gt;&lt;wsp:rsid wsp:val=&quot;009966B7&quot;/&gt;&lt;wsp:rsid wsp:val=&quot;00996A38&quot;/&gt;&lt;wsp:rsid wsp:val=&quot;00996ADA&quot;/&gt;&lt;wsp:rsid wsp:val=&quot;00996BD7&quot;/&gt;&lt;wsp:rsid wsp:val=&quot;009975E0&quot;/&gt;&lt;wsp:rsid wsp:val=&quot;009977FA&quot;/&gt;&lt;wsp:rsid wsp:val=&quot;0099783F&quot;/&gt;&lt;wsp:rsid wsp:val=&quot;00997C0B&quot;/&gt;&lt;wsp:rsid wsp:val=&quot;009A013A&quot;/&gt;&lt;wsp:rsid wsp:val=&quot;009A0812&quot;/&gt;&lt;wsp:rsid wsp:val=&quot;009A0A7E&quot;/&gt;&lt;wsp:rsid wsp:val=&quot;009A0AF0&quot;/&gt;&lt;wsp:rsid wsp:val=&quot;009A0D68&quot;/&gt;&lt;wsp:rsid wsp:val=&quot;009A0DAE&quot;/&gt;&lt;wsp:rsid wsp:val=&quot;009A0DB5&quot;/&gt;&lt;wsp:rsid wsp:val=&quot;009A111D&quot;/&gt;&lt;wsp:rsid wsp:val=&quot;009A13AE&quot;/&gt;&lt;wsp:rsid wsp:val=&quot;009A1404&quot;/&gt;&lt;wsp:rsid wsp:val=&quot;009A15D7&quot;/&gt;&lt;wsp:rsid wsp:val=&quot;009A1ADE&quot;/&gt;&lt;wsp:rsid wsp:val=&quot;009A1DB3&quot;/&gt;&lt;wsp:rsid wsp:val=&quot;009A2190&quot;/&gt;&lt;wsp:rsid wsp:val=&quot;009A237C&quot;/&gt;&lt;wsp:rsid wsp:val=&quot;009A2572&quot;/&gt;&lt;wsp:rsid wsp:val=&quot;009A25D4&quot;/&gt;&lt;wsp:rsid wsp:val=&quot;009A2A27&quot;/&gt;&lt;wsp:rsid wsp:val=&quot;009A2D8C&quot;/&gt;&lt;wsp:rsid wsp:val=&quot;009A3552&quot;/&gt;&lt;wsp:rsid wsp:val=&quot;009A3907&quot;/&gt;&lt;wsp:rsid wsp:val=&quot;009A3944&quot;/&gt;&lt;wsp:rsid wsp:val=&quot;009A3EBD&quot;/&gt;&lt;wsp:rsid wsp:val=&quot;009A4361&quot;/&gt;&lt;wsp:rsid wsp:val=&quot;009A496A&quot;/&gt;&lt;wsp:rsid wsp:val=&quot;009A4AA7&quot;/&gt;&lt;wsp:rsid wsp:val=&quot;009A4ABC&quot;/&gt;&lt;wsp:rsid wsp:val=&quot;009A4B3F&quot;/&gt;&lt;wsp:rsid wsp:val=&quot;009A53D1&quot;/&gt;&lt;wsp:rsid wsp:val=&quot;009A547B&quot;/&gt;&lt;wsp:rsid wsp:val=&quot;009A54FF&quot;/&gt;&lt;wsp:rsid wsp:val=&quot;009A5652&quot;/&gt;&lt;wsp:rsid wsp:val=&quot;009A5783&quot;/&gt;&lt;wsp:rsid wsp:val=&quot;009A57D2&quot;/&gt;&lt;wsp:rsid wsp:val=&quot;009A57F5&quot;/&gt;&lt;wsp:rsid wsp:val=&quot;009A57F7&quot;/&gt;&lt;wsp:rsid wsp:val=&quot;009A5F2F&quot;/&gt;&lt;wsp:rsid wsp:val=&quot;009A6303&quot;/&gt;&lt;wsp:rsid wsp:val=&quot;009A6A42&quot;/&gt;&lt;wsp:rsid wsp:val=&quot;009A6B95&quot;/&gt;&lt;wsp:rsid wsp:val=&quot;009A6F4C&quot;/&gt;&lt;wsp:rsid wsp:val=&quot;009A7414&quot;/&gt;&lt;wsp:rsid wsp:val=&quot;009A7588&quot;/&gt;&lt;wsp:rsid wsp:val=&quot;009A7C0B&quot;/&gt;&lt;wsp:rsid wsp:val=&quot;009B07DB&quot;/&gt;&lt;wsp:rsid wsp:val=&quot;009B0C98&quot;/&gt;&lt;wsp:rsid wsp:val=&quot;009B0EC6&quot;/&gt;&lt;wsp:rsid wsp:val=&quot;009B183C&quot;/&gt;&lt;wsp:rsid wsp:val=&quot;009B1C32&quot;/&gt;&lt;wsp:rsid wsp:val=&quot;009B21DC&quot;/&gt;&lt;wsp:rsid wsp:val=&quot;009B2307&quot;/&gt;&lt;wsp:rsid wsp:val=&quot;009B28AE&quot;/&gt;&lt;wsp:rsid wsp:val=&quot;009B2BAC&quot;/&gt;&lt;wsp:rsid wsp:val=&quot;009B2D49&quot;/&gt;&lt;wsp:rsid wsp:val=&quot;009B2F82&quot;/&gt;&lt;wsp:rsid wsp:val=&quot;009B358F&quot;/&gt;&lt;wsp:rsid wsp:val=&quot;009B3936&quot;/&gt;&lt;wsp:rsid wsp:val=&quot;009B393B&quot;/&gt;&lt;wsp:rsid wsp:val=&quot;009B3F65&quot;/&gt;&lt;wsp:rsid wsp:val=&quot;009B40C6&quot;/&gt;&lt;wsp:rsid wsp:val=&quot;009B482B&quot;/&gt;&lt;wsp:rsid wsp:val=&quot;009B50D2&quot;/&gt;&lt;wsp:rsid wsp:val=&quot;009B52EB&quot;/&gt;&lt;wsp:rsid wsp:val=&quot;009B5393&quot;/&gt;&lt;wsp:rsid wsp:val=&quot;009B5496&quot;/&gt;&lt;wsp:rsid wsp:val=&quot;009B54BD&quot;/&gt;&lt;wsp:rsid wsp:val=&quot;009B5F13&quot;/&gt;&lt;wsp:rsid wsp:val=&quot;009B607C&quot;/&gt;&lt;wsp:rsid wsp:val=&quot;009B61BC&quot;/&gt;&lt;wsp:rsid wsp:val=&quot;009B6494&quot;/&gt;&lt;wsp:rsid wsp:val=&quot;009B649B&quot;/&gt;&lt;wsp:rsid wsp:val=&quot;009B6915&quot;/&gt;&lt;wsp:rsid wsp:val=&quot;009B6A1C&quot;/&gt;&lt;wsp:rsid wsp:val=&quot;009B6D81&quot;/&gt;&lt;wsp:rsid wsp:val=&quot;009B7199&quot;/&gt;&lt;wsp:rsid wsp:val=&quot;009B7610&quot;/&gt;&lt;wsp:rsid wsp:val=&quot;009B7863&quot;/&gt;&lt;wsp:rsid wsp:val=&quot;009B7BB3&quot;/&gt;&lt;wsp:rsid wsp:val=&quot;009B7DBD&quot;/&gt;&lt;wsp:rsid wsp:val=&quot;009C025F&quot;/&gt;&lt;wsp:rsid wsp:val=&quot;009C08B5&quot;/&gt;&lt;wsp:rsid wsp:val=&quot;009C0B9E&quot;/&gt;&lt;wsp:rsid wsp:val=&quot;009C0C7A&quot;/&gt;&lt;wsp:rsid wsp:val=&quot;009C0DB6&quot;/&gt;&lt;wsp:rsid wsp:val=&quot;009C17DD&quot;/&gt;&lt;wsp:rsid wsp:val=&quot;009C1B37&quot;/&gt;&lt;wsp:rsid wsp:val=&quot;009C1D4D&quot;/&gt;&lt;wsp:rsid wsp:val=&quot;009C21A7&quot;/&gt;&lt;wsp:rsid wsp:val=&quot;009C22CC&quot;/&gt;&lt;wsp:rsid wsp:val=&quot;009C2CD4&quot;/&gt;&lt;wsp:rsid wsp:val=&quot;009C3077&quot;/&gt;&lt;wsp:rsid wsp:val=&quot;009C34A9&quot;/&gt;&lt;wsp:rsid wsp:val=&quot;009C3547&quot;/&gt;&lt;wsp:rsid wsp:val=&quot;009C37FC&quot;/&gt;&lt;wsp:rsid wsp:val=&quot;009C3899&quot;/&gt;&lt;wsp:rsid wsp:val=&quot;009C38E4&quot;/&gt;&lt;wsp:rsid wsp:val=&quot;009C3BF8&quot;/&gt;&lt;wsp:rsid wsp:val=&quot;009C3DB8&quot;/&gt;&lt;wsp:rsid wsp:val=&quot;009C4982&quot;/&gt;&lt;wsp:rsid wsp:val=&quot;009C54A8&quot;/&gt;&lt;wsp:rsid wsp:val=&quot;009C56A2&quot;/&gt;&lt;wsp:rsid wsp:val=&quot;009C5702&quot;/&gt;&lt;wsp:rsid wsp:val=&quot;009C5BF5&quot;/&gt;&lt;wsp:rsid wsp:val=&quot;009C5C88&quot;/&gt;&lt;wsp:rsid wsp:val=&quot;009C637C&quot;/&gt;&lt;wsp:rsid wsp:val=&quot;009C6A6B&quot;/&gt;&lt;wsp:rsid wsp:val=&quot;009C6C3D&quot;/&gt;&lt;wsp:rsid wsp:val=&quot;009C7618&quot;/&gt;&lt;wsp:rsid wsp:val=&quot;009C7F0A&quot;/&gt;&lt;wsp:rsid wsp:val=&quot;009D00F6&quot;/&gt;&lt;wsp:rsid wsp:val=&quot;009D036B&quot;/&gt;&lt;wsp:rsid wsp:val=&quot;009D041E&quot;/&gt;&lt;wsp:rsid wsp:val=&quot;009D059B&quot;/&gt;&lt;wsp:rsid wsp:val=&quot;009D0691&quot;/&gt;&lt;wsp:rsid wsp:val=&quot;009D0767&quot;/&gt;&lt;wsp:rsid wsp:val=&quot;009D0C89&quot;/&gt;&lt;wsp:rsid wsp:val=&quot;009D10A3&quot;/&gt;&lt;wsp:rsid wsp:val=&quot;009D10BF&quot;/&gt;&lt;wsp:rsid wsp:val=&quot;009D128E&quot;/&gt;&lt;wsp:rsid wsp:val=&quot;009D14D5&quot;/&gt;&lt;wsp:rsid wsp:val=&quot;009D15D0&quot;/&gt;&lt;wsp:rsid wsp:val=&quot;009D189D&quot;/&gt;&lt;wsp:rsid wsp:val=&quot;009D1907&quot;/&gt;&lt;wsp:rsid wsp:val=&quot;009D1BC1&quot;/&gt;&lt;wsp:rsid wsp:val=&quot;009D1D90&quot;/&gt;&lt;wsp:rsid wsp:val=&quot;009D1E56&quot;/&gt;&lt;wsp:rsid wsp:val=&quot;009D2262&quot;/&gt;&lt;wsp:rsid wsp:val=&quot;009D2938&quot;/&gt;&lt;wsp:rsid wsp:val=&quot;009D2981&quot;/&gt;&lt;wsp:rsid wsp:val=&quot;009D2A28&quot;/&gt;&lt;wsp:rsid wsp:val=&quot;009D2E58&quot;/&gt;&lt;wsp:rsid wsp:val=&quot;009D35ED&quot;/&gt;&lt;wsp:rsid wsp:val=&quot;009D3A90&quot;/&gt;&lt;wsp:rsid wsp:val=&quot;009D3DCF&quot;/&gt;&lt;wsp:rsid wsp:val=&quot;009D3F55&quot;/&gt;&lt;wsp:rsid wsp:val=&quot;009D40F7&quot;/&gt;&lt;wsp:rsid wsp:val=&quot;009D4351&quot;/&gt;&lt;wsp:rsid wsp:val=&quot;009D4678&quot;/&gt;&lt;wsp:rsid wsp:val=&quot;009D476F&quot;/&gt;&lt;wsp:rsid wsp:val=&quot;009D4914&quot;/&gt;&lt;wsp:rsid wsp:val=&quot;009D4D73&quot;/&gt;&lt;wsp:rsid wsp:val=&quot;009D5826&quot;/&gt;&lt;wsp:rsid wsp:val=&quot;009D59A9&quot;/&gt;&lt;wsp:rsid wsp:val=&quot;009D6DD1&quot;/&gt;&lt;wsp:rsid wsp:val=&quot;009D7042&quot;/&gt;&lt;wsp:rsid wsp:val=&quot;009D74B5&quot;/&gt;&lt;wsp:rsid wsp:val=&quot;009D7508&quot;/&gt;&lt;wsp:rsid wsp:val=&quot;009D785C&quot;/&gt;&lt;wsp:rsid wsp:val=&quot;009D7C29&quot;/&gt;&lt;wsp:rsid wsp:val=&quot;009D7FDD&quot;/&gt;&lt;wsp:rsid wsp:val=&quot;009E016E&quot;/&gt;&lt;wsp:rsid wsp:val=&quot;009E0382&quot;/&gt;&lt;wsp:rsid wsp:val=&quot;009E040C&quot;/&gt;&lt;wsp:rsid wsp:val=&quot;009E142C&quot;/&gt;&lt;wsp:rsid wsp:val=&quot;009E14C2&quot;/&gt;&lt;wsp:rsid wsp:val=&quot;009E16A9&quot;/&gt;&lt;wsp:rsid wsp:val=&quot;009E16D8&quot;/&gt;&lt;wsp:rsid wsp:val=&quot;009E18E5&quot;/&gt;&lt;wsp:rsid wsp:val=&quot;009E18E6&quot;/&gt;&lt;wsp:rsid wsp:val=&quot;009E1FE1&quot;/&gt;&lt;wsp:rsid wsp:val=&quot;009E2044&quot;/&gt;&lt;wsp:rsid wsp:val=&quot;009E21E2&quot;/&gt;&lt;wsp:rsid wsp:val=&quot;009E22CA&quot;/&gt;&lt;wsp:rsid wsp:val=&quot;009E2681&quot;/&gt;&lt;wsp:rsid wsp:val=&quot;009E288E&quot;/&gt;&lt;wsp:rsid wsp:val=&quot;009E29CA&quot;/&gt;&lt;wsp:rsid wsp:val=&quot;009E2B32&quot;/&gt;&lt;wsp:rsid wsp:val=&quot;009E2C42&quot;/&gt;&lt;wsp:rsid wsp:val=&quot;009E2CD3&quot;/&gt;&lt;wsp:rsid wsp:val=&quot;009E2D63&quot;/&gt;&lt;wsp:rsid wsp:val=&quot;009E2E22&quot;/&gt;&lt;wsp:rsid wsp:val=&quot;009E2FFA&quot;/&gt;&lt;wsp:rsid wsp:val=&quot;009E3192&quot;/&gt;&lt;wsp:rsid wsp:val=&quot;009E3296&quot;/&gt;&lt;wsp:rsid wsp:val=&quot;009E35F6&quot;/&gt;&lt;wsp:rsid wsp:val=&quot;009E3770&quot;/&gt;&lt;wsp:rsid wsp:val=&quot;009E3940&quot;/&gt;&lt;wsp:rsid wsp:val=&quot;009E3DC6&quot;/&gt;&lt;wsp:rsid wsp:val=&quot;009E3EE6&quot;/&gt;&lt;wsp:rsid wsp:val=&quot;009E3F99&quot;/&gt;&lt;wsp:rsid wsp:val=&quot;009E3FF2&quot;/&gt;&lt;wsp:rsid wsp:val=&quot;009E3FF4&quot;/&gt;&lt;wsp:rsid wsp:val=&quot;009E4115&quot;/&gt;&lt;wsp:rsid wsp:val=&quot;009E4B18&quot;/&gt;&lt;wsp:rsid wsp:val=&quot;009E501D&quot;/&gt;&lt;wsp:rsid wsp:val=&quot;009E5A12&quot;/&gt;&lt;wsp:rsid wsp:val=&quot;009E5BA3&quot;/&gt;&lt;wsp:rsid wsp:val=&quot;009E5BF2&quot;/&gt;&lt;wsp:rsid wsp:val=&quot;009E5E1C&quot;/&gt;&lt;wsp:rsid wsp:val=&quot;009E5F81&quot;/&gt;&lt;wsp:rsid wsp:val=&quot;009E5FD5&quot;/&gt;&lt;wsp:rsid wsp:val=&quot;009E62B1&quot;/&gt;&lt;wsp:rsid wsp:val=&quot;009E6519&quot;/&gt;&lt;wsp:rsid wsp:val=&quot;009E6772&quot;/&gt;&lt;wsp:rsid wsp:val=&quot;009E6E05&quot;/&gt;&lt;wsp:rsid wsp:val=&quot;009E6F9B&quot;/&gt;&lt;wsp:rsid wsp:val=&quot;009E7BDA&quot;/&gt;&lt;wsp:rsid wsp:val=&quot;009E7D1B&quot;/&gt;&lt;wsp:rsid wsp:val=&quot;009E7D84&quot;/&gt;&lt;wsp:rsid wsp:val=&quot;009E7D8C&quot;/&gt;&lt;wsp:rsid wsp:val=&quot;009E7E01&quot;/&gt;&lt;wsp:rsid wsp:val=&quot;009E7EFC&quot;/&gt;&lt;wsp:rsid wsp:val=&quot;009F00CC&quot;/&gt;&lt;wsp:rsid wsp:val=&quot;009F05B4&quot;/&gt;&lt;wsp:rsid wsp:val=&quot;009F068F&quot;/&gt;&lt;wsp:rsid wsp:val=&quot;009F097D&quot;/&gt;&lt;wsp:rsid wsp:val=&quot;009F0C53&quot;/&gt;&lt;wsp:rsid wsp:val=&quot;009F0E2D&quot;/&gt;&lt;wsp:rsid wsp:val=&quot;009F0EA2&quot;/&gt;&lt;wsp:rsid wsp:val=&quot;009F0EC5&quot;/&gt;&lt;wsp:rsid wsp:val=&quot;009F0ED1&quot;/&gt;&lt;wsp:rsid wsp:val=&quot;009F0F77&quot;/&gt;&lt;wsp:rsid wsp:val=&quot;009F1161&quot;/&gt;&lt;wsp:rsid wsp:val=&quot;009F135B&quot;/&gt;&lt;wsp:rsid wsp:val=&quot;009F1802&quot;/&gt;&lt;wsp:rsid wsp:val=&quot;009F2596&quot;/&gt;&lt;wsp:rsid wsp:val=&quot;009F274B&quot;/&gt;&lt;wsp:rsid wsp:val=&quot;009F2E45&quot;/&gt;&lt;wsp:rsid wsp:val=&quot;009F2F36&quot;/&gt;&lt;wsp:rsid wsp:val=&quot;009F3218&quot;/&gt;&lt;wsp:rsid wsp:val=&quot;009F32D0&quot;/&gt;&lt;wsp:rsid wsp:val=&quot;009F3338&quot;/&gt;&lt;wsp:rsid wsp:val=&quot;009F350F&quot;/&gt;&lt;wsp:rsid wsp:val=&quot;009F3554&quot;/&gt;&lt;wsp:rsid wsp:val=&quot;009F40D9&quot;/&gt;&lt;wsp:rsid wsp:val=&quot;009F43D6&quot;/&gt;&lt;wsp:rsid wsp:val=&quot;009F4460&quot;/&gt;&lt;wsp:rsid wsp:val=&quot;009F4526&quot;/&gt;&lt;wsp:rsid wsp:val=&quot;009F4988&quot;/&gt;&lt;wsp:rsid wsp:val=&quot;009F4D9E&quot;/&gt;&lt;wsp:rsid wsp:val=&quot;009F528D&quot;/&gt;&lt;wsp:rsid wsp:val=&quot;009F52B1&quot;/&gt;&lt;wsp:rsid wsp:val=&quot;009F5425&quot;/&gt;&lt;wsp:rsid wsp:val=&quot;009F546F&quot;/&gt;&lt;wsp:rsid wsp:val=&quot;009F565B&quot;/&gt;&lt;wsp:rsid wsp:val=&quot;009F585D&quot;/&gt;&lt;wsp:rsid wsp:val=&quot;009F5B01&quot;/&gt;&lt;wsp:rsid wsp:val=&quot;009F5C57&quot;/&gt;&lt;wsp:rsid wsp:val=&quot;009F618C&quot;/&gt;&lt;wsp:rsid wsp:val=&quot;009F63EF&quot;/&gt;&lt;wsp:rsid wsp:val=&quot;009F6B2C&quot;/&gt;&lt;wsp:rsid wsp:val=&quot;009F6E9F&quot;/&gt;&lt;wsp:rsid wsp:val=&quot;009F726C&quot;/&gt;&lt;wsp:rsid wsp:val=&quot;009F7594&quot;/&gt;&lt;wsp:rsid wsp:val=&quot;009F766C&quot;/&gt;&lt;wsp:rsid wsp:val=&quot;009F77FE&quot;/&gt;&lt;wsp:rsid wsp:val=&quot;009F7AD0&quot;/&gt;&lt;wsp:rsid wsp:val=&quot;00A00506&quot;/&gt;&lt;wsp:rsid wsp:val=&quot;00A006A7&quot;/&gt;&lt;wsp:rsid wsp:val=&quot;00A00782&quot;/&gt;&lt;wsp:rsid wsp:val=&quot;00A00DD9&quot;/&gt;&lt;wsp:rsid wsp:val=&quot;00A00F8A&quot;/&gt;&lt;wsp:rsid wsp:val=&quot;00A01048&quot;/&gt;&lt;wsp:rsid wsp:val=&quot;00A01953&quot;/&gt;&lt;wsp:rsid wsp:val=&quot;00A0195F&quot;/&gt;&lt;wsp:rsid wsp:val=&quot;00A0227E&quot;/&gt;&lt;wsp:rsid wsp:val=&quot;00A0296C&quot;/&gt;&lt;wsp:rsid wsp:val=&quot;00A02CF3&quot;/&gt;&lt;wsp:rsid wsp:val=&quot;00A02D85&quot;/&gt;&lt;wsp:rsid wsp:val=&quot;00A047E3&quot;/&gt;&lt;wsp:rsid wsp:val=&quot;00A04B17&quot;/&gt;&lt;wsp:rsid wsp:val=&quot;00A04C05&quot;/&gt;&lt;wsp:rsid wsp:val=&quot;00A04DF5&quot;/&gt;&lt;wsp:rsid wsp:val=&quot;00A04E0C&quot;/&gt;&lt;wsp:rsid wsp:val=&quot;00A04ED5&quot;/&gt;&lt;wsp:rsid wsp:val=&quot;00A04FD7&quot;/&gt;&lt;wsp:rsid wsp:val=&quot;00A050C4&quot;/&gt;&lt;wsp:rsid wsp:val=&quot;00A054F2&quot;/&gt;&lt;wsp:rsid wsp:val=&quot;00A05783&quot;/&gt;&lt;wsp:rsid wsp:val=&quot;00A057E7&quot;/&gt;&lt;wsp:rsid wsp:val=&quot;00A05812&quot;/&gt;&lt;wsp:rsid wsp:val=&quot;00A0587F&quot;/&gt;&lt;wsp:rsid wsp:val=&quot;00A0604A&quot;/&gt;&lt;wsp:rsid wsp:val=&quot;00A06088&quot;/&gt;&lt;wsp:rsid wsp:val=&quot;00A061F2&quot;/&gt;&lt;wsp:rsid wsp:val=&quot;00A06250&quot;/&gt;&lt;wsp:rsid wsp:val=&quot;00A06257&quot;/&gt;&lt;wsp:rsid wsp:val=&quot;00A06811&quot;/&gt;&lt;wsp:rsid wsp:val=&quot;00A06B01&quot;/&gt;&lt;wsp:rsid wsp:val=&quot;00A06B67&quot;/&gt;&lt;wsp:rsid wsp:val=&quot;00A0718E&quot;/&gt;&lt;wsp:rsid wsp:val=&quot;00A07670&quot;/&gt;&lt;wsp:rsid wsp:val=&quot;00A07675&quot;/&gt;&lt;wsp:rsid wsp:val=&quot;00A07E32&quot;/&gt;&lt;wsp:rsid wsp:val=&quot;00A10862&quot;/&gt;&lt;wsp:rsid wsp:val=&quot;00A1086A&quot;/&gt;&lt;wsp:rsid wsp:val=&quot;00A108B5&quot;/&gt;&lt;wsp:rsid wsp:val=&quot;00A10E27&quot;/&gt;&lt;wsp:rsid wsp:val=&quot;00A11256&quot;/&gt;&lt;wsp:rsid wsp:val=&quot;00A1144F&quot;/&gt;&lt;wsp:rsid wsp:val=&quot;00A115B7&quot;/&gt;&lt;wsp:rsid wsp:val=&quot;00A11638&quot;/&gt;&lt;wsp:rsid wsp:val=&quot;00A11746&quot;/&gt;&lt;wsp:rsid wsp:val=&quot;00A11E94&quot;/&gt;&lt;wsp:rsid wsp:val=&quot;00A1219F&quot;/&gt;&lt;wsp:rsid wsp:val=&quot;00A121CB&quot;/&gt;&lt;wsp:rsid wsp:val=&quot;00A12318&quot;/&gt;&lt;wsp:rsid wsp:val=&quot;00A1288B&quot;/&gt;&lt;wsp:rsid wsp:val=&quot;00A12A81&quot;/&gt;&lt;wsp:rsid wsp:val=&quot;00A132B7&quot;/&gt;&lt;wsp:rsid wsp:val=&quot;00A13A34&quot;/&gt;&lt;wsp:rsid wsp:val=&quot;00A13ACF&quot;/&gt;&lt;wsp:rsid wsp:val=&quot;00A13B26&quot;/&gt;&lt;wsp:rsid wsp:val=&quot;00A13BE4&quot;/&gt;&lt;wsp:rsid wsp:val=&quot;00A13FA1&quot;/&gt;&lt;wsp:rsid wsp:val=&quot;00A148F2&quot;/&gt;&lt;wsp:rsid wsp:val=&quot;00A14ACC&quot;/&gt;&lt;wsp:rsid wsp:val=&quot;00A14DC0&quot;/&gt;&lt;wsp:rsid wsp:val=&quot;00A15082&quot;/&gt;&lt;wsp:rsid wsp:val=&quot;00A152E3&quot;/&gt;&lt;wsp:rsid wsp:val=&quot;00A16059&quot;/&gt;&lt;wsp:rsid wsp:val=&quot;00A160AE&quot;/&gt;&lt;wsp:rsid wsp:val=&quot;00A169D1&quot;/&gt;&lt;wsp:rsid wsp:val=&quot;00A16DE6&quot;/&gt;&lt;wsp:rsid wsp:val=&quot;00A16EE9&quot;/&gt;&lt;wsp:rsid wsp:val=&quot;00A17586&quot;/&gt;&lt;wsp:rsid wsp:val=&quot;00A17AA8&quot;/&gt;&lt;wsp:rsid wsp:val=&quot;00A17B89&quot;/&gt;&lt;wsp:rsid wsp:val=&quot;00A2045C&quot;/&gt;&lt;wsp:rsid wsp:val=&quot;00A2052E&quot;/&gt;&lt;wsp:rsid wsp:val=&quot;00A2161C&quot;/&gt;&lt;wsp:rsid wsp:val=&quot;00A218DB&quot;/&gt;&lt;wsp:rsid wsp:val=&quot;00A218EB&quot;/&gt;&lt;wsp:rsid wsp:val=&quot;00A21C0B&quot;/&gt;&lt;wsp:rsid wsp:val=&quot;00A21C34&quot;/&gt;&lt;wsp:rsid wsp:val=&quot;00A2205E&quot;/&gt;&lt;wsp:rsid wsp:val=&quot;00A22167&quot;/&gt;&lt;wsp:rsid wsp:val=&quot;00A22660&quot;/&gt;&lt;wsp:rsid wsp:val=&quot;00A2285A&quot;/&gt;&lt;wsp:rsid wsp:val=&quot;00A22B3D&quot;/&gt;&lt;wsp:rsid wsp:val=&quot;00A23958&quot;/&gt;&lt;wsp:rsid wsp:val=&quot;00A23F1B&quot;/&gt;&lt;wsp:rsid wsp:val=&quot;00A240FA&quot;/&gt;&lt;wsp:rsid wsp:val=&quot;00A24B1D&quot;/&gt;&lt;wsp:rsid wsp:val=&quot;00A25352&quot;/&gt;&lt;wsp:rsid wsp:val=&quot;00A25F0B&quot;/&gt;&lt;wsp:rsid wsp:val=&quot;00A26151&quot;/&gt;&lt;wsp:rsid wsp:val=&quot;00A261D6&quot;/&gt;&lt;wsp:rsid wsp:val=&quot;00A26811&quot;/&gt;&lt;wsp:rsid wsp:val=&quot;00A26A93&quot;/&gt;&lt;wsp:rsid wsp:val=&quot;00A26BEF&quot;/&gt;&lt;wsp:rsid wsp:val=&quot;00A26E93&quot;/&gt;&lt;wsp:rsid wsp:val=&quot;00A26F32&quot;/&gt;&lt;wsp:rsid wsp:val=&quot;00A27493&quot;/&gt;&lt;wsp:rsid wsp:val=&quot;00A30558&quot;/&gt;&lt;wsp:rsid wsp:val=&quot;00A308E0&quot;/&gt;&lt;wsp:rsid wsp:val=&quot;00A316D9&quot;/&gt;&lt;wsp:rsid wsp:val=&quot;00A31A78&quot;/&gt;&lt;wsp:rsid wsp:val=&quot;00A32523&quot;/&gt;&lt;wsp:rsid wsp:val=&quot;00A32827&quot;/&gt;&lt;wsp:rsid wsp:val=&quot;00A32899&quot;/&gt;&lt;wsp:rsid wsp:val=&quot;00A32BCB&quot;/&gt;&lt;wsp:rsid wsp:val=&quot;00A32BF4&quot;/&gt;&lt;wsp:rsid wsp:val=&quot;00A32C6E&quot;/&gt;&lt;wsp:rsid wsp:val=&quot;00A32C8F&quot;/&gt;&lt;wsp:rsid wsp:val=&quot;00A33006&quot;/&gt;&lt;wsp:rsid wsp:val=&quot;00A33445&quot;/&gt;&lt;wsp:rsid wsp:val=&quot;00A33862&quot;/&gt;&lt;wsp:rsid wsp:val=&quot;00A34073&quot;/&gt;&lt;wsp:rsid wsp:val=&quot;00A34152&quot;/&gt;&lt;wsp:rsid wsp:val=&quot;00A34221&quot;/&gt;&lt;wsp:rsid wsp:val=&quot;00A34572&quot;/&gt;&lt;wsp:rsid wsp:val=&quot;00A34D6C&quot;/&gt;&lt;wsp:rsid wsp:val=&quot;00A34D77&quot;/&gt;&lt;wsp:rsid wsp:val=&quot;00A34EF0&quot;/&gt;&lt;wsp:rsid wsp:val=&quot;00A34F11&quot;/&gt;&lt;wsp:rsid wsp:val=&quot;00A3530F&quot;/&gt;&lt;wsp:rsid wsp:val=&quot;00A3537D&quot;/&gt;&lt;wsp:rsid wsp:val=&quot;00A35402&quot;/&gt;&lt;wsp:rsid wsp:val=&quot;00A355DC&quot;/&gt;&lt;wsp:rsid wsp:val=&quot;00A35731&quot;/&gt;&lt;wsp:rsid wsp:val=&quot;00A358ED&quot;/&gt;&lt;wsp:rsid wsp:val=&quot;00A35ECE&quot;/&gt;&lt;wsp:rsid wsp:val=&quot;00A36043&quot;/&gt;&lt;wsp:rsid wsp:val=&quot;00A360B9&quot;/&gt;&lt;wsp:rsid wsp:val=&quot;00A36132&quot;/&gt;&lt;wsp:rsid wsp:val=&quot;00A368E1&quot;/&gt;&lt;wsp:rsid wsp:val=&quot;00A36A85&quot;/&gt;&lt;wsp:rsid wsp:val=&quot;00A37028&quot;/&gt;&lt;wsp:rsid wsp:val=&quot;00A3738A&quot;/&gt;&lt;wsp:rsid wsp:val=&quot;00A37405&quot;/&gt;&lt;wsp:rsid wsp:val=&quot;00A378B7&quot;/&gt;&lt;wsp:rsid wsp:val=&quot;00A37BCA&quot;/&gt;&lt;wsp:rsid wsp:val=&quot;00A37F59&quot;/&gt;&lt;wsp:rsid wsp:val=&quot;00A400C4&quot;/&gt;&lt;wsp:rsid wsp:val=&quot;00A404D5&quot;/&gt;&lt;wsp:rsid wsp:val=&quot;00A40593&quot;/&gt;&lt;wsp:rsid wsp:val=&quot;00A4064B&quot;/&gt;&lt;wsp:rsid wsp:val=&quot;00A406CF&quot;/&gt;&lt;wsp:rsid wsp:val=&quot;00A40882&quot;/&gt;&lt;wsp:rsid wsp:val=&quot;00A40C2B&quot;/&gt;&lt;wsp:rsid wsp:val=&quot;00A4138D&quot;/&gt;&lt;wsp:rsid wsp:val=&quot;00A41719&quot;/&gt;&lt;wsp:rsid wsp:val=&quot;00A41770&quot;/&gt;&lt;wsp:rsid wsp:val=&quot;00A4195A&quot;/&gt;&lt;wsp:rsid wsp:val=&quot;00A423DA&quot;/&gt;&lt;wsp:rsid wsp:val=&quot;00A42950&quot;/&gt;&lt;wsp:rsid wsp:val=&quot;00A42C6E&quot;/&gt;&lt;wsp:rsid wsp:val=&quot;00A42F76&quot;/&gt;&lt;wsp:rsid wsp:val=&quot;00A42F88&quot;/&gt;&lt;wsp:rsid wsp:val=&quot;00A4354A&quot;/&gt;&lt;wsp:rsid wsp:val=&quot;00A439B6&quot;/&gt;&lt;wsp:rsid wsp:val=&quot;00A43BB8&quot;/&gt;&lt;wsp:rsid wsp:val=&quot;00A4468D&quot;/&gt;&lt;wsp:rsid wsp:val=&quot;00A4499F&quot;/&gt;&lt;wsp:rsid wsp:val=&quot;00A44C08&quot;/&gt;&lt;wsp:rsid wsp:val=&quot;00A44DA5&quot;/&gt;&lt;wsp:rsid wsp:val=&quot;00A45466&quot;/&gt;&lt;wsp:rsid wsp:val=&quot;00A454F4&quot;/&gt;&lt;wsp:rsid wsp:val=&quot;00A455AB&quot;/&gt;&lt;wsp:rsid wsp:val=&quot;00A45853&quot;/&gt;&lt;wsp:rsid wsp:val=&quot;00A45A22&quot;/&gt;&lt;wsp:rsid wsp:val=&quot;00A45AC3&quot;/&gt;&lt;wsp:rsid wsp:val=&quot;00A45EBB&quot;/&gt;&lt;wsp:rsid wsp:val=&quot;00A45F69&quot;/&gt;&lt;wsp:rsid wsp:val=&quot;00A461AD&quot;/&gt;&lt;wsp:rsid wsp:val=&quot;00A46219&quot;/&gt;&lt;wsp:rsid wsp:val=&quot;00A4623C&quot;/&gt;&lt;wsp:rsid wsp:val=&quot;00A464B6&quot;/&gt;&lt;wsp:rsid wsp:val=&quot;00A464C5&quot;/&gt;&lt;wsp:rsid wsp:val=&quot;00A4705F&quot;/&gt;&lt;wsp:rsid wsp:val=&quot;00A470FE&quot;/&gt;&lt;wsp:rsid wsp:val=&quot;00A47348&quot;/&gt;&lt;wsp:rsid wsp:val=&quot;00A4777E&quot;/&gt;&lt;wsp:rsid wsp:val=&quot;00A47884&quot;/&gt;&lt;wsp:rsid wsp:val=&quot;00A47C97&quot;/&gt;&lt;wsp:rsid wsp:val=&quot;00A47DEB&quot;/&gt;&lt;wsp:rsid wsp:val=&quot;00A47FD4&quot;/&gt;&lt;wsp:rsid wsp:val=&quot;00A500E3&quot;/&gt;&lt;wsp:rsid wsp:val=&quot;00A50858&quot;/&gt;&lt;wsp:rsid wsp:val=&quot;00A5086E&quot;/&gt;&lt;wsp:rsid wsp:val=&quot;00A50AEA&quot;/&gt;&lt;wsp:rsid wsp:val=&quot;00A5122E&quot;/&gt;&lt;wsp:rsid wsp:val=&quot;00A51A5B&quot;/&gt;&lt;wsp:rsid wsp:val=&quot;00A52B1F&quot;/&gt;&lt;wsp:rsid wsp:val=&quot;00A5317E&quot;/&gt;&lt;wsp:rsid wsp:val=&quot;00A532BD&quot;/&gt;&lt;wsp:rsid wsp:val=&quot;00A532F4&quot;/&gt;&lt;wsp:rsid wsp:val=&quot;00A53310&quot;/&gt;&lt;wsp:rsid wsp:val=&quot;00A538E6&quot;/&gt;&lt;wsp:rsid wsp:val=&quot;00A54113&quot;/&gt;&lt;wsp:rsid wsp:val=&quot;00A54752&quot;/&gt;&lt;wsp:rsid wsp:val=&quot;00A5496F&quot;/&gt;&lt;wsp:rsid wsp:val=&quot;00A54BF1&quot;/&gt;&lt;wsp:rsid wsp:val=&quot;00A559E9&quot;/&gt;&lt;wsp:rsid wsp:val=&quot;00A55AAA&quot;/&gt;&lt;wsp:rsid wsp:val=&quot;00A55B77&quot;/&gt;&lt;wsp:rsid wsp:val=&quot;00A56307&quot;/&gt;&lt;wsp:rsid wsp:val=&quot;00A567FC&quot;/&gt;&lt;wsp:rsid wsp:val=&quot;00A56C48&quot;/&gt;&lt;wsp:rsid wsp:val=&quot;00A56DE5&quot;/&gt;&lt;wsp:rsid wsp:val=&quot;00A56E02&quot;/&gt;&lt;wsp:rsid wsp:val=&quot;00A56E44&quot;/&gt;&lt;wsp:rsid wsp:val=&quot;00A56FBF&quot;/&gt;&lt;wsp:rsid wsp:val=&quot;00A57211&quot;/&gt;&lt;wsp:rsid wsp:val=&quot;00A57A79&quot;/&gt;&lt;wsp:rsid wsp:val=&quot;00A57E9A&quot;/&gt;&lt;wsp:rsid wsp:val=&quot;00A601E7&quot;/&gt;&lt;wsp:rsid wsp:val=&quot;00A6094F&quot;/&gt;&lt;wsp:rsid wsp:val=&quot;00A60F92&quot;/&gt;&lt;wsp:rsid wsp:val=&quot;00A610C3&quot;/&gt;&lt;wsp:rsid wsp:val=&quot;00A616BC&quot;/&gt;&lt;wsp:rsid wsp:val=&quot;00A618B0&quot;/&gt;&lt;wsp:rsid wsp:val=&quot;00A61E28&quot;/&gt;&lt;wsp:rsid wsp:val=&quot;00A620AE&quot;/&gt;&lt;wsp:rsid wsp:val=&quot;00A622EA&quot;/&gt;&lt;wsp:rsid wsp:val=&quot;00A62329&quot;/&gt;&lt;wsp:rsid wsp:val=&quot;00A626BA&quot;/&gt;&lt;wsp:rsid wsp:val=&quot;00A62EBD&quot;/&gt;&lt;wsp:rsid wsp:val=&quot;00A6346B&quot;/&gt;&lt;wsp:rsid wsp:val=&quot;00A635E9&quot;/&gt;&lt;wsp:rsid wsp:val=&quot;00A63D46&quot;/&gt;&lt;wsp:rsid wsp:val=&quot;00A6406B&quot;/&gt;&lt;wsp:rsid wsp:val=&quot;00A6443F&quot;/&gt;&lt;wsp:rsid wsp:val=&quot;00A64579&quot;/&gt;&lt;wsp:rsid wsp:val=&quot;00A64A15&quot;/&gt;&lt;wsp:rsid wsp:val=&quot;00A650E2&quot;/&gt;&lt;wsp:rsid wsp:val=&quot;00A65449&quot;/&gt;&lt;wsp:rsid wsp:val=&quot;00A65654&quot;/&gt;&lt;wsp:rsid wsp:val=&quot;00A65B8B&quot;/&gt;&lt;wsp:rsid wsp:val=&quot;00A65C9B&quot;/&gt;&lt;wsp:rsid wsp:val=&quot;00A666DB&quot;/&gt;&lt;wsp:rsid wsp:val=&quot;00A667F8&quot;/&gt;&lt;wsp:rsid wsp:val=&quot;00A669BA&quot;/&gt;&lt;wsp:rsid wsp:val=&quot;00A66C0C&quot;/&gt;&lt;wsp:rsid wsp:val=&quot;00A676C1&quot;/&gt;&lt;wsp:rsid wsp:val=&quot;00A676D4&quot;/&gt;&lt;wsp:rsid wsp:val=&quot;00A67776&quot;/&gt;&lt;wsp:rsid wsp:val=&quot;00A67A90&quot;/&gt;&lt;wsp:rsid wsp:val=&quot;00A67B96&quot;/&gt;&lt;wsp:rsid wsp:val=&quot;00A70B6A&quot;/&gt;&lt;wsp:rsid wsp:val=&quot;00A71056&quot;/&gt;&lt;wsp:rsid wsp:val=&quot;00A71111&quot;/&gt;&lt;wsp:rsid wsp:val=&quot;00A713B1&quot;/&gt;&lt;wsp:rsid wsp:val=&quot;00A714D0&quot;/&gt;&lt;wsp:rsid wsp:val=&quot;00A7204C&quot;/&gt;&lt;wsp:rsid wsp:val=&quot;00A72587&quot;/&gt;&lt;wsp:rsid wsp:val=&quot;00A72719&quot;/&gt;&lt;wsp:rsid wsp:val=&quot;00A7273A&quot;/&gt;&lt;wsp:rsid wsp:val=&quot;00A72779&quot;/&gt;&lt;wsp:rsid wsp:val=&quot;00A727A1&quot;/&gt;&lt;wsp:rsid wsp:val=&quot;00A7292D&quot;/&gt;&lt;wsp:rsid wsp:val=&quot;00A72B17&quot;/&gt;&lt;wsp:rsid wsp:val=&quot;00A7318B&quot;/&gt;&lt;wsp:rsid wsp:val=&quot;00A738BA&quot;/&gt;&lt;wsp:rsid wsp:val=&quot;00A73903&quot;/&gt;&lt;wsp:rsid wsp:val=&quot;00A73945&quot;/&gt;&lt;wsp:rsid wsp:val=&quot;00A73D7B&quot;/&gt;&lt;wsp:rsid wsp:val=&quot;00A73E0B&quot;/&gt;&lt;wsp:rsid wsp:val=&quot;00A73F18&quot;/&gt;&lt;wsp:rsid wsp:val=&quot;00A7421E&quot;/&gt;&lt;wsp:rsid wsp:val=&quot;00A742EA&quot;/&gt;&lt;wsp:rsid wsp:val=&quot;00A74BC7&quot;/&gt;&lt;wsp:rsid wsp:val=&quot;00A75558&quot;/&gt;&lt;wsp:rsid wsp:val=&quot;00A7555A&quot;/&gt;&lt;wsp:rsid wsp:val=&quot;00A75720&quot;/&gt;&lt;wsp:rsid wsp:val=&quot;00A757BD&quot;/&gt;&lt;wsp:rsid wsp:val=&quot;00A75931&quot;/&gt;&lt;wsp:rsid wsp:val=&quot;00A759A7&quot;/&gt;&lt;wsp:rsid wsp:val=&quot;00A75C8F&quot;/&gt;&lt;wsp:rsid wsp:val=&quot;00A75D3A&quot;/&gt;&lt;wsp:rsid wsp:val=&quot;00A75EDD&quot;/&gt;&lt;wsp:rsid wsp:val=&quot;00A761D5&quot;/&gt;&lt;wsp:rsid wsp:val=&quot;00A763D0&quot;/&gt;&lt;wsp:rsid wsp:val=&quot;00A76AD9&quot;/&gt;&lt;wsp:rsid wsp:val=&quot;00A76CA5&quot;/&gt;&lt;wsp:rsid wsp:val=&quot;00A76F1C&quot;/&gt;&lt;wsp:rsid wsp:val=&quot;00A77666&quot;/&gt;&lt;wsp:rsid wsp:val=&quot;00A801B1&quot;/&gt;&lt;wsp:rsid wsp:val=&quot;00A8075B&quot;/&gt;&lt;wsp:rsid wsp:val=&quot;00A80B40&quot;/&gt;&lt;wsp:rsid wsp:val=&quot;00A81582&quot;/&gt;&lt;wsp:rsid wsp:val=&quot;00A8199F&quot;/&gt;&lt;wsp:rsid wsp:val=&quot;00A81CDC&quot;/&gt;&lt;wsp:rsid wsp:val=&quot;00A821A9&quot;/&gt;&lt;wsp:rsid wsp:val=&quot;00A821FD&quot;/&gt;&lt;wsp:rsid wsp:val=&quot;00A8237A&quot;/&gt;&lt;wsp:rsid wsp:val=&quot;00A824BA&quot;/&gt;&lt;wsp:rsid wsp:val=&quot;00A825C2&quot;/&gt;&lt;wsp:rsid wsp:val=&quot;00A82604&quot;/&gt;&lt;wsp:rsid wsp:val=&quot;00A82684&quot;/&gt;&lt;wsp:rsid wsp:val=&quot;00A82929&quot;/&gt;&lt;wsp:rsid wsp:val=&quot;00A82A88&quot;/&gt;&lt;wsp:rsid wsp:val=&quot;00A82CFE&quot;/&gt;&lt;wsp:rsid wsp:val=&quot;00A82E55&quot;/&gt;&lt;wsp:rsid wsp:val=&quot;00A82EAE&quot;/&gt;&lt;wsp:rsid wsp:val=&quot;00A82F21&quot;/&gt;&lt;wsp:rsid wsp:val=&quot;00A82FE5&quot;/&gt;&lt;wsp:rsid wsp:val=&quot;00A82FF4&quot;/&gt;&lt;wsp:rsid wsp:val=&quot;00A834BF&quot;/&gt;&lt;wsp:rsid wsp:val=&quot;00A8392D&quot;/&gt;&lt;wsp:rsid wsp:val=&quot;00A83ABA&quot;/&gt;&lt;wsp:rsid wsp:val=&quot;00A8454A&quot;/&gt;&lt;wsp:rsid wsp:val=&quot;00A84B41&quot;/&gt;&lt;wsp:rsid wsp:val=&quot;00A84C13&quot;/&gt;&lt;wsp:rsid wsp:val=&quot;00A850B6&quot;/&gt;&lt;wsp:rsid wsp:val=&quot;00A85295&quot;/&gt;&lt;wsp:rsid wsp:val=&quot;00A85AB8&quot;/&gt;&lt;wsp:rsid wsp:val=&quot;00A85CC6&quot;/&gt;&lt;wsp:rsid wsp:val=&quot;00A85D2A&quot;/&gt;&lt;wsp:rsid wsp:val=&quot;00A862BB&quot;/&gt;&lt;wsp:rsid wsp:val=&quot;00A864A9&quot;/&gt;&lt;wsp:rsid wsp:val=&quot;00A8663C&quot;/&gt;&lt;wsp:rsid wsp:val=&quot;00A8666A&quot;/&gt;&lt;wsp:rsid wsp:val=&quot;00A86A67&quot;/&gt;&lt;wsp:rsid wsp:val=&quot;00A86F33&quot;/&gt;&lt;wsp:rsid wsp:val=&quot;00A86F88&quot;/&gt;&lt;wsp:rsid wsp:val=&quot;00A87408&quot;/&gt;&lt;wsp:rsid wsp:val=&quot;00A8772F&quot;/&gt;&lt;wsp:rsid wsp:val=&quot;00A878E5&quot;/&gt;&lt;wsp:rsid wsp:val=&quot;00A87939&quot;/&gt;&lt;wsp:rsid wsp:val=&quot;00A87956&quot;/&gt;&lt;wsp:rsid wsp:val=&quot;00A9071B&quot;/&gt;&lt;wsp:rsid wsp:val=&quot;00A90734&quot;/&gt;&lt;wsp:rsid wsp:val=&quot;00A909B5&quot;/&gt;&lt;wsp:rsid wsp:val=&quot;00A90F6A&quot;/&gt;&lt;wsp:rsid wsp:val=&quot;00A91435&quot;/&gt;&lt;wsp:rsid wsp:val=&quot;00A91917&quot;/&gt;&lt;wsp:rsid wsp:val=&quot;00A91948&quot;/&gt;&lt;wsp:rsid wsp:val=&quot;00A91CF2&quot;/&gt;&lt;wsp:rsid wsp:val=&quot;00A9206E&quot;/&gt;&lt;wsp:rsid wsp:val=&quot;00A92267&quot;/&gt;&lt;wsp:rsid wsp:val=&quot;00A928B0&quot;/&gt;&lt;wsp:rsid wsp:val=&quot;00A92B0F&quot;/&gt;&lt;wsp:rsid wsp:val=&quot;00A92E05&quot;/&gt;&lt;wsp:rsid wsp:val=&quot;00A94343&quot;/&gt;&lt;wsp:rsid wsp:val=&quot;00A94508&quot;/&gt;&lt;wsp:rsid wsp:val=&quot;00A94A27&quot;/&gt;&lt;wsp:rsid wsp:val=&quot;00A94AD0&quot;/&gt;&lt;wsp:rsid wsp:val=&quot;00A94D00&quot;/&gt;&lt;wsp:rsid wsp:val=&quot;00A94EA0&quot;/&gt;&lt;wsp:rsid wsp:val=&quot;00A94F75&quot;/&gt;&lt;wsp:rsid wsp:val=&quot;00A952EC&quot;/&gt;&lt;wsp:rsid wsp:val=&quot;00A95786&quot;/&gt;&lt;wsp:rsid wsp:val=&quot;00A95983&quot;/&gt;&lt;wsp:rsid wsp:val=&quot;00A962EE&quot;/&gt;&lt;wsp:rsid wsp:val=&quot;00A96C15&quot;/&gt;&lt;wsp:rsid wsp:val=&quot;00A96D54&quot;/&gt;&lt;wsp:rsid wsp:val=&quot;00A96D96&quot;/&gt;&lt;wsp:rsid wsp:val=&quot;00A96F6E&quot;/&gt;&lt;wsp:rsid wsp:val=&quot;00A97A41&quot;/&gt;&lt;wsp:rsid wsp:val=&quot;00A97B3D&quot;/&gt;&lt;wsp:rsid wsp:val=&quot;00AA00A9&quot;/&gt;&lt;wsp:rsid wsp:val=&quot;00AA0525&quot;/&gt;&lt;wsp:rsid wsp:val=&quot;00AA0A2E&quot;/&gt;&lt;wsp:rsid wsp:val=&quot;00AA0CEA&quot;/&gt;&lt;wsp:rsid wsp:val=&quot;00AA0DF6&quot;/&gt;&lt;wsp:rsid wsp:val=&quot;00AA131C&quot;/&gt;&lt;wsp:rsid wsp:val=&quot;00AA14A5&quot;/&gt;&lt;wsp:rsid wsp:val=&quot;00AA16C6&quot;/&gt;&lt;wsp:rsid wsp:val=&quot;00AA1A2E&quot;/&gt;&lt;wsp:rsid wsp:val=&quot;00AA1AB4&quot;/&gt;&lt;wsp:rsid wsp:val=&quot;00AA1B66&quot;/&gt;&lt;wsp:rsid wsp:val=&quot;00AA1CFB&quot;/&gt;&lt;wsp:rsid wsp:val=&quot;00AA23EC&quot;/&gt;&lt;wsp:rsid wsp:val=&quot;00AA26E1&quot;/&gt;&lt;wsp:rsid wsp:val=&quot;00AA27E8&quot;/&gt;&lt;wsp:rsid wsp:val=&quot;00AA3352&quot;/&gt;&lt;wsp:rsid wsp:val=&quot;00AA39AA&quot;/&gt;&lt;wsp:rsid wsp:val=&quot;00AA3D3F&quot;/&gt;&lt;wsp:rsid wsp:val=&quot;00AA3DCA&quot;/&gt;&lt;wsp:rsid wsp:val=&quot;00AA4597&quot;/&gt;&lt;wsp:rsid wsp:val=&quot;00AA4DEC&quot;/&gt;&lt;wsp:rsid wsp:val=&quot;00AA55B7&quot;/&gt;&lt;wsp:rsid wsp:val=&quot;00AA55E1&quot;/&gt;&lt;wsp:rsid wsp:val=&quot;00AA67E3&quot;/&gt;&lt;wsp:rsid wsp:val=&quot;00AA69CE&quot;/&gt;&lt;wsp:rsid wsp:val=&quot;00AA6C86&quot;/&gt;&lt;wsp:rsid wsp:val=&quot;00AA6FB5&quot;/&gt;&lt;wsp:rsid wsp:val=&quot;00AA7182&quot;/&gt;&lt;wsp:rsid wsp:val=&quot;00AA73BC&quot;/&gt;&lt;wsp:rsid wsp:val=&quot;00AA78D4&quot;/&gt;&lt;wsp:rsid wsp:val=&quot;00AA7A24&quot;/&gt;&lt;wsp:rsid wsp:val=&quot;00AA7F52&quot;/&gt;&lt;wsp:rsid wsp:val=&quot;00AB056E&quot;/&gt;&lt;wsp:rsid wsp:val=&quot;00AB0C4E&quot;/&gt;&lt;wsp:rsid wsp:val=&quot;00AB0E53&quot;/&gt;&lt;wsp:rsid wsp:val=&quot;00AB1309&quot;/&gt;&lt;wsp:rsid wsp:val=&quot;00AB1524&quot;/&gt;&lt;wsp:rsid wsp:val=&quot;00AB15F9&quot;/&gt;&lt;wsp:rsid wsp:val=&quot;00AB1958&quot;/&gt;&lt;wsp:rsid wsp:val=&quot;00AB1995&quot;/&gt;&lt;wsp:rsid wsp:val=&quot;00AB1D5D&quot;/&gt;&lt;wsp:rsid wsp:val=&quot;00AB1F4C&quot;/&gt;&lt;wsp:rsid wsp:val=&quot;00AB1F59&quot;/&gt;&lt;wsp:rsid wsp:val=&quot;00AB207E&quot;/&gt;&lt;wsp:rsid wsp:val=&quot;00AB2B04&quot;/&gt;&lt;wsp:rsid wsp:val=&quot;00AB2E4D&quot;/&gt;&lt;wsp:rsid wsp:val=&quot;00AB342A&quot;/&gt;&lt;wsp:rsid wsp:val=&quot;00AB35D7&quot;/&gt;&lt;wsp:rsid wsp:val=&quot;00AB36F1&quot;/&gt;&lt;wsp:rsid wsp:val=&quot;00AB3731&quot;/&gt;&lt;wsp:rsid wsp:val=&quot;00AB3A09&quot;/&gt;&lt;wsp:rsid wsp:val=&quot;00AB3EF5&quot;/&gt;&lt;wsp:rsid wsp:val=&quot;00AB3FE3&quot;/&gt;&lt;wsp:rsid wsp:val=&quot;00AB4101&quot;/&gt;&lt;wsp:rsid wsp:val=&quot;00AB4B33&quot;/&gt;&lt;wsp:rsid wsp:val=&quot;00AB4C89&quot;/&gt;&lt;wsp:rsid wsp:val=&quot;00AB4D5F&quot;/&gt;&lt;wsp:rsid wsp:val=&quot;00AB4E76&quot;/&gt;&lt;wsp:rsid wsp:val=&quot;00AB5074&quot;/&gt;&lt;wsp:rsid wsp:val=&quot;00AB57AA&quot;/&gt;&lt;wsp:rsid wsp:val=&quot;00AB5828&quot;/&gt;&lt;wsp:rsid wsp:val=&quot;00AB61A9&quot;/&gt;&lt;wsp:rsid wsp:val=&quot;00AB6252&quot;/&gt;&lt;wsp:rsid wsp:val=&quot;00AB66B0&quot;/&gt;&lt;wsp:rsid wsp:val=&quot;00AB6834&quot;/&gt;&lt;wsp:rsid wsp:val=&quot;00AB70B8&quot;/&gt;&lt;wsp:rsid wsp:val=&quot;00AB728C&quot;/&gt;&lt;wsp:rsid wsp:val=&quot;00AB739F&quot;/&gt;&lt;wsp:rsid wsp:val=&quot;00AB73CD&quot;/&gt;&lt;wsp:rsid wsp:val=&quot;00AB79C9&quot;/&gt;&lt;wsp:rsid wsp:val=&quot;00AC0636&quot;/&gt;&lt;wsp:rsid wsp:val=&quot;00AC0729&quot;/&gt;&lt;wsp:rsid wsp:val=&quot;00AC0A19&quot;/&gt;&lt;wsp:rsid wsp:val=&quot;00AC0C5A&quot;/&gt;&lt;wsp:rsid wsp:val=&quot;00AC0D8F&quot;/&gt;&lt;wsp:rsid wsp:val=&quot;00AC0E31&quot;/&gt;&lt;wsp:rsid wsp:val=&quot;00AC11C8&quot;/&gt;&lt;wsp:rsid wsp:val=&quot;00AC13F0&quot;/&gt;&lt;wsp:rsid wsp:val=&quot;00AC14C6&quot;/&gt;&lt;wsp:rsid wsp:val=&quot;00AC237D&quot;/&gt;&lt;wsp:rsid wsp:val=&quot;00AC2680&quot;/&gt;&lt;wsp:rsid wsp:val=&quot;00AC29D0&quot;/&gt;&lt;wsp:rsid wsp:val=&quot;00AC3181&quot;/&gt;&lt;wsp:rsid wsp:val=&quot;00AC31FE&quot;/&gt;&lt;wsp:rsid wsp:val=&quot;00AC3204&quot;/&gt;&lt;wsp:rsid wsp:val=&quot;00AC330F&quot;/&gt;&lt;wsp:rsid wsp:val=&quot;00AC3370&quot;/&gt;&lt;wsp:rsid wsp:val=&quot;00AC365B&quot;/&gt;&lt;wsp:rsid wsp:val=&quot;00AC3BD9&quot;/&gt;&lt;wsp:rsid wsp:val=&quot;00AC442C&quot;/&gt;&lt;wsp:rsid wsp:val=&quot;00AC45FF&quot;/&gt;&lt;wsp:rsid wsp:val=&quot;00AC558D&quot;/&gt;&lt;wsp:rsid wsp:val=&quot;00AC5A89&quot;/&gt;&lt;wsp:rsid wsp:val=&quot;00AC5F95&quot;/&gt;&lt;wsp:rsid wsp:val=&quot;00AC6808&quot;/&gt;&lt;wsp:rsid wsp:val=&quot;00AC68DF&quot;/&gt;&lt;wsp:rsid wsp:val=&quot;00AC7160&quot;/&gt;&lt;wsp:rsid wsp:val=&quot;00AC732A&quot;/&gt;&lt;wsp:rsid wsp:val=&quot;00AC7A9B&quot;/&gt;&lt;wsp:rsid wsp:val=&quot;00AD095C&quot;/&gt;&lt;wsp:rsid wsp:val=&quot;00AD0C16&quot;/&gt;&lt;wsp:rsid wsp:val=&quot;00AD0C33&quot;/&gt;&lt;wsp:rsid wsp:val=&quot;00AD0CFB&quot;/&gt;&lt;wsp:rsid wsp:val=&quot;00AD0DD5&quot;/&gt;&lt;wsp:rsid wsp:val=&quot;00AD18D8&quot;/&gt;&lt;wsp:rsid wsp:val=&quot;00AD25B2&quot;/&gt;&lt;wsp:rsid wsp:val=&quot;00AD2970&quot;/&gt;&lt;wsp:rsid wsp:val=&quot;00AD2E10&quot;/&gt;&lt;wsp:rsid wsp:val=&quot;00AD2F53&quot;/&gt;&lt;wsp:rsid wsp:val=&quot;00AD32CA&quot;/&gt;&lt;wsp:rsid wsp:val=&quot;00AD3399&quot;/&gt;&lt;wsp:rsid wsp:val=&quot;00AD33C5&quot;/&gt;&lt;wsp:rsid wsp:val=&quot;00AD34BE&quot;/&gt;&lt;wsp:rsid wsp:val=&quot;00AD3773&quot;/&gt;&lt;wsp:rsid wsp:val=&quot;00AD3831&quot;/&gt;&lt;wsp:rsid wsp:val=&quot;00AD3843&quot;/&gt;&lt;wsp:rsid wsp:val=&quot;00AD3A1B&quot;/&gt;&lt;wsp:rsid wsp:val=&quot;00AD3D4D&quot;/&gt;&lt;wsp:rsid wsp:val=&quot;00AD3D7E&quot;/&gt;&lt;wsp:rsid wsp:val=&quot;00AD3EC8&quot;/&gt;&lt;wsp:rsid wsp:val=&quot;00AD3F8D&quot;/&gt;&lt;wsp:rsid wsp:val=&quot;00AD458C&quot;/&gt;&lt;wsp:rsid wsp:val=&quot;00AD49D0&quot;/&gt;&lt;wsp:rsid wsp:val=&quot;00AD4C31&quot;/&gt;&lt;wsp:rsid wsp:val=&quot;00AD508F&quot;/&gt;&lt;wsp:rsid wsp:val=&quot;00AD56A3&quot;/&gt;&lt;wsp:rsid wsp:val=&quot;00AD5A62&quot;/&gt;&lt;wsp:rsid wsp:val=&quot;00AD5FD7&quot;/&gt;&lt;wsp:rsid wsp:val=&quot;00AD6364&quot;/&gt;&lt;wsp:rsid wsp:val=&quot;00AD6522&quot;/&gt;&lt;wsp:rsid wsp:val=&quot;00AD65E2&quot;/&gt;&lt;wsp:rsid wsp:val=&quot;00AD698A&quot;/&gt;&lt;wsp:rsid wsp:val=&quot;00AD6CF1&quot;/&gt;&lt;wsp:rsid wsp:val=&quot;00AD6ED5&quot;/&gt;&lt;wsp:rsid wsp:val=&quot;00AD6F72&quot;/&gt;&lt;wsp:rsid wsp:val=&quot;00AD77C5&quot;/&gt;&lt;wsp:rsid wsp:val=&quot;00AD79FB&quot;/&gt;&lt;wsp:rsid wsp:val=&quot;00AD7D11&quot;/&gt;&lt;wsp:rsid wsp:val=&quot;00AD7D7D&quot;/&gt;&lt;wsp:rsid wsp:val=&quot;00AD7E2A&quot;/&gt;&lt;wsp:rsid wsp:val=&quot;00AE0094&quot;/&gt;&lt;wsp:rsid wsp:val=&quot;00AE0368&quot;/&gt;&lt;wsp:rsid wsp:val=&quot;00AE051D&quot;/&gt;&lt;wsp:rsid wsp:val=&quot;00AE05E3&quot;/&gt;&lt;wsp:rsid wsp:val=&quot;00AE0C26&quot;/&gt;&lt;wsp:rsid wsp:val=&quot;00AE0C74&quot;/&gt;&lt;wsp:rsid wsp:val=&quot;00AE160E&quot;/&gt;&lt;wsp:rsid wsp:val=&quot;00AE20CF&quot;/&gt;&lt;wsp:rsid wsp:val=&quot;00AE248B&quot;/&gt;&lt;wsp:rsid wsp:val=&quot;00AE27B8&quot;/&gt;&lt;wsp:rsid wsp:val=&quot;00AE2F91&quot;/&gt;&lt;wsp:rsid wsp:val=&quot;00AE36F2&quot;/&gt;&lt;wsp:rsid wsp:val=&quot;00AE38B5&quot;/&gt;&lt;wsp:rsid wsp:val=&quot;00AE4733&quot;/&gt;&lt;wsp:rsid wsp:val=&quot;00AE48DB&quot;/&gt;&lt;wsp:rsid wsp:val=&quot;00AE4A98&quot;/&gt;&lt;wsp:rsid wsp:val=&quot;00AE4AFC&quot;/&gt;&lt;wsp:rsid wsp:val=&quot;00AE4C54&quot;/&gt;&lt;wsp:rsid wsp:val=&quot;00AE4D16&quot;/&gt;&lt;wsp:rsid wsp:val=&quot;00AE52A2&quot;/&gt;&lt;wsp:rsid wsp:val=&quot;00AE53C8&quot;/&gt;&lt;wsp:rsid wsp:val=&quot;00AE5886&quot;/&gt;&lt;wsp:rsid wsp:val=&quot;00AE59D3&quot;/&gt;&lt;wsp:rsid wsp:val=&quot;00AE5A45&quot;/&gt;&lt;wsp:rsid wsp:val=&quot;00AE5BDB&quot;/&gt;&lt;wsp:rsid wsp:val=&quot;00AE5F74&quot;/&gt;&lt;wsp:rsid wsp:val=&quot;00AE6327&quot;/&gt;&lt;wsp:rsid wsp:val=&quot;00AE6805&quot;/&gt;&lt;wsp:rsid wsp:val=&quot;00AE6CBC&quot;/&gt;&lt;wsp:rsid wsp:val=&quot;00AE7495&quot;/&gt;&lt;wsp:rsid wsp:val=&quot;00AE7A39&quot;/&gt;&lt;wsp:rsid wsp:val=&quot;00AE7AA1&quot;/&gt;&lt;wsp:rsid wsp:val=&quot;00AE7DBE&quot;/&gt;&lt;wsp:rsid wsp:val=&quot;00AF00F3&quot;/&gt;&lt;wsp:rsid wsp:val=&quot;00AF0333&quot;/&gt;&lt;wsp:rsid wsp:val=&quot;00AF0895&quot;/&gt;&lt;wsp:rsid wsp:val=&quot;00AF0DED&quot;/&gt;&lt;wsp:rsid wsp:val=&quot;00AF0E15&quot;/&gt;&lt;wsp:rsid wsp:val=&quot;00AF12B1&quot;/&gt;&lt;wsp:rsid wsp:val=&quot;00AF178C&quot;/&gt;&lt;wsp:rsid wsp:val=&quot;00AF189E&quot;/&gt;&lt;wsp:rsid wsp:val=&quot;00AF19D1&quot;/&gt;&lt;wsp:rsid wsp:val=&quot;00AF1A6E&quot;/&gt;&lt;wsp:rsid wsp:val=&quot;00AF239D&quot;/&gt;&lt;wsp:rsid wsp:val=&quot;00AF2571&quot;/&gt;&lt;wsp:rsid wsp:val=&quot;00AF2699&quot;/&gt;&lt;wsp:rsid wsp:val=&quot;00AF2814&quot;/&gt;&lt;wsp:rsid wsp:val=&quot;00AF2DCC&quot;/&gt;&lt;wsp:rsid wsp:val=&quot;00AF313F&quot;/&gt;&lt;wsp:rsid wsp:val=&quot;00AF3236&quot;/&gt;&lt;wsp:rsid wsp:val=&quot;00AF3CBA&quot;/&gt;&lt;wsp:rsid wsp:val=&quot;00AF4988&quot;/&gt;&lt;wsp:rsid wsp:val=&quot;00AF4D14&quot;/&gt;&lt;wsp:rsid wsp:val=&quot;00AF5092&quot;/&gt;&lt;wsp:rsid wsp:val=&quot;00AF566F&quot;/&gt;&lt;wsp:rsid wsp:val=&quot;00AF57B5&quot;/&gt;&lt;wsp:rsid wsp:val=&quot;00AF584D&quot;/&gt;&lt;wsp:rsid wsp:val=&quot;00AF5A0D&quot;/&gt;&lt;wsp:rsid wsp:val=&quot;00AF5E66&quot;/&gt;&lt;wsp:rsid wsp:val=&quot;00AF60E2&quot;/&gt;&lt;wsp:rsid wsp:val=&quot;00AF62AE&quot;/&gt;&lt;wsp:rsid wsp:val=&quot;00AF62B3&quot;/&gt;&lt;wsp:rsid wsp:val=&quot;00AF6438&quot;/&gt;&lt;wsp:rsid wsp:val=&quot;00AF6909&quot;/&gt;&lt;wsp:rsid wsp:val=&quot;00AF6C89&quot;/&gt;&lt;wsp:rsid wsp:val=&quot;00AF6EDB&quot;/&gt;&lt;wsp:rsid wsp:val=&quot;00AF6F71&quot;/&gt;&lt;wsp:rsid wsp:val=&quot;00AF70AA&quot;/&gt;&lt;wsp:rsid wsp:val=&quot;00AF7167&quot;/&gt;&lt;wsp:rsid wsp:val=&quot;00AF741A&quot;/&gt;&lt;wsp:rsid wsp:val=&quot;00AF77E4&quot;/&gt;&lt;wsp:rsid wsp:val=&quot;00AF7C66&quot;/&gt;&lt;wsp:rsid wsp:val=&quot;00AF7E04&quot;/&gt;&lt;wsp:rsid wsp:val=&quot;00B00458&quot;/&gt;&lt;wsp:rsid wsp:val=&quot;00B00860&quot;/&gt;&lt;wsp:rsid wsp:val=&quot;00B00DE1&quot;/&gt;&lt;wsp:rsid wsp:val=&quot;00B012CE&quot;/&gt;&lt;wsp:rsid wsp:val=&quot;00B01521&quot;/&gt;&lt;wsp:rsid wsp:val=&quot;00B01E75&quot;/&gt;&lt;wsp:rsid wsp:val=&quot;00B02129&quot;/&gt;&lt;wsp:rsid wsp:val=&quot;00B024A0&quot;/&gt;&lt;wsp:rsid wsp:val=&quot;00B02511&quot;/&gt;&lt;wsp:rsid wsp:val=&quot;00B02753&quot;/&gt;&lt;wsp:rsid wsp:val=&quot;00B029BA&quot;/&gt;&lt;wsp:rsid wsp:val=&quot;00B02B9B&quot;/&gt;&lt;wsp:rsid wsp:val=&quot;00B02DB5&quot;/&gt;&lt;wsp:rsid wsp:val=&quot;00B02E98&quot;/&gt;&lt;wsp:rsid wsp:val=&quot;00B030C7&quot;/&gt;&lt;wsp:rsid wsp:val=&quot;00B036FA&quot;/&gt;&lt;wsp:rsid wsp:val=&quot;00B037FD&quot;/&gt;&lt;wsp:rsid wsp:val=&quot;00B03C74&quot;/&gt;&lt;wsp:rsid wsp:val=&quot;00B0402B&quot;/&gt;&lt;wsp:rsid wsp:val=&quot;00B0435C&quot;/&gt;&lt;wsp:rsid wsp:val=&quot;00B04566&quot;/&gt;&lt;wsp:rsid wsp:val=&quot;00B045ED&quot;/&gt;&lt;wsp:rsid wsp:val=&quot;00B04657&quot;/&gt;&lt;wsp:rsid wsp:val=&quot;00B04A53&quot;/&gt;&lt;wsp:rsid wsp:val=&quot;00B04B92&quot;/&gt;&lt;wsp:rsid wsp:val=&quot;00B05034&quot;/&gt;&lt;wsp:rsid wsp:val=&quot;00B052A8&quot;/&gt;&lt;wsp:rsid wsp:val=&quot;00B058FB&quot;/&gt;&lt;wsp:rsid wsp:val=&quot;00B05CDE&quot;/&gt;&lt;wsp:rsid wsp:val=&quot;00B06091&quot;/&gt;&lt;wsp:rsid wsp:val=&quot;00B063CC&quot;/&gt;&lt;wsp:rsid wsp:val=&quot;00B0658F&quot;/&gt;&lt;wsp:rsid wsp:val=&quot;00B066B9&quot;/&gt;&lt;wsp:rsid wsp:val=&quot;00B066E0&quot;/&gt;&lt;wsp:rsid wsp:val=&quot;00B06B51&quot;/&gt;&lt;wsp:rsid wsp:val=&quot;00B06EA4&quot;/&gt;&lt;wsp:rsid wsp:val=&quot;00B075F7&quot;/&gt;&lt;wsp:rsid wsp:val=&quot;00B07740&quot;/&gt;&lt;wsp:rsid wsp:val=&quot;00B07A31&quot;/&gt;&lt;wsp:rsid wsp:val=&quot;00B07A3F&quot;/&gt;&lt;wsp:rsid wsp:val=&quot;00B1006D&quot;/&gt;&lt;wsp:rsid wsp:val=&quot;00B100E6&quot;/&gt;&lt;wsp:rsid wsp:val=&quot;00B10D57&quot;/&gt;&lt;wsp:rsid wsp:val=&quot;00B10E73&quot;/&gt;&lt;wsp:rsid wsp:val=&quot;00B110A6&quot;/&gt;&lt;wsp:rsid wsp:val=&quot;00B113D8&quot;/&gt;&lt;wsp:rsid wsp:val=&quot;00B114F0&quot;/&gt;&lt;wsp:rsid wsp:val=&quot;00B117A7&quot;/&gt;&lt;wsp:rsid wsp:val=&quot;00B127A9&quot;/&gt;&lt;wsp:rsid wsp:val=&quot;00B127CA&quot;/&gt;&lt;wsp:rsid wsp:val=&quot;00B1299C&quot;/&gt;&lt;wsp:rsid wsp:val=&quot;00B12A90&quot;/&gt;&lt;wsp:rsid wsp:val=&quot;00B12AFF&quot;/&gt;&lt;wsp:rsid wsp:val=&quot;00B12BDF&quot;/&gt;&lt;wsp:rsid wsp:val=&quot;00B12E4E&quot;/&gt;&lt;wsp:rsid wsp:val=&quot;00B13289&quot;/&gt;&lt;wsp:rsid wsp:val=&quot;00B1345A&quot;/&gt;&lt;wsp:rsid wsp:val=&quot;00B1373D&quot;/&gt;&lt;wsp:rsid wsp:val=&quot;00B13CDC&quot;/&gt;&lt;wsp:rsid wsp:val=&quot;00B13D1B&quot;/&gt;&lt;wsp:rsid wsp:val=&quot;00B140BD&quot;/&gt;&lt;wsp:rsid wsp:val=&quot;00B14605&quot;/&gt;&lt;wsp:rsid wsp:val=&quot;00B14726&quot;/&gt;&lt;wsp:rsid wsp:val=&quot;00B14C1C&quot;/&gt;&lt;wsp:rsid wsp:val=&quot;00B1504B&quot;/&gt;&lt;wsp:rsid wsp:val=&quot;00B152BA&quot;/&gt;&lt;wsp:rsid wsp:val=&quot;00B154BD&quot;/&gt;&lt;wsp:rsid wsp:val=&quot;00B157A3&quot;/&gt;&lt;wsp:rsid wsp:val=&quot;00B15CCE&quot;/&gt;&lt;wsp:rsid wsp:val=&quot;00B161C5&quot;/&gt;&lt;wsp:rsid wsp:val=&quot;00B16D04&quot;/&gt;&lt;wsp:rsid wsp:val=&quot;00B17828&quot;/&gt;&lt;wsp:rsid wsp:val=&quot;00B17899&quot;/&gt;&lt;wsp:rsid wsp:val=&quot;00B20202&quot;/&gt;&lt;wsp:rsid wsp:val=&quot;00B20906&quot;/&gt;&lt;wsp:rsid wsp:val=&quot;00B20D22&quot;/&gt;&lt;wsp:rsid wsp:val=&quot;00B215E4&quot;/&gt;&lt;wsp:rsid wsp:val=&quot;00B21ABA&quot;/&gt;&lt;wsp:rsid wsp:val=&quot;00B21C4D&quot;/&gt;&lt;wsp:rsid wsp:val=&quot;00B22465&quot;/&gt;&lt;wsp:rsid wsp:val=&quot;00B22514&quot;/&gt;&lt;wsp:rsid wsp:val=&quot;00B228F0&quot;/&gt;&lt;wsp:rsid wsp:val=&quot;00B228F7&quot;/&gt;&lt;wsp:rsid wsp:val=&quot;00B22DA3&quot;/&gt;&lt;wsp:rsid wsp:val=&quot;00B22DF6&quot;/&gt;&lt;wsp:rsid wsp:val=&quot;00B22FE6&quot;/&gt;&lt;wsp:rsid wsp:val=&quot;00B230E9&quot;/&gt;&lt;wsp:rsid wsp:val=&quot;00B231C2&quot;/&gt;&lt;wsp:rsid wsp:val=&quot;00B23221&quot;/&gt;&lt;wsp:rsid wsp:val=&quot;00B2337E&quot;/&gt;&lt;wsp:rsid wsp:val=&quot;00B233FB&quot;/&gt;&lt;wsp:rsid wsp:val=&quot;00B23420&quot;/&gt;&lt;wsp:rsid wsp:val=&quot;00B239AF&quot;/&gt;&lt;wsp:rsid wsp:val=&quot;00B243A3&quot;/&gt;&lt;wsp:rsid wsp:val=&quot;00B24555&quot;/&gt;&lt;wsp:rsid wsp:val=&quot;00B24781&quot;/&gt;&lt;wsp:rsid wsp:val=&quot;00B24898&quot;/&gt;&lt;wsp:rsid wsp:val=&quot;00B24D9F&quot;/&gt;&lt;wsp:rsid wsp:val=&quot;00B24F2E&quot;/&gt;&lt;wsp:rsid wsp:val=&quot;00B25270&quot;/&gt;&lt;wsp:rsid wsp:val=&quot;00B25586&quot;/&gt;&lt;wsp:rsid wsp:val=&quot;00B256B4&quot;/&gt;&lt;wsp:rsid wsp:val=&quot;00B25829&quot;/&gt;&lt;wsp:rsid wsp:val=&quot;00B25A6C&quot;/&gt;&lt;wsp:rsid wsp:val=&quot;00B25B95&quot;/&gt;&lt;wsp:rsid wsp:val=&quot;00B25BBB&quot;/&gt;&lt;wsp:rsid wsp:val=&quot;00B25EBC&quot;/&gt;&lt;wsp:rsid wsp:val=&quot;00B26041&quot;/&gt;&lt;wsp:rsid wsp:val=&quot;00B2675E&quot;/&gt;&lt;wsp:rsid wsp:val=&quot;00B267A7&quot;/&gt;&lt;wsp:rsid wsp:val=&quot;00B26999&quot;/&gt;&lt;wsp:rsid wsp:val=&quot;00B26A9B&quot;/&gt;&lt;wsp:rsid wsp:val=&quot;00B26B52&quot;/&gt;&lt;wsp:rsid wsp:val=&quot;00B26EC6&quot;/&gt;&lt;wsp:rsid wsp:val=&quot;00B27303&quot;/&gt;&lt;wsp:rsid wsp:val=&quot;00B279FC&quot;/&gt;&lt;wsp:rsid wsp:val=&quot;00B27A8A&quot;/&gt;&lt;wsp:rsid wsp:val=&quot;00B27BB9&quot;/&gt;&lt;wsp:rsid wsp:val=&quot;00B27D98&quot;/&gt;&lt;wsp:rsid wsp:val=&quot;00B27EE1&quot;/&gt;&lt;wsp:rsid wsp:val=&quot;00B300AF&quot;/&gt;&lt;wsp:rsid wsp:val=&quot;00B30118&quot;/&gt;&lt;wsp:rsid wsp:val=&quot;00B3011F&quot;/&gt;&lt;wsp:rsid wsp:val=&quot;00B30457&quot;/&gt;&lt;wsp:rsid wsp:val=&quot;00B304B2&quot;/&gt;&lt;wsp:rsid wsp:val=&quot;00B30531&quot;/&gt;&lt;wsp:rsid wsp:val=&quot;00B3064B&quot;/&gt;&lt;wsp:rsid wsp:val=&quot;00B30CB2&quot;/&gt;&lt;wsp:rsid wsp:val=&quot;00B3119B&quot;/&gt;&lt;wsp:rsid wsp:val=&quot;00B314EC&quot;/&gt;&lt;wsp:rsid wsp:val=&quot;00B31541&quot;/&gt;&lt;wsp:rsid wsp:val=&quot;00B31721&quot;/&gt;&lt;wsp:rsid wsp:val=&quot;00B31742&quot;/&gt;&lt;wsp:rsid wsp:val=&quot;00B318A9&quot;/&gt;&lt;wsp:rsid wsp:val=&quot;00B31B9A&quot;/&gt;&lt;wsp:rsid wsp:val=&quot;00B31F6C&quot;/&gt;&lt;wsp:rsid wsp:val=&quot;00B31FCC&quot;/&gt;&lt;wsp:rsid wsp:val=&quot;00B3219D&quot;/&gt;&lt;wsp:rsid wsp:val=&quot;00B32544&quot;/&gt;&lt;wsp:rsid wsp:val=&quot;00B3318B&quot;/&gt;&lt;wsp:rsid wsp:val=&quot;00B33708&quot;/&gt;&lt;wsp:rsid wsp:val=&quot;00B337F2&quot;/&gt;&lt;wsp:rsid wsp:val=&quot;00B33C90&quot;/&gt;&lt;wsp:rsid wsp:val=&quot;00B33FCC&quot;/&gt;&lt;wsp:rsid wsp:val=&quot;00B34171&quot;/&gt;&lt;wsp:rsid wsp:val=&quot;00B34774&quot;/&gt;&lt;wsp:rsid wsp:val=&quot;00B348DF&quot;/&gt;&lt;wsp:rsid wsp:val=&quot;00B34DE4&quot;/&gt;&lt;wsp:rsid wsp:val=&quot;00B34E34&quot;/&gt;&lt;wsp:rsid wsp:val=&quot;00B34E44&quot;/&gt;&lt;wsp:rsid wsp:val=&quot;00B35026&quot;/&gt;&lt;wsp:rsid wsp:val=&quot;00B350C9&quot;/&gt;&lt;wsp:rsid wsp:val=&quot;00B350E0&quot;/&gt;&lt;wsp:rsid wsp:val=&quot;00B352E6&quot;/&gt;&lt;wsp:rsid wsp:val=&quot;00B353C8&quot;/&gt;&lt;wsp:rsid wsp:val=&quot;00B35426&quot;/&gt;&lt;wsp:rsid wsp:val=&quot;00B354C0&quot;/&gt;&lt;wsp:rsid wsp:val=&quot;00B35B32&quot;/&gt;&lt;wsp:rsid wsp:val=&quot;00B35C99&quot;/&gt;&lt;wsp:rsid wsp:val=&quot;00B35DB1&quot;/&gt;&lt;wsp:rsid wsp:val=&quot;00B36EC5&quot;/&gt;&lt;wsp:rsid wsp:val=&quot;00B37430&quot;/&gt;&lt;wsp:rsid wsp:val=&quot;00B37570&quot;/&gt;&lt;wsp:rsid wsp:val=&quot;00B375B6&quot;/&gt;&lt;wsp:rsid wsp:val=&quot;00B4031C&quot;/&gt;&lt;wsp:rsid wsp:val=&quot;00B403A5&quot;/&gt;&lt;wsp:rsid wsp:val=&quot;00B40897&quot;/&gt;&lt;wsp:rsid wsp:val=&quot;00B411FF&quot;/&gt;&lt;wsp:rsid wsp:val=&quot;00B41322&quot;/&gt;&lt;wsp:rsid wsp:val=&quot;00B41457&quot;/&gt;&lt;wsp:rsid wsp:val=&quot;00B417B1&quot;/&gt;&lt;wsp:rsid wsp:val=&quot;00B428DA&quot;/&gt;&lt;wsp:rsid wsp:val=&quot;00B43645&quot;/&gt;&lt;wsp:rsid wsp:val=&quot;00B43916&quot;/&gt;&lt;wsp:rsid wsp:val=&quot;00B43B77&quot;/&gt;&lt;wsp:rsid wsp:val=&quot;00B43BD7&quot;/&gt;&lt;wsp:rsid wsp:val=&quot;00B43D5F&quot;/&gt;&lt;wsp:rsid wsp:val=&quot;00B449DC&quot;/&gt;&lt;wsp:rsid wsp:val=&quot;00B44BD4&quot;/&gt;&lt;wsp:rsid wsp:val=&quot;00B44E1D&quot;/&gt;&lt;wsp:rsid wsp:val=&quot;00B45308&quot;/&gt;&lt;wsp:rsid wsp:val=&quot;00B4663B&quot;/&gt;&lt;wsp:rsid wsp:val=&quot;00B46BA5&quot;/&gt;&lt;wsp:rsid wsp:val=&quot;00B46C56&quot;/&gt;&lt;wsp:rsid wsp:val=&quot;00B46D84&quot;/&gt;&lt;wsp:rsid wsp:val=&quot;00B470F2&quot;/&gt;&lt;wsp:rsid wsp:val=&quot;00B471B7&quot;/&gt;&lt;wsp:rsid wsp:val=&quot;00B4744E&quot;/&gt;&lt;wsp:rsid wsp:val=&quot;00B477CF&quot;/&gt;&lt;wsp:rsid wsp:val=&quot;00B4792B&quot;/&gt;&lt;wsp:rsid wsp:val=&quot;00B479ED&quot;/&gt;&lt;wsp:rsid wsp:val=&quot;00B47B8D&quot;/&gt;&lt;wsp:rsid wsp:val=&quot;00B47CEB&quot;/&gt;&lt;wsp:rsid wsp:val=&quot;00B50153&quot;/&gt;&lt;wsp:rsid wsp:val=&quot;00B50502&quot;/&gt;&lt;wsp:rsid wsp:val=&quot;00B5086C&quot;/&gt;&lt;wsp:rsid wsp:val=&quot;00B509F8&quot;/&gt;&lt;wsp:rsid wsp:val=&quot;00B50BBE&quot;/&gt;&lt;wsp:rsid wsp:val=&quot;00B511BB&quot;/&gt;&lt;wsp:rsid wsp:val=&quot;00B51539&quot;/&gt;&lt;wsp:rsid wsp:val=&quot;00B517B2&quot;/&gt;&lt;wsp:rsid wsp:val=&quot;00B51BAE&quot;/&gt;&lt;wsp:rsid wsp:val=&quot;00B52062&quot;/&gt;&lt;wsp:rsid wsp:val=&quot;00B52277&quot;/&gt;&lt;wsp:rsid wsp:val=&quot;00B524FF&quot;/&gt;&lt;wsp:rsid wsp:val=&quot;00B532F5&quot;/&gt;&lt;wsp:rsid wsp:val=&quot;00B53761&quot;/&gt;&lt;wsp:rsid wsp:val=&quot;00B539B4&quot;/&gt;&lt;wsp:rsid wsp:val=&quot;00B53A95&quot;/&gt;&lt;wsp:rsid wsp:val=&quot;00B53C13&quot;/&gt;&lt;wsp:rsid wsp:val=&quot;00B545E0&quot;/&gt;&lt;wsp:rsid wsp:val=&quot;00B548C3&quot;/&gt;&lt;wsp:rsid wsp:val=&quot;00B549A9&quot;/&gt;&lt;wsp:rsid wsp:val=&quot;00B54AFA&quot;/&gt;&lt;wsp:rsid wsp:val=&quot;00B54BE6&quot;/&gt;&lt;wsp:rsid wsp:val=&quot;00B54E46&quot;/&gt;&lt;wsp:rsid wsp:val=&quot;00B54E56&quot;/&gt;&lt;wsp:rsid wsp:val=&quot;00B55CA7&quot;/&gt;&lt;wsp:rsid wsp:val=&quot;00B55CAF&quot;/&gt;&lt;wsp:rsid wsp:val=&quot;00B5636B&quot;/&gt;&lt;wsp:rsid wsp:val=&quot;00B5645B&quot;/&gt;&lt;wsp:rsid wsp:val=&quot;00B56581&quot;/&gt;&lt;wsp:rsid wsp:val=&quot;00B56760&quot;/&gt;&lt;wsp:rsid wsp:val=&quot;00B56AC0&quot;/&gt;&lt;wsp:rsid wsp:val=&quot;00B56CEE&quot;/&gt;&lt;wsp:rsid wsp:val=&quot;00B578A6&quot;/&gt;&lt;wsp:rsid wsp:val=&quot;00B578C6&quot;/&gt;&lt;wsp:rsid wsp:val=&quot;00B605B8&quot;/&gt;&lt;wsp:rsid wsp:val=&quot;00B60A07&quot;/&gt;&lt;wsp:rsid wsp:val=&quot;00B60B5E&quot;/&gt;&lt;wsp:rsid wsp:val=&quot;00B60F36&quot;/&gt;&lt;wsp:rsid wsp:val=&quot;00B60F83&quot;/&gt;&lt;wsp:rsid wsp:val=&quot;00B61110&quot;/&gt;&lt;wsp:rsid wsp:val=&quot;00B6117E&quot;/&gt;&lt;wsp:rsid wsp:val=&quot;00B61B21&quot;/&gt;&lt;wsp:rsid wsp:val=&quot;00B61EF6&quot;/&gt;&lt;wsp:rsid wsp:val=&quot;00B62269&quot;/&gt;&lt;wsp:rsid wsp:val=&quot;00B62563&quot;/&gt;&lt;wsp:rsid wsp:val=&quot;00B62B70&quot;/&gt;&lt;wsp:rsid wsp:val=&quot;00B6315C&quot;/&gt;&lt;wsp:rsid wsp:val=&quot;00B6337B&quot;/&gt;&lt;wsp:rsid wsp:val=&quot;00B6398A&quot;/&gt;&lt;wsp:rsid wsp:val=&quot;00B63A03&quot;/&gt;&lt;wsp:rsid wsp:val=&quot;00B63A08&quot;/&gt;&lt;wsp:rsid wsp:val=&quot;00B63A68&quot;/&gt;&lt;wsp:rsid wsp:val=&quot;00B63AD4&quot;/&gt;&lt;wsp:rsid wsp:val=&quot;00B63BD4&quot;/&gt;&lt;wsp:rsid wsp:val=&quot;00B64260&quot;/&gt;&lt;wsp:rsid wsp:val=&quot;00B645DA&quot;/&gt;&lt;wsp:rsid wsp:val=&quot;00B64844&quot;/&gt;&lt;wsp:rsid wsp:val=&quot;00B64BB0&quot;/&gt;&lt;wsp:rsid wsp:val=&quot;00B6580D&quot;/&gt;&lt;wsp:rsid wsp:val=&quot;00B65ED5&quot;/&gt;&lt;wsp:rsid wsp:val=&quot;00B66138&quot;/&gt;&lt;wsp:rsid wsp:val=&quot;00B66233&quot;/&gt;&lt;wsp:rsid wsp:val=&quot;00B66FA6&quot;/&gt;&lt;wsp:rsid wsp:val=&quot;00B676FB&quot;/&gt;&lt;wsp:rsid wsp:val=&quot;00B67732&quot;/&gt;&lt;wsp:rsid wsp:val=&quot;00B70272&quot;/&gt;&lt;wsp:rsid wsp:val=&quot;00B7034F&quot;/&gt;&lt;wsp:rsid wsp:val=&quot;00B70B5D&quot;/&gt;&lt;wsp:rsid wsp:val=&quot;00B71803&quot;/&gt;&lt;wsp:rsid wsp:val=&quot;00B71CDA&quot;/&gt;&lt;wsp:rsid wsp:val=&quot;00B71E73&quot;/&gt;&lt;wsp:rsid wsp:val=&quot;00B71EB6&quot;/&gt;&lt;wsp:rsid wsp:val=&quot;00B71F25&quot;/&gt;&lt;wsp:rsid wsp:val=&quot;00B72275&quot;/&gt;&lt;wsp:rsid wsp:val=&quot;00B72A7D&quot;/&gt;&lt;wsp:rsid wsp:val=&quot;00B72C15&quot;/&gt;&lt;wsp:rsid wsp:val=&quot;00B72C17&quot;/&gt;&lt;wsp:rsid wsp:val=&quot;00B73239&quot;/&gt;&lt;wsp:rsid wsp:val=&quot;00B73682&quot;/&gt;&lt;wsp:rsid wsp:val=&quot;00B73A2F&quot;/&gt;&lt;wsp:rsid wsp:val=&quot;00B73A5E&quot;/&gt;&lt;wsp:rsid wsp:val=&quot;00B73C3E&quot;/&gt;&lt;wsp:rsid wsp:val=&quot;00B73D01&quot;/&gt;&lt;wsp:rsid wsp:val=&quot;00B73D0F&quot;/&gt;&lt;wsp:rsid wsp:val=&quot;00B73F1A&quot;/&gt;&lt;wsp:rsid wsp:val=&quot;00B747FD&quot;/&gt;&lt;wsp:rsid wsp:val=&quot;00B7481F&quot;/&gt;&lt;wsp:rsid wsp:val=&quot;00B7526C&quot;/&gt;&lt;wsp:rsid wsp:val=&quot;00B77393&quot;/&gt;&lt;wsp:rsid wsp:val=&quot;00B77B7D&quot;/&gt;&lt;wsp:rsid wsp:val=&quot;00B77D82&quot;/&gt;&lt;wsp:rsid wsp:val=&quot;00B77E7F&quot;/&gt;&lt;wsp:rsid wsp:val=&quot;00B805AD&quot;/&gt;&lt;wsp:rsid wsp:val=&quot;00B8085B&quot;/&gt;&lt;wsp:rsid wsp:val=&quot;00B80DFD&quot;/&gt;&lt;wsp:rsid wsp:val=&quot;00B80EFE&quot;/&gt;&lt;wsp:rsid wsp:val=&quot;00B80F6C&quot;/&gt;&lt;wsp:rsid wsp:val=&quot;00B811EE&quot;/&gt;&lt;wsp:rsid wsp:val=&quot;00B81309&quot;/&gt;&lt;wsp:rsid wsp:val=&quot;00B813A5&quot;/&gt;&lt;wsp:rsid wsp:val=&quot;00B82024&quot;/&gt;&lt;wsp:rsid wsp:val=&quot;00B826BD&quot;/&gt;&lt;wsp:rsid wsp:val=&quot;00B82A6E&quot;/&gt;&lt;wsp:rsid wsp:val=&quot;00B82ED8&quot;/&gt;&lt;wsp:rsid wsp:val=&quot;00B82F17&quot;/&gt;&lt;wsp:rsid wsp:val=&quot;00B832A9&quot;/&gt;&lt;wsp:rsid wsp:val=&quot;00B832AB&quot;/&gt;&lt;wsp:rsid wsp:val=&quot;00B83678&quot;/&gt;&lt;wsp:rsid wsp:val=&quot;00B838FE&quot;/&gt;&lt;wsp:rsid wsp:val=&quot;00B83A47&quot;/&gt;&lt;wsp:rsid wsp:val=&quot;00B8400E&quot;/&gt;&lt;wsp:rsid wsp:val=&quot;00B84402&quot;/&gt;&lt;wsp:rsid wsp:val=&quot;00B8491A&quot;/&gt;&lt;wsp:rsid wsp:val=&quot;00B84E1A&quot;/&gt;&lt;wsp:rsid wsp:val=&quot;00B84F4C&quot;/&gt;&lt;wsp:rsid wsp:val=&quot;00B85168&quot;/&gt;&lt;wsp:rsid wsp:val=&quot;00B861F8&quot;/&gt;&lt;wsp:rsid wsp:val=&quot;00B8663A&quot;/&gt;&lt;wsp:rsid wsp:val=&quot;00B86688&quot;/&gt;&lt;wsp:rsid wsp:val=&quot;00B87432&quot;/&gt;&lt;wsp:rsid wsp:val=&quot;00B9060A&quot;/&gt;&lt;wsp:rsid wsp:val=&quot;00B90A4A&quot;/&gt;&lt;wsp:rsid wsp:val=&quot;00B9135C&quot;/&gt;&lt;wsp:rsid wsp:val=&quot;00B914E2&quot;/&gt;&lt;wsp:rsid wsp:val=&quot;00B91818&quot;/&gt;&lt;wsp:rsid wsp:val=&quot;00B91F83&quot;/&gt;&lt;wsp:rsid wsp:val=&quot;00B92144&quot;/&gt;&lt;wsp:rsid wsp:val=&quot;00B92865&quot;/&gt;&lt;wsp:rsid wsp:val=&quot;00B928B6&quot;/&gt;&lt;wsp:rsid wsp:val=&quot;00B9299C&quot;/&gt;&lt;wsp:rsid wsp:val=&quot;00B929DA&quot;/&gt;&lt;wsp:rsid wsp:val=&quot;00B92D7E&quot;/&gt;&lt;wsp:rsid wsp:val=&quot;00B93323&quot;/&gt;&lt;wsp:rsid wsp:val=&quot;00B935E8&quot;/&gt;&lt;wsp:rsid wsp:val=&quot;00B93658&quot;/&gt;&lt;wsp:rsid wsp:val=&quot;00B9384A&quot;/&gt;&lt;wsp:rsid wsp:val=&quot;00B93AD9&quot;/&gt;&lt;wsp:rsid wsp:val=&quot;00B93ED4&quot;/&gt;&lt;wsp:rsid wsp:val=&quot;00B93FD6&quot;/&gt;&lt;wsp:rsid wsp:val=&quot;00B9408B&quot;/&gt;&lt;wsp:rsid wsp:val=&quot;00B94114&quot;/&gt;&lt;wsp:rsid wsp:val=&quot;00B94116&quot;/&gt;&lt;wsp:rsid wsp:val=&quot;00B94206&quot;/&gt;&lt;wsp:rsid wsp:val=&quot;00B9448B&quot;/&gt;&lt;wsp:rsid wsp:val=&quot;00B945BF&quot;/&gt;&lt;wsp:rsid wsp:val=&quot;00B94F4A&quot;/&gt;&lt;wsp:rsid wsp:val=&quot;00B951CE&quot;/&gt;&lt;wsp:rsid wsp:val=&quot;00B95795&quot;/&gt;&lt;wsp:rsid wsp:val=&quot;00B9579C&quot;/&gt;&lt;wsp:rsid wsp:val=&quot;00B95BF5&quot;/&gt;&lt;wsp:rsid wsp:val=&quot;00B95D56&quot;/&gt;&lt;wsp:rsid wsp:val=&quot;00B960D3&quot;/&gt;&lt;wsp:rsid wsp:val=&quot;00B9637D&quot;/&gt;&lt;wsp:rsid wsp:val=&quot;00B96813&quot;/&gt;&lt;wsp:rsid wsp:val=&quot;00B96846&quot;/&gt;&lt;wsp:rsid wsp:val=&quot;00B96A52&quot;/&gt;&lt;wsp:rsid wsp:val=&quot;00B96D1B&quot;/&gt;&lt;wsp:rsid wsp:val=&quot;00B96F28&quot;/&gt;&lt;wsp:rsid wsp:val=&quot;00B97158&quot;/&gt;&lt;wsp:rsid wsp:val=&quot;00B97592&quot;/&gt;&lt;wsp:rsid wsp:val=&quot;00B978D6&quot;/&gt;&lt;wsp:rsid wsp:val=&quot;00B97A9C&quot;/&gt;&lt;wsp:rsid wsp:val=&quot;00B97B94&quot;/&gt;&lt;wsp:rsid wsp:val=&quot;00B97D15&quot;/&gt;&lt;wsp:rsid wsp:val=&quot;00B97D37&quot;/&gt;&lt;wsp:rsid wsp:val=&quot;00B97F93&quot;/&gt;&lt;wsp:rsid wsp:val=&quot;00BA0274&quot;/&gt;&lt;wsp:rsid wsp:val=&quot;00BA0E1E&quot;/&gt;&lt;wsp:rsid wsp:val=&quot;00BA139E&quot;/&gt;&lt;wsp:rsid wsp:val=&quot;00BA193F&quot;/&gt;&lt;wsp:rsid wsp:val=&quot;00BA1A50&quot;/&gt;&lt;wsp:rsid wsp:val=&quot;00BA1A84&quot;/&gt;&lt;wsp:rsid wsp:val=&quot;00BA1C58&quot;/&gt;&lt;wsp:rsid wsp:val=&quot;00BA1C6D&quot;/&gt;&lt;wsp:rsid wsp:val=&quot;00BA1C8D&quot;/&gt;&lt;wsp:rsid wsp:val=&quot;00BA1DB9&quot;/&gt;&lt;wsp:rsid wsp:val=&quot;00BA24BF&quot;/&gt;&lt;wsp:rsid wsp:val=&quot;00BA309D&quot;/&gt;&lt;wsp:rsid wsp:val=&quot;00BA30C2&quot;/&gt;&lt;wsp:rsid wsp:val=&quot;00BA30F9&quot;/&gt;&lt;wsp:rsid wsp:val=&quot;00BA346A&quot;/&gt;&lt;wsp:rsid wsp:val=&quot;00BA36D6&quot;/&gt;&lt;wsp:rsid wsp:val=&quot;00BA3D4A&quot;/&gt;&lt;wsp:rsid wsp:val=&quot;00BA3E18&quot;/&gt;&lt;wsp:rsid wsp:val=&quot;00BA3E3E&quot;/&gt;&lt;wsp:rsid wsp:val=&quot;00BA4184&quot;/&gt;&lt;wsp:rsid wsp:val=&quot;00BA4603&quot;/&gt;&lt;wsp:rsid wsp:val=&quot;00BA4626&quot;/&gt;&lt;wsp:rsid wsp:val=&quot;00BA4EA1&quot;/&gt;&lt;wsp:rsid wsp:val=&quot;00BA5090&quot;/&gt;&lt;wsp:rsid wsp:val=&quot;00BA516F&quot;/&gt;&lt;wsp:rsid wsp:val=&quot;00BA52BA&quot;/&gt;&lt;wsp:rsid wsp:val=&quot;00BA6525&quot;/&gt;&lt;wsp:rsid wsp:val=&quot;00BA6D4A&quot;/&gt;&lt;wsp:rsid wsp:val=&quot;00BA7133&quot;/&gt;&lt;wsp:rsid wsp:val=&quot;00BA7259&quot;/&gt;&lt;wsp:rsid wsp:val=&quot;00BA7973&quot;/&gt;&lt;wsp:rsid wsp:val=&quot;00BA7C08&quot;/&gt;&lt;wsp:rsid wsp:val=&quot;00BB009C&quot;/&gt;&lt;wsp:rsid wsp:val=&quot;00BB01B8&quot;/&gt;&lt;wsp:rsid wsp:val=&quot;00BB0529&quot;/&gt;&lt;wsp:rsid wsp:val=&quot;00BB1A56&quot;/&gt;&lt;wsp:rsid wsp:val=&quot;00BB260F&quot;/&gt;&lt;wsp:rsid wsp:val=&quot;00BB2C8A&quot;/&gt;&lt;wsp:rsid wsp:val=&quot;00BB2CA4&quot;/&gt;&lt;wsp:rsid wsp:val=&quot;00BB3314&quot;/&gt;&lt;wsp:rsid wsp:val=&quot;00BB3924&quot;/&gt;&lt;wsp:rsid wsp:val=&quot;00BB3F6A&quot;/&gt;&lt;wsp:rsid wsp:val=&quot;00BB40A5&quot;/&gt;&lt;wsp:rsid wsp:val=&quot;00BB4323&quot;/&gt;&lt;wsp:rsid wsp:val=&quot;00BB4F53&quot;/&gt;&lt;wsp:rsid wsp:val=&quot;00BB5454&quot;/&gt;&lt;wsp:rsid wsp:val=&quot;00BB5773&quot;/&gt;&lt;wsp:rsid wsp:val=&quot;00BB5C97&quot;/&gt;&lt;wsp:rsid wsp:val=&quot;00BB6619&quot;/&gt;&lt;wsp:rsid wsp:val=&quot;00BB6935&quot;/&gt;&lt;wsp:rsid wsp:val=&quot;00BB6DFE&quot;/&gt;&lt;wsp:rsid wsp:val=&quot;00BB6F37&quot;/&gt;&lt;wsp:rsid wsp:val=&quot;00BB7239&quot;/&gt;&lt;wsp:rsid wsp:val=&quot;00BB7315&quot;/&gt;&lt;wsp:rsid wsp:val=&quot;00BB76BD&quot;/&gt;&lt;wsp:rsid wsp:val=&quot;00BB795B&quot;/&gt;&lt;wsp:rsid wsp:val=&quot;00BB7B1B&quot;/&gt;&lt;wsp:rsid wsp:val=&quot;00BC02FD&quot;/&gt;&lt;wsp:rsid wsp:val=&quot;00BC0CF2&quot;/&gt;&lt;wsp:rsid wsp:val=&quot;00BC0D09&quot;/&gt;&lt;wsp:rsid wsp:val=&quot;00BC0D14&quot;/&gt;&lt;wsp:rsid wsp:val=&quot;00BC0D3E&quot;/&gt;&lt;wsp:rsid wsp:val=&quot;00BC0E7A&quot;/&gt;&lt;wsp:rsid wsp:val=&quot;00BC0FCA&quot;/&gt;&lt;wsp:rsid wsp:val=&quot;00BC1139&quot;/&gt;&lt;wsp:rsid wsp:val=&quot;00BC1304&quot;/&gt;&lt;wsp:rsid wsp:val=&quot;00BC1411&quot;/&gt;&lt;wsp:rsid wsp:val=&quot;00BC18CC&quot;/&gt;&lt;wsp:rsid wsp:val=&quot;00BC231F&quot;/&gt;&lt;wsp:rsid wsp:val=&quot;00BC2691&quot;/&gt;&lt;wsp:rsid wsp:val=&quot;00BC3021&quot;/&gt;&lt;wsp:rsid wsp:val=&quot;00BC30DB&quot;/&gt;&lt;wsp:rsid wsp:val=&quot;00BC334E&quot;/&gt;&lt;wsp:rsid wsp:val=&quot;00BC35A8&quot;/&gt;&lt;wsp:rsid wsp:val=&quot;00BC37F9&quot;/&gt;&lt;wsp:rsid wsp:val=&quot;00BC3932&quot;/&gt;&lt;wsp:rsid wsp:val=&quot;00BC3FB8&quot;/&gt;&lt;wsp:rsid wsp:val=&quot;00BC4375&quot;/&gt;&lt;wsp:rsid wsp:val=&quot;00BC4DE5&quot;/&gt;&lt;wsp:rsid wsp:val=&quot;00BC4FC4&quot;/&gt;&lt;wsp:rsid wsp:val=&quot;00BC5B43&quot;/&gt;&lt;wsp:rsid wsp:val=&quot;00BC5BCF&quot;/&gt;&lt;wsp:rsid wsp:val=&quot;00BC5C48&quot;/&gt;&lt;wsp:rsid wsp:val=&quot;00BC5D68&quot;/&gt;&lt;wsp:rsid wsp:val=&quot;00BC6659&quot;/&gt;&lt;wsp:rsid wsp:val=&quot;00BC67BA&quot;/&gt;&lt;wsp:rsid wsp:val=&quot;00BC67FB&quot;/&gt;&lt;wsp:rsid wsp:val=&quot;00BC6DF6&quot;/&gt;&lt;wsp:rsid wsp:val=&quot;00BC6E3E&quot;/&gt;&lt;wsp:rsid wsp:val=&quot;00BC76B5&quot;/&gt;&lt;wsp:rsid wsp:val=&quot;00BC7868&quot;/&gt;&lt;wsp:rsid wsp:val=&quot;00BC7B32&quot;/&gt;&lt;wsp:rsid wsp:val=&quot;00BC7B61&quot;/&gt;&lt;wsp:rsid wsp:val=&quot;00BC7ECE&quot;/&gt;&lt;wsp:rsid wsp:val=&quot;00BD1420&quot;/&gt;&lt;wsp:rsid wsp:val=&quot;00BD165F&quot;/&gt;&lt;wsp:rsid wsp:val=&quot;00BD19BE&quot;/&gt;&lt;wsp:rsid wsp:val=&quot;00BD1BBC&quot;/&gt;&lt;wsp:rsid wsp:val=&quot;00BD2E55&quot;/&gt;&lt;wsp:rsid wsp:val=&quot;00BD3034&quot;/&gt;&lt;wsp:rsid wsp:val=&quot;00BD3267&quot;/&gt;&lt;wsp:rsid wsp:val=&quot;00BD3312&quot;/&gt;&lt;wsp:rsid wsp:val=&quot;00BD33C4&quot;/&gt;&lt;wsp:rsid wsp:val=&quot;00BD3831&quot;/&gt;&lt;wsp:rsid wsp:val=&quot;00BD3857&quot;/&gt;&lt;wsp:rsid wsp:val=&quot;00BD4092&quot;/&gt;&lt;wsp:rsid wsp:val=&quot;00BD4832&quot;/&gt;&lt;wsp:rsid wsp:val=&quot;00BD4C7F&quot;/&gt;&lt;wsp:rsid wsp:val=&quot;00BD58B5&quot;/&gt;&lt;wsp:rsid wsp:val=&quot;00BD5E2E&quot;/&gt;&lt;wsp:rsid wsp:val=&quot;00BD5F2F&quot;/&gt;&lt;wsp:rsid wsp:val=&quot;00BD62EE&quot;/&gt;&lt;wsp:rsid wsp:val=&quot;00BD66C7&quot;/&gt;&lt;wsp:rsid wsp:val=&quot;00BD6CC3&quot;/&gt;&lt;wsp:rsid wsp:val=&quot;00BD71C0&quot;/&gt;&lt;wsp:rsid wsp:val=&quot;00BD76DD&quot;/&gt;&lt;wsp:rsid wsp:val=&quot;00BD7890&quot;/&gt;&lt;wsp:rsid wsp:val=&quot;00BD78DE&quot;/&gt;&lt;wsp:rsid wsp:val=&quot;00BE06FD&quot;/&gt;&lt;wsp:rsid wsp:val=&quot;00BE08F3&quot;/&gt;&lt;wsp:rsid wsp:val=&quot;00BE0E58&quot;/&gt;&lt;wsp:rsid wsp:val=&quot;00BE0F0D&quot;/&gt;&lt;wsp:rsid wsp:val=&quot;00BE1064&quot;/&gt;&lt;wsp:rsid wsp:val=&quot;00BE12BF&quot;/&gt;&lt;wsp:rsid wsp:val=&quot;00BE2368&quot;/&gt;&lt;wsp:rsid wsp:val=&quot;00BE24E4&quot;/&gt;&lt;wsp:rsid wsp:val=&quot;00BE2897&quot;/&gt;&lt;wsp:rsid wsp:val=&quot;00BE2CC4&quot;/&gt;&lt;wsp:rsid wsp:val=&quot;00BE35A3&quot;/&gt;&lt;wsp:rsid wsp:val=&quot;00BE389F&quot;/&gt;&lt;wsp:rsid wsp:val=&quot;00BE3BC7&quot;/&gt;&lt;wsp:rsid wsp:val=&quot;00BE3E32&quot;/&gt;&lt;wsp:rsid wsp:val=&quot;00BE3F33&quot;/&gt;&lt;wsp:rsid wsp:val=&quot;00BE40C8&quot;/&gt;&lt;wsp:rsid wsp:val=&quot;00BE4891&quot;/&gt;&lt;wsp:rsid wsp:val=&quot;00BE4D93&quot;/&gt;&lt;wsp:rsid wsp:val=&quot;00BE532E&quot;/&gt;&lt;wsp:rsid wsp:val=&quot;00BE5735&quot;/&gt;&lt;wsp:rsid wsp:val=&quot;00BE59B9&quot;/&gt;&lt;wsp:rsid wsp:val=&quot;00BE655A&quot;/&gt;&lt;wsp:rsid wsp:val=&quot;00BE6887&quot;/&gt;&lt;wsp:rsid wsp:val=&quot;00BE6896&quot;/&gt;&lt;wsp:rsid wsp:val=&quot;00BE6C11&quot;/&gt;&lt;wsp:rsid wsp:val=&quot;00BE7344&quot;/&gt;&lt;wsp:rsid wsp:val=&quot;00BE7615&quot;/&gt;&lt;wsp:rsid wsp:val=&quot;00BE76BC&quot;/&gt;&lt;wsp:rsid wsp:val=&quot;00BE7996&quot;/&gt;&lt;wsp:rsid wsp:val=&quot;00BE79FE&quot;/&gt;&lt;wsp:rsid wsp:val=&quot;00BF02F2&quot;/&gt;&lt;wsp:rsid wsp:val=&quot;00BF03AA&quot;/&gt;&lt;wsp:rsid wsp:val=&quot;00BF03BA&quot;/&gt;&lt;wsp:rsid wsp:val=&quot;00BF08CC&quot;/&gt;&lt;wsp:rsid wsp:val=&quot;00BF0B96&quot;/&gt;&lt;wsp:rsid wsp:val=&quot;00BF0C9E&quot;/&gt;&lt;wsp:rsid wsp:val=&quot;00BF1154&quot;/&gt;&lt;wsp:rsid wsp:val=&quot;00BF1BF9&quot;/&gt;&lt;wsp:rsid wsp:val=&quot;00BF1ED5&quot;/&gt;&lt;wsp:rsid wsp:val=&quot;00BF22B7&quot;/&gt;&lt;wsp:rsid wsp:val=&quot;00BF2382&quot;/&gt;&lt;wsp:rsid wsp:val=&quot;00BF26CA&quot;/&gt;&lt;wsp:rsid wsp:val=&quot;00BF307B&quot;/&gt;&lt;wsp:rsid wsp:val=&quot;00BF3D55&quot;/&gt;&lt;wsp:rsid wsp:val=&quot;00BF3FD3&quot;/&gt;&lt;wsp:rsid wsp:val=&quot;00BF432C&quot;/&gt;&lt;wsp:rsid wsp:val=&quot;00BF458E&quot;/&gt;&lt;wsp:rsid wsp:val=&quot;00BF46CD&quot;/&gt;&lt;wsp:rsid wsp:val=&quot;00BF4772&quot;/&gt;&lt;wsp:rsid wsp:val=&quot;00BF4A85&quot;/&gt;&lt;wsp:rsid wsp:val=&quot;00BF4D52&quot;/&gt;&lt;wsp:rsid wsp:val=&quot;00BF4F3A&quot;/&gt;&lt;wsp:rsid wsp:val=&quot;00BF638F&quot;/&gt;&lt;wsp:rsid wsp:val=&quot;00BF69A2&quot;/&gt;&lt;wsp:rsid wsp:val=&quot;00BF6D4B&quot;/&gt;&lt;wsp:rsid wsp:val=&quot;00BF70C4&quot;/&gt;&lt;wsp:rsid wsp:val=&quot;00BF78EA&quot;/&gt;&lt;wsp:rsid wsp:val=&quot;00BF7914&quot;/&gt;&lt;wsp:rsid wsp:val=&quot;00C0016C&quot;/&gt;&lt;wsp:rsid wsp:val=&quot;00C00170&quot;/&gt;&lt;wsp:rsid wsp:val=&quot;00C008E3&quot;/&gt;&lt;wsp:rsid wsp:val=&quot;00C00F6A&quot;/&gt;&lt;wsp:rsid wsp:val=&quot;00C011ED&quot;/&gt;&lt;wsp:rsid wsp:val=&quot;00C01831&quot;/&gt;&lt;wsp:rsid wsp:val=&quot;00C023C1&quot;/&gt;&lt;wsp:rsid wsp:val=&quot;00C024F3&quot;/&gt;&lt;wsp:rsid wsp:val=&quot;00C028E7&quot;/&gt;&lt;wsp:rsid wsp:val=&quot;00C02AA9&quot;/&gt;&lt;wsp:rsid wsp:val=&quot;00C02C3E&quot;/&gt;&lt;wsp:rsid wsp:val=&quot;00C0304D&quot;/&gt;&lt;wsp:rsid wsp:val=&quot;00C0326B&quot;/&gt;&lt;wsp:rsid wsp:val=&quot;00C03289&quot;/&gt;&lt;wsp:rsid wsp:val=&quot;00C034B5&quot;/&gt;&lt;wsp:rsid wsp:val=&quot;00C03C32&quot;/&gt;&lt;wsp:rsid wsp:val=&quot;00C041CC&quot;/&gt;&lt;wsp:rsid wsp:val=&quot;00C04474&quot;/&gt;&lt;wsp:rsid wsp:val=&quot;00C04921&quot;/&gt;&lt;wsp:rsid wsp:val=&quot;00C04957&quot;/&gt;&lt;wsp:rsid wsp:val=&quot;00C0538F&quot;/&gt;&lt;wsp:rsid wsp:val=&quot;00C053C5&quot;/&gt;&lt;wsp:rsid wsp:val=&quot;00C05A3B&quot;/&gt;&lt;wsp:rsid wsp:val=&quot;00C05E97&quot;/&gt;&lt;wsp:rsid wsp:val=&quot;00C06093&quot;/&gt;&lt;wsp:rsid wsp:val=&quot;00C06621&quot;/&gt;&lt;wsp:rsid wsp:val=&quot;00C06D8E&quot;/&gt;&lt;wsp:rsid wsp:val=&quot;00C06EB7&quot;/&gt;&lt;wsp:rsid wsp:val=&quot;00C07183&quot;/&gt;&lt;wsp:rsid wsp:val=&quot;00C0790B&quot;/&gt;&lt;wsp:rsid wsp:val=&quot;00C07C21&quot;/&gt;&lt;wsp:rsid wsp:val=&quot;00C10485&quot;/&gt;&lt;wsp:rsid wsp:val=&quot;00C10577&quot;/&gt;&lt;wsp:rsid wsp:val=&quot;00C107DD&quot;/&gt;&lt;wsp:rsid wsp:val=&quot;00C10F30&quot;/&gt;&lt;wsp:rsid wsp:val=&quot;00C1103F&quot;/&gt;&lt;wsp:rsid wsp:val=&quot;00C1179A&quot;/&gt;&lt;wsp:rsid wsp:val=&quot;00C11960&quot;/&gt;&lt;wsp:rsid wsp:val=&quot;00C11B8B&quot;/&gt;&lt;wsp:rsid wsp:val=&quot;00C11C92&quot;/&gt;&lt;wsp:rsid wsp:val=&quot;00C1229D&quot;/&gt;&lt;wsp:rsid wsp:val=&quot;00C12695&quot;/&gt;&lt;wsp:rsid wsp:val=&quot;00C12969&quot;/&gt;&lt;wsp:rsid wsp:val=&quot;00C12ABB&quot;/&gt;&lt;wsp:rsid wsp:val=&quot;00C1352A&quot;/&gt;&lt;wsp:rsid wsp:val=&quot;00C13C08&quot;/&gt;&lt;wsp:rsid wsp:val=&quot;00C13CEA&quot;/&gt;&lt;wsp:rsid wsp:val=&quot;00C13F1E&quot;/&gt;&lt;wsp:rsid wsp:val=&quot;00C14920&quot;/&gt;&lt;wsp:rsid wsp:val=&quot;00C149E3&quot;/&gt;&lt;wsp:rsid wsp:val=&quot;00C14C7D&quot;/&gt;&lt;wsp:rsid wsp:val=&quot;00C14E51&quot;/&gt;&lt;wsp:rsid wsp:val=&quot;00C14EAA&quot;/&gt;&lt;wsp:rsid wsp:val=&quot;00C152F3&quot;/&gt;&lt;wsp:rsid wsp:val=&quot;00C15619&quot;/&gt;&lt;wsp:rsid wsp:val=&quot;00C15AFD&quot;/&gt;&lt;wsp:rsid wsp:val=&quot;00C15D72&quot;/&gt;&lt;wsp:rsid wsp:val=&quot;00C15F7D&quot;/&gt;&lt;wsp:rsid wsp:val=&quot;00C1601F&quot;/&gt;&lt;wsp:rsid wsp:val=&quot;00C160DA&quot;/&gt;&lt;wsp:rsid wsp:val=&quot;00C1615B&quot;/&gt;&lt;wsp:rsid wsp:val=&quot;00C174AE&quot;/&gt;&lt;wsp:rsid wsp:val=&quot;00C17F3F&quot;/&gt;&lt;wsp:rsid wsp:val=&quot;00C20083&quot;/&gt;&lt;wsp:rsid wsp:val=&quot;00C20206&quot;/&gt;&lt;wsp:rsid wsp:val=&quot;00C20503&quot;/&gt;&lt;wsp:rsid wsp:val=&quot;00C206AF&quot;/&gt;&lt;wsp:rsid wsp:val=&quot;00C20D9A&quot;/&gt;&lt;wsp:rsid wsp:val=&quot;00C20E44&quot;/&gt;&lt;wsp:rsid wsp:val=&quot;00C216B2&quot;/&gt;&lt;wsp:rsid wsp:val=&quot;00C219DD&quot;/&gt;&lt;wsp:rsid wsp:val=&quot;00C21B47&quot;/&gt;&lt;wsp:rsid wsp:val=&quot;00C221D1&quot;/&gt;&lt;wsp:rsid wsp:val=&quot;00C22678&quot;/&gt;&lt;wsp:rsid wsp:val=&quot;00C22974&quot;/&gt;&lt;wsp:rsid wsp:val=&quot;00C22D71&quot;/&gt;&lt;wsp:rsid wsp:val=&quot;00C22EB1&quot;/&gt;&lt;wsp:rsid wsp:val=&quot;00C23696&quot;/&gt;&lt;wsp:rsid wsp:val=&quot;00C238EE&quot;/&gt;&lt;wsp:rsid wsp:val=&quot;00C243B7&quot;/&gt;&lt;wsp:rsid wsp:val=&quot;00C24743&quot;/&gt;&lt;wsp:rsid wsp:val=&quot;00C24F29&quot;/&gt;&lt;wsp:rsid wsp:val=&quot;00C24F6B&quot;/&gt;&lt;wsp:rsid wsp:val=&quot;00C2508D&quot;/&gt;&lt;wsp:rsid wsp:val=&quot;00C256D2&quot;/&gt;&lt;wsp:rsid wsp:val=&quot;00C2579D&quot;/&gt;&lt;wsp:rsid wsp:val=&quot;00C261B1&quot;/&gt;&lt;wsp:rsid wsp:val=&quot;00C26389&quot;/&gt;&lt;wsp:rsid wsp:val=&quot;00C26B20&quot;/&gt;&lt;wsp:rsid wsp:val=&quot;00C2745C&quot;/&gt;&lt;wsp:rsid wsp:val=&quot;00C274E4&quot;/&gt;&lt;wsp:rsid wsp:val=&quot;00C2776D&quot;/&gt;&lt;wsp:rsid wsp:val=&quot;00C2791C&quot;/&gt;&lt;wsp:rsid wsp:val=&quot;00C27ADD&quot;/&gt;&lt;wsp:rsid wsp:val=&quot;00C27B18&quot;/&gt;&lt;wsp:rsid wsp:val=&quot;00C27C67&quot;/&gt;&lt;wsp:rsid wsp:val=&quot;00C300B3&quot;/&gt;&lt;wsp:rsid wsp:val=&quot;00C30419&quot;/&gt;&lt;wsp:rsid wsp:val=&quot;00C30480&quot;/&gt;&lt;wsp:rsid wsp:val=&quot;00C3065C&quot;/&gt;&lt;wsp:rsid wsp:val=&quot;00C3076A&quot;/&gt;&lt;wsp:rsid wsp:val=&quot;00C30CF7&quot;/&gt;&lt;wsp:rsid wsp:val=&quot;00C3129A&quot;/&gt;&lt;wsp:rsid wsp:val=&quot;00C31572&quot;/&gt;&lt;wsp:rsid wsp:val=&quot;00C31842&quot;/&gt;&lt;wsp:rsid wsp:val=&quot;00C31A7F&quot;/&gt;&lt;wsp:rsid wsp:val=&quot;00C31BED&quot;/&gt;&lt;wsp:rsid wsp:val=&quot;00C31C9A&quot;/&gt;&lt;wsp:rsid wsp:val=&quot;00C32170&quot;/&gt;&lt;wsp:rsid wsp:val=&quot;00C3245C&quot;/&gt;&lt;wsp:rsid wsp:val=&quot;00C327C6&quot;/&gt;&lt;wsp:rsid wsp:val=&quot;00C32B8B&quot;/&gt;&lt;wsp:rsid wsp:val=&quot;00C33858&quot;/&gt;&lt;wsp:rsid wsp:val=&quot;00C33AFD&quot;/&gt;&lt;wsp:rsid wsp:val=&quot;00C33E70&quot;/&gt;&lt;wsp:rsid wsp:val=&quot;00C34001&quot;/&gt;&lt;wsp:rsid wsp:val=&quot;00C3421E&quot;/&gt;&lt;wsp:rsid wsp:val=&quot;00C343CE&quot;/&gt;&lt;wsp:rsid wsp:val=&quot;00C3442F&quot;/&gt;&lt;wsp:rsid wsp:val=&quot;00C35415&quot;/&gt;&lt;wsp:rsid wsp:val=&quot;00C35493&quot;/&gt;&lt;wsp:rsid wsp:val=&quot;00C358CE&quot;/&gt;&lt;wsp:rsid wsp:val=&quot;00C35A2F&quot;/&gt;&lt;wsp:rsid wsp:val=&quot;00C35ED7&quot;/&gt;&lt;wsp:rsid wsp:val=&quot;00C35F70&quot;/&gt;&lt;wsp:rsid wsp:val=&quot;00C35FF8&quot;/&gt;&lt;wsp:rsid wsp:val=&quot;00C3617E&quot;/&gt;&lt;wsp:rsid wsp:val=&quot;00C367C0&quot;/&gt;&lt;wsp:rsid wsp:val=&quot;00C3689D&quot;/&gt;&lt;wsp:rsid wsp:val=&quot;00C368A0&quot;/&gt;&lt;wsp:rsid wsp:val=&quot;00C3697F&quot;/&gt;&lt;wsp:rsid wsp:val=&quot;00C36C1B&quot;/&gt;&lt;wsp:rsid wsp:val=&quot;00C36F5F&quot;/&gt;&lt;wsp:rsid wsp:val=&quot;00C372E0&quot;/&gt;&lt;wsp:rsid wsp:val=&quot;00C37404&quot;/&gt;&lt;wsp:rsid wsp:val=&quot;00C37406&quot;/&gt;&lt;wsp:rsid wsp:val=&quot;00C37C85&quot;/&gt;&lt;wsp:rsid wsp:val=&quot;00C40011&quot;/&gt;&lt;wsp:rsid wsp:val=&quot;00C4013C&quot;/&gt;&lt;wsp:rsid wsp:val=&quot;00C4082C&quot;/&gt;&lt;wsp:rsid wsp:val=&quot;00C40A44&quot;/&gt;&lt;wsp:rsid wsp:val=&quot;00C40F43&quot;/&gt;&lt;wsp:rsid wsp:val=&quot;00C41954&quot;/&gt;&lt;wsp:rsid wsp:val=&quot;00C41A5C&quot;/&gt;&lt;wsp:rsid wsp:val=&quot;00C431E3&quot;/&gt;&lt;wsp:rsid wsp:val=&quot;00C432CF&quot;/&gt;&lt;wsp:rsid wsp:val=&quot;00C43BBD&quot;/&gt;&lt;wsp:rsid wsp:val=&quot;00C43BEB&quot;/&gt;&lt;wsp:rsid wsp:val=&quot;00C43ED8&quot;/&gt;&lt;wsp:rsid wsp:val=&quot;00C4453E&quot;/&gt;&lt;wsp:rsid wsp:val=&quot;00C44B98&quot;/&gt;&lt;wsp:rsid wsp:val=&quot;00C44EBD&quot;/&gt;&lt;wsp:rsid wsp:val=&quot;00C44FAA&quot;/&gt;&lt;wsp:rsid wsp:val=&quot;00C45500&quot;/&gt;&lt;wsp:rsid wsp:val=&quot;00C4595A&quot;/&gt;&lt;wsp:rsid wsp:val=&quot;00C459A6&quot;/&gt;&lt;wsp:rsid wsp:val=&quot;00C45D6A&quot;/&gt;&lt;wsp:rsid wsp:val=&quot;00C45F76&quot;/&gt;&lt;wsp:rsid wsp:val=&quot;00C46145&quot;/&gt;&lt;wsp:rsid wsp:val=&quot;00C4619D&quot;/&gt;&lt;wsp:rsid wsp:val=&quot;00C466C8&quot;/&gt;&lt;wsp:rsid wsp:val=&quot;00C46E77&quot;/&gt;&lt;wsp:rsid wsp:val=&quot;00C4748B&quot;/&gt;&lt;wsp:rsid wsp:val=&quot;00C47610&quot;/&gt;&lt;wsp:rsid wsp:val=&quot;00C47A1E&quot;/&gt;&lt;wsp:rsid wsp:val=&quot;00C47CAE&quot;/&gt;&lt;wsp:rsid wsp:val=&quot;00C47D4D&quot;/&gt;&lt;wsp:rsid wsp:val=&quot;00C500BF&quot;/&gt;&lt;wsp:rsid wsp:val=&quot;00C50E3A&quot;/&gt;&lt;wsp:rsid wsp:val=&quot;00C50EBB&quot;/&gt;&lt;wsp:rsid wsp:val=&quot;00C51255&quot;/&gt;&lt;wsp:rsid wsp:val=&quot;00C51305&quot;/&gt;&lt;wsp:rsid wsp:val=&quot;00C513C5&quot;/&gt;&lt;wsp:rsid wsp:val=&quot;00C515EC&quot;/&gt;&lt;wsp:rsid wsp:val=&quot;00C518B2&quot;/&gt;&lt;wsp:rsid wsp:val=&quot;00C51FB0&quot;/&gt;&lt;wsp:rsid wsp:val=&quot;00C5200B&quot;/&gt;&lt;wsp:rsid wsp:val=&quot;00C5237E&quot;/&gt;&lt;wsp:rsid wsp:val=&quot;00C53FBE&quot;/&gt;&lt;wsp:rsid wsp:val=&quot;00C54192&quot;/&gt;&lt;wsp:rsid wsp:val=&quot;00C5446A&quot;/&gt;&lt;wsp:rsid wsp:val=&quot;00C54473&quot;/&gt;&lt;wsp:rsid wsp:val=&quot;00C54475&quot;/&gt;&lt;wsp:rsid wsp:val=&quot;00C546D4&quot;/&gt;&lt;wsp:rsid wsp:val=&quot;00C54746&quot;/&gt;&lt;wsp:rsid wsp:val=&quot;00C54A4F&quot;/&gt;&lt;wsp:rsid wsp:val=&quot;00C553A1&quot;/&gt;&lt;wsp:rsid wsp:val=&quot;00C553BF&quot;/&gt;&lt;wsp:rsid wsp:val=&quot;00C5565F&quot;/&gt;&lt;wsp:rsid wsp:val=&quot;00C558BB&quot;/&gt;&lt;wsp:rsid wsp:val=&quot;00C56767&quot;/&gt;&lt;wsp:rsid wsp:val=&quot;00C567E9&quot;/&gt;&lt;wsp:rsid wsp:val=&quot;00C578E6&quot;/&gt;&lt;wsp:rsid wsp:val=&quot;00C57CA9&quot;/&gt;&lt;wsp:rsid wsp:val=&quot;00C57EE3&quot;/&gt;&lt;wsp:rsid wsp:val=&quot;00C605DB&quot;/&gt;&lt;wsp:rsid wsp:val=&quot;00C60AC8&quot;/&gt;&lt;wsp:rsid wsp:val=&quot;00C60BCA&quot;/&gt;&lt;wsp:rsid wsp:val=&quot;00C60E6B&quot;/&gt;&lt;wsp:rsid wsp:val=&quot;00C61353&quot;/&gt;&lt;wsp:rsid wsp:val=&quot;00C6155D&quot;/&gt;&lt;wsp:rsid wsp:val=&quot;00C616E1&quot;/&gt;&lt;wsp:rsid wsp:val=&quot;00C61A5A&quot;/&gt;&lt;wsp:rsid wsp:val=&quot;00C61B75&quot;/&gt;&lt;wsp:rsid wsp:val=&quot;00C61B81&quot;/&gt;&lt;wsp:rsid wsp:val=&quot;00C61C64&quot;/&gt;&lt;wsp:rsid wsp:val=&quot;00C62375&quot;/&gt;&lt;wsp:rsid wsp:val=&quot;00C629C3&quot;/&gt;&lt;wsp:rsid wsp:val=&quot;00C63586&quot;/&gt;&lt;wsp:rsid wsp:val=&quot;00C642F8&quot;/&gt;&lt;wsp:rsid wsp:val=&quot;00C643F0&quot;/&gt;&lt;wsp:rsid wsp:val=&quot;00C6458C&quot;/&gt;&lt;wsp:rsid wsp:val=&quot;00C648F5&quot;/&gt;&lt;wsp:rsid wsp:val=&quot;00C64C42&quot;/&gt;&lt;wsp:rsid wsp:val=&quot;00C64D20&quot;/&gt;&lt;wsp:rsid wsp:val=&quot;00C64D33&quot;/&gt;&lt;wsp:rsid wsp:val=&quot;00C64EDA&quot;/&gt;&lt;wsp:rsid wsp:val=&quot;00C652DE&quot;/&gt;&lt;wsp:rsid wsp:val=&quot;00C65612&quot;/&gt;&lt;wsp:rsid wsp:val=&quot;00C6571A&quot;/&gt;&lt;wsp:rsid wsp:val=&quot;00C65887&quot;/&gt;&lt;wsp:rsid wsp:val=&quot;00C659AD&quot;/&gt;&lt;wsp:rsid wsp:val=&quot;00C65BE7&quot;/&gt;&lt;wsp:rsid wsp:val=&quot;00C65EE3&quot;/&gt;&lt;wsp:rsid wsp:val=&quot;00C6678B&quot;/&gt;&lt;wsp:rsid wsp:val=&quot;00C66A15&quot;/&gt;&lt;wsp:rsid wsp:val=&quot;00C67186&quot;/&gt;&lt;wsp:rsid wsp:val=&quot;00C67322&quot;/&gt;&lt;wsp:rsid wsp:val=&quot;00C67951&quot;/&gt;&lt;wsp:rsid wsp:val=&quot;00C67F34&quot;/&gt;&lt;wsp:rsid wsp:val=&quot;00C70055&quot;/&gt;&lt;wsp:rsid wsp:val=&quot;00C700E7&quot;/&gt;&lt;wsp:rsid wsp:val=&quot;00C7030E&quot;/&gt;&lt;wsp:rsid wsp:val=&quot;00C70336&quot;/&gt;&lt;wsp:rsid wsp:val=&quot;00C70495&quot;/&gt;&lt;wsp:rsid wsp:val=&quot;00C7049F&quot;/&gt;&lt;wsp:rsid wsp:val=&quot;00C70547&quot;/&gt;&lt;wsp:rsid wsp:val=&quot;00C7054D&quot;/&gt;&lt;wsp:rsid wsp:val=&quot;00C70586&quot;/&gt;&lt;wsp:rsid wsp:val=&quot;00C707D2&quot;/&gt;&lt;wsp:rsid wsp:val=&quot;00C714FA&quot;/&gt;&lt;wsp:rsid wsp:val=&quot;00C71AE4&quot;/&gt;&lt;wsp:rsid wsp:val=&quot;00C71BD0&quot;/&gt;&lt;wsp:rsid wsp:val=&quot;00C71C73&quot;/&gt;&lt;wsp:rsid wsp:val=&quot;00C71C82&quot;/&gt;&lt;wsp:rsid wsp:val=&quot;00C71DEC&quot;/&gt;&lt;wsp:rsid wsp:val=&quot;00C71ECE&quot;/&gt;&lt;wsp:rsid wsp:val=&quot;00C72288&quot;/&gt;&lt;wsp:rsid wsp:val=&quot;00C72784&quot;/&gt;&lt;wsp:rsid wsp:val=&quot;00C7321B&quot;/&gt;&lt;wsp:rsid wsp:val=&quot;00C73A3E&quot;/&gt;&lt;wsp:rsid wsp:val=&quot;00C73F7F&quot;/&gt;&lt;wsp:rsid wsp:val=&quot;00C73FBD&quot;/&gt;&lt;wsp:rsid wsp:val=&quot;00C740DB&quot;/&gt;&lt;wsp:rsid wsp:val=&quot;00C74431&quot;/&gt;&lt;wsp:rsid wsp:val=&quot;00C74654&quot;/&gt;&lt;wsp:rsid wsp:val=&quot;00C7474B&quot;/&gt;&lt;wsp:rsid wsp:val=&quot;00C74881&quot;/&gt;&lt;wsp:rsid wsp:val=&quot;00C74A49&quot;/&gt;&lt;wsp:rsid wsp:val=&quot;00C74B3F&quot;/&gt;&lt;wsp:rsid wsp:val=&quot;00C74F21&quot;/&gt;&lt;wsp:rsid wsp:val=&quot;00C75028&quot;/&gt;&lt;wsp:rsid wsp:val=&quot;00C753F6&quot;/&gt;&lt;wsp:rsid wsp:val=&quot;00C7576B&quot;/&gt;&lt;wsp:rsid wsp:val=&quot;00C75B5E&quot;/&gt;&lt;wsp:rsid wsp:val=&quot;00C75CE0&quot;/&gt;&lt;wsp:rsid wsp:val=&quot;00C761C4&quot;/&gt;&lt;wsp:rsid wsp:val=&quot;00C763B6&quot;/&gt;&lt;wsp:rsid wsp:val=&quot;00C76AA8&quot;/&gt;&lt;wsp:rsid wsp:val=&quot;00C76AC3&quot;/&gt;&lt;wsp:rsid wsp:val=&quot;00C76DDA&quot;/&gt;&lt;wsp:rsid wsp:val=&quot;00C76E51&quot;/&gt;&lt;wsp:rsid wsp:val=&quot;00C76ED2&quot;/&gt;&lt;wsp:rsid wsp:val=&quot;00C77068&quot;/&gt;&lt;wsp:rsid wsp:val=&quot;00C775AC&quot;/&gt;&lt;wsp:rsid wsp:val=&quot;00C77821&quot;/&gt;&lt;wsp:rsid wsp:val=&quot;00C77D56&quot;/&gt;&lt;wsp:rsid wsp:val=&quot;00C77DE7&quot;/&gt;&lt;wsp:rsid wsp:val=&quot;00C77EAD&quot;/&gt;&lt;wsp:rsid wsp:val=&quot;00C77F3A&quot;/&gt;&lt;wsp:rsid wsp:val=&quot;00C80389&quot;/&gt;&lt;wsp:rsid wsp:val=&quot;00C808DF&quot;/&gt;&lt;wsp:rsid wsp:val=&quot;00C8095E&quot;/&gt;&lt;wsp:rsid wsp:val=&quot;00C80B2B&quot;/&gt;&lt;wsp:rsid wsp:val=&quot;00C80CB3&quot;/&gt;&lt;wsp:rsid wsp:val=&quot;00C80DFB&quot;/&gt;&lt;wsp:rsid wsp:val=&quot;00C8115B&quot;/&gt;&lt;wsp:rsid wsp:val=&quot;00C811F0&quot;/&gt;&lt;wsp:rsid wsp:val=&quot;00C815FC&quot;/&gt;&lt;wsp:rsid wsp:val=&quot;00C81A3F&quot;/&gt;&lt;wsp:rsid wsp:val=&quot;00C8224C&quot;/&gt;&lt;wsp:rsid wsp:val=&quot;00C8232E&quot;/&gt;&lt;wsp:rsid wsp:val=&quot;00C827E5&quot;/&gt;&lt;wsp:rsid wsp:val=&quot;00C827F5&quot;/&gt;&lt;wsp:rsid wsp:val=&quot;00C83076&quot;/&gt;&lt;wsp:rsid wsp:val=&quot;00C83080&quot;/&gt;&lt;wsp:rsid wsp:val=&quot;00C830BF&quot;/&gt;&lt;wsp:rsid wsp:val=&quot;00C8382A&quot;/&gt;&lt;wsp:rsid wsp:val=&quot;00C839F8&quot;/&gt;&lt;wsp:rsid wsp:val=&quot;00C83B1B&quot;/&gt;&lt;wsp:rsid wsp:val=&quot;00C845BB&quot;/&gt;&lt;wsp:rsid wsp:val=&quot;00C846B6&quot;/&gt;&lt;wsp:rsid wsp:val=&quot;00C846F9&quot;/&gt;&lt;wsp:rsid wsp:val=&quot;00C84968&quot;/&gt;&lt;wsp:rsid wsp:val=&quot;00C84C16&quot;/&gt;&lt;wsp:rsid wsp:val=&quot;00C84C54&quot;/&gt;&lt;wsp:rsid wsp:val=&quot;00C84EE4&quot;/&gt;&lt;wsp:rsid wsp:val=&quot;00C85210&quot;/&gt;&lt;wsp:rsid wsp:val=&quot;00C855A4&quot;/&gt;&lt;wsp:rsid wsp:val=&quot;00C858F1&quot;/&gt;&lt;wsp:rsid wsp:val=&quot;00C85958&quot;/&gt;&lt;wsp:rsid wsp:val=&quot;00C85D2D&quot;/&gt;&lt;wsp:rsid wsp:val=&quot;00C8647E&quot;/&gt;&lt;wsp:rsid wsp:val=&quot;00C867E3&quot;/&gt;&lt;wsp:rsid wsp:val=&quot;00C86962&quot;/&gt;&lt;wsp:rsid wsp:val=&quot;00C86B42&quot;/&gt;&lt;wsp:rsid wsp:val=&quot;00C86BDC&quot;/&gt;&lt;wsp:rsid wsp:val=&quot;00C86D0F&quot;/&gt;&lt;wsp:rsid wsp:val=&quot;00C86EE3&quot;/&gt;&lt;wsp:rsid wsp:val=&quot;00C873D9&quot;/&gt;&lt;wsp:rsid wsp:val=&quot;00C875C1&quot;/&gt;&lt;wsp:rsid wsp:val=&quot;00C876EE&quot;/&gt;&lt;wsp:rsid wsp:val=&quot;00C87798&quot;/&gt;&lt;wsp:rsid wsp:val=&quot;00C87C54&quot;/&gt;&lt;wsp:rsid wsp:val=&quot;00C87CC4&quot;/&gt;&lt;wsp:rsid wsp:val=&quot;00C87E3C&quot;/&gt;&lt;wsp:rsid wsp:val=&quot;00C87F3D&quot;/&gt;&lt;wsp:rsid wsp:val=&quot;00C906FA&quot;/&gt;&lt;wsp:rsid wsp:val=&quot;00C90C27&quot;/&gt;&lt;wsp:rsid wsp:val=&quot;00C90C38&quot;/&gt;&lt;wsp:rsid wsp:val=&quot;00C90DF4&quot;/&gt;&lt;wsp:rsid wsp:val=&quot;00C90F83&quot;/&gt;&lt;wsp:rsid wsp:val=&quot;00C912AE&quot;/&gt;&lt;wsp:rsid wsp:val=&quot;00C91442&quot;/&gt;&lt;wsp:rsid wsp:val=&quot;00C91456&quot;/&gt;&lt;wsp:rsid wsp:val=&quot;00C916A3&quot;/&gt;&lt;wsp:rsid wsp:val=&quot;00C9185C&quot;/&gt;&lt;wsp:rsid wsp:val=&quot;00C91C69&quot;/&gt;&lt;wsp:rsid wsp:val=&quot;00C91EFB&quot;/&gt;&lt;wsp:rsid wsp:val=&quot;00C91F3C&quot;/&gt;&lt;wsp:rsid wsp:val=&quot;00C9233A&quot;/&gt;&lt;wsp:rsid wsp:val=&quot;00C926B5&quot;/&gt;&lt;wsp:rsid wsp:val=&quot;00C92D30&quot;/&gt;&lt;wsp:rsid wsp:val=&quot;00C93440&quot;/&gt;&lt;wsp:rsid wsp:val=&quot;00C9400C&quot;/&gt;&lt;wsp:rsid wsp:val=&quot;00C94545&quot;/&gt;&lt;wsp:rsid wsp:val=&quot;00C9463F&quot;/&gt;&lt;wsp:rsid wsp:val=&quot;00C94C1E&quot;/&gt;&lt;wsp:rsid wsp:val=&quot;00C953AE&quot;/&gt;&lt;wsp:rsid wsp:val=&quot;00C95486&quot;/&gt;&lt;wsp:rsid wsp:val=&quot;00C9576C&quot;/&gt;&lt;wsp:rsid wsp:val=&quot;00C95B66&quot;/&gt;&lt;wsp:rsid wsp:val=&quot;00C95EE6&quot;/&gt;&lt;wsp:rsid wsp:val=&quot;00C965F2&quot;/&gt;&lt;wsp:rsid wsp:val=&quot;00C96BA9&quot;/&gt;&lt;wsp:rsid wsp:val=&quot;00C96D99&quot;/&gt;&lt;wsp:rsid wsp:val=&quot;00C97070&quot;/&gt;&lt;wsp:rsid wsp:val=&quot;00C97175&quot;/&gt;&lt;wsp:rsid wsp:val=&quot;00C971DD&quot;/&gt;&lt;wsp:rsid wsp:val=&quot;00C97252&quot;/&gt;&lt;wsp:rsid wsp:val=&quot;00C97439&quot;/&gt;&lt;wsp:rsid wsp:val=&quot;00C9775B&quot;/&gt;&lt;wsp:rsid wsp:val=&quot;00C97C37&quot;/&gt;&lt;wsp:rsid wsp:val=&quot;00C97FAB&quot;/&gt;&lt;wsp:rsid wsp:val=&quot;00CA00D3&quot;/&gt;&lt;wsp:rsid wsp:val=&quot;00CA0627&quot;/&gt;&lt;wsp:rsid wsp:val=&quot;00CA06DF&quot;/&gt;&lt;wsp:rsid wsp:val=&quot;00CA0948&quot;/&gt;&lt;wsp:rsid wsp:val=&quot;00CA0B33&quot;/&gt;&lt;wsp:rsid wsp:val=&quot;00CA12B6&quot;/&gt;&lt;wsp:rsid wsp:val=&quot;00CA144A&quot;/&gt;&lt;wsp:rsid wsp:val=&quot;00CA186D&quot;/&gt;&lt;wsp:rsid wsp:val=&quot;00CA195D&quot;/&gt;&lt;wsp:rsid wsp:val=&quot;00CA19C2&quot;/&gt;&lt;wsp:rsid wsp:val=&quot;00CA1A56&quot;/&gt;&lt;wsp:rsid wsp:val=&quot;00CA1A76&quot;/&gt;&lt;wsp:rsid wsp:val=&quot;00CA1B46&quot;/&gt;&lt;wsp:rsid wsp:val=&quot;00CA1BD5&quot;/&gt;&lt;wsp:rsid wsp:val=&quot;00CA1C71&quot;/&gt;&lt;wsp:rsid wsp:val=&quot;00CA1EA8&quot;/&gt;&lt;wsp:rsid wsp:val=&quot;00CA20F1&quot;/&gt;&lt;wsp:rsid wsp:val=&quot;00CA2759&quot;/&gt;&lt;wsp:rsid wsp:val=&quot;00CA28CB&quot;/&gt;&lt;wsp:rsid wsp:val=&quot;00CA2A1F&quot;/&gt;&lt;wsp:rsid wsp:val=&quot;00CA3161&quot;/&gt;&lt;wsp:rsid wsp:val=&quot;00CA3794&quot;/&gt;&lt;wsp:rsid wsp:val=&quot;00CA3C1F&quot;/&gt;&lt;wsp:rsid wsp:val=&quot;00CA3E29&quot;/&gt;&lt;wsp:rsid wsp:val=&quot;00CA4060&quot;/&gt;&lt;wsp:rsid wsp:val=&quot;00CA423E&quot;/&gt;&lt;wsp:rsid wsp:val=&quot;00CA4487&quot;/&gt;&lt;wsp:rsid wsp:val=&quot;00CA4D53&quot;/&gt;&lt;wsp:rsid wsp:val=&quot;00CA4D6D&quot;/&gt;&lt;wsp:rsid wsp:val=&quot;00CA5242&quot;/&gt;&lt;wsp:rsid wsp:val=&quot;00CA581B&quot;/&gt;&lt;wsp:rsid wsp:val=&quot;00CA5DEE&quot;/&gt;&lt;wsp:rsid wsp:val=&quot;00CA609C&quot;/&gt;&lt;wsp:rsid wsp:val=&quot;00CA60AD&quot;/&gt;&lt;wsp:rsid wsp:val=&quot;00CA60C8&quot;/&gt;&lt;wsp:rsid wsp:val=&quot;00CA62EB&quot;/&gt;&lt;wsp:rsid wsp:val=&quot;00CA6822&quot;/&gt;&lt;wsp:rsid wsp:val=&quot;00CA69BC&quot;/&gt;&lt;wsp:rsid wsp:val=&quot;00CA6E4F&quot;/&gt;&lt;wsp:rsid wsp:val=&quot;00CA6EFA&quot;/&gt;&lt;wsp:rsid wsp:val=&quot;00CA710E&quot;/&gt;&lt;wsp:rsid wsp:val=&quot;00CA7301&quot;/&gt;&lt;wsp:rsid wsp:val=&quot;00CA73D3&quot;/&gt;&lt;wsp:rsid wsp:val=&quot;00CA7A5E&quot;/&gt;&lt;wsp:rsid wsp:val=&quot;00CB0432&quot;/&gt;&lt;wsp:rsid wsp:val=&quot;00CB0545&quot;/&gt;&lt;wsp:rsid wsp:val=&quot;00CB0E31&quot;/&gt;&lt;wsp:rsid wsp:val=&quot;00CB1AB0&quot;/&gt;&lt;wsp:rsid wsp:val=&quot;00CB2080&quot;/&gt;&lt;wsp:rsid wsp:val=&quot;00CB285C&quot;/&gt;&lt;wsp:rsid wsp:val=&quot;00CB29B3&quot;/&gt;&lt;wsp:rsid wsp:val=&quot;00CB2A8D&quot;/&gt;&lt;wsp:rsid wsp:val=&quot;00CB2EF2&quot;/&gt;&lt;wsp:rsid wsp:val=&quot;00CB3374&quot;/&gt;&lt;wsp:rsid wsp:val=&quot;00CB3AF0&quot;/&gt;&lt;wsp:rsid wsp:val=&quot;00CB45E1&quot;/&gt;&lt;wsp:rsid wsp:val=&quot;00CB47B4&quot;/&gt;&lt;wsp:rsid wsp:val=&quot;00CB4AC5&quot;/&gt;&lt;wsp:rsid wsp:val=&quot;00CB4AE9&quot;/&gt;&lt;wsp:rsid wsp:val=&quot;00CB4DA4&quot;/&gt;&lt;wsp:rsid wsp:val=&quot;00CB5865&quot;/&gt;&lt;wsp:rsid wsp:val=&quot;00CB5923&quot;/&gt;&lt;wsp:rsid wsp:val=&quot;00CB5C1F&quot;/&gt;&lt;wsp:rsid wsp:val=&quot;00CB5E1B&quot;/&gt;&lt;wsp:rsid wsp:val=&quot;00CB618A&quot;/&gt;&lt;wsp:rsid wsp:val=&quot;00CB68AE&quot;/&gt;&lt;wsp:rsid wsp:val=&quot;00CB68EE&quot;/&gt;&lt;wsp:rsid wsp:val=&quot;00CB6A39&quot;/&gt;&lt;wsp:rsid wsp:val=&quot;00CB6B4E&quot;/&gt;&lt;wsp:rsid wsp:val=&quot;00CB6C8A&quot;/&gt;&lt;wsp:rsid wsp:val=&quot;00CB6FBD&quot;/&gt;&lt;wsp:rsid wsp:val=&quot;00CB7317&quot;/&gt;&lt;wsp:rsid wsp:val=&quot;00CB7448&quot;/&gt;&lt;wsp:rsid wsp:val=&quot;00CB78BC&quot;/&gt;&lt;wsp:rsid wsp:val=&quot;00CB7A52&quot;/&gt;&lt;wsp:rsid wsp:val=&quot;00CB7FB6&quot;/&gt;&lt;wsp:rsid wsp:val=&quot;00CC01CC&quot;/&gt;&lt;wsp:rsid wsp:val=&quot;00CC0677&quot;/&gt;&lt;wsp:rsid wsp:val=&quot;00CC13CB&quot;/&gt;&lt;wsp:rsid wsp:val=&quot;00CC1C43&quot;/&gt;&lt;wsp:rsid wsp:val=&quot;00CC1F4D&quot;/&gt;&lt;wsp:rsid wsp:val=&quot;00CC20B5&quot;/&gt;&lt;wsp:rsid wsp:val=&quot;00CC2321&quot;/&gt;&lt;wsp:rsid wsp:val=&quot;00CC2468&quot;/&gt;&lt;wsp:rsid wsp:val=&quot;00CC24CA&quot;/&gt;&lt;wsp:rsid wsp:val=&quot;00CC2651&quot;/&gt;&lt;wsp:rsid wsp:val=&quot;00CC2C5E&quot;/&gt;&lt;wsp:rsid wsp:val=&quot;00CC2D14&quot;/&gt;&lt;wsp:rsid wsp:val=&quot;00CC2E5C&quot;/&gt;&lt;wsp:rsid wsp:val=&quot;00CC2FD6&quot;/&gt;&lt;wsp:rsid wsp:val=&quot;00CC336F&quot;/&gt;&lt;wsp:rsid wsp:val=&quot;00CC395D&quot;/&gt;&lt;wsp:rsid wsp:val=&quot;00CC3A28&quot;/&gt;&lt;wsp:rsid wsp:val=&quot;00CC4145&quot;/&gt;&lt;wsp:rsid wsp:val=&quot;00CC41BD&quot;/&gt;&lt;wsp:rsid wsp:val=&quot;00CC485A&quot;/&gt;&lt;wsp:rsid wsp:val=&quot;00CC4E1D&quot;/&gt;&lt;wsp:rsid wsp:val=&quot;00CC4E48&quot;/&gt;&lt;wsp:rsid wsp:val=&quot;00CC5300&quot;/&gt;&lt;wsp:rsid wsp:val=&quot;00CC5658&quot;/&gt;&lt;wsp:rsid wsp:val=&quot;00CC5942&quot;/&gt;&lt;wsp:rsid wsp:val=&quot;00CC5B7A&quot;/&gt;&lt;wsp:rsid wsp:val=&quot;00CC5CCA&quot;/&gt;&lt;wsp:rsid wsp:val=&quot;00CC5DE9&quot;/&gt;&lt;wsp:rsid wsp:val=&quot;00CC5F14&quot;/&gt;&lt;wsp:rsid wsp:val=&quot;00CC6695&quot;/&gt;&lt;wsp:rsid wsp:val=&quot;00CC6900&quot;/&gt;&lt;wsp:rsid wsp:val=&quot;00CC6CE2&quot;/&gt;&lt;wsp:rsid wsp:val=&quot;00CC707B&quot;/&gt;&lt;wsp:rsid wsp:val=&quot;00CC7155&quot;/&gt;&lt;wsp:rsid wsp:val=&quot;00CC71C2&quot;/&gt;&lt;wsp:rsid wsp:val=&quot;00CC73C7&quot;/&gt;&lt;wsp:rsid wsp:val=&quot;00CC77A6&quot;/&gt;&lt;wsp:rsid wsp:val=&quot;00CD005A&quot;/&gt;&lt;wsp:rsid wsp:val=&quot;00CD0439&quot;/&gt;&lt;wsp:rsid wsp:val=&quot;00CD06F7&quot;/&gt;&lt;wsp:rsid wsp:val=&quot;00CD0C3E&quot;/&gt;&lt;wsp:rsid wsp:val=&quot;00CD0F95&quot;/&gt;&lt;wsp:rsid wsp:val=&quot;00CD107C&quot;/&gt;&lt;wsp:rsid wsp:val=&quot;00CD11C2&quot;/&gt;&lt;wsp:rsid wsp:val=&quot;00CD127F&quot;/&gt;&lt;wsp:rsid wsp:val=&quot;00CD1FC6&quot;/&gt;&lt;wsp:rsid wsp:val=&quot;00CD20D0&quot;/&gt;&lt;wsp:rsid wsp:val=&quot;00CD2BE3&quot;/&gt;&lt;wsp:rsid wsp:val=&quot;00CD3111&quot;/&gt;&lt;wsp:rsid wsp:val=&quot;00CD34DF&quot;/&gt;&lt;wsp:rsid wsp:val=&quot;00CD3D4C&quot;/&gt;&lt;wsp:rsid wsp:val=&quot;00CD3E94&quot;/&gt;&lt;wsp:rsid wsp:val=&quot;00CD4397&quot;/&gt;&lt;wsp:rsid wsp:val=&quot;00CD4661&quot;/&gt;&lt;wsp:rsid wsp:val=&quot;00CD469E&quot;/&gt;&lt;wsp:rsid wsp:val=&quot;00CD4847&quot;/&gt;&lt;wsp:rsid wsp:val=&quot;00CD4D3C&quot;/&gt;&lt;wsp:rsid wsp:val=&quot;00CD532B&quot;/&gt;&lt;wsp:rsid wsp:val=&quot;00CD5899&quot;/&gt;&lt;wsp:rsid wsp:val=&quot;00CD5B59&quot;/&gt;&lt;wsp:rsid wsp:val=&quot;00CD5C18&quot;/&gt;&lt;wsp:rsid wsp:val=&quot;00CD5E11&quot;/&gt;&lt;wsp:rsid wsp:val=&quot;00CD6D73&quot;/&gt;&lt;wsp:rsid wsp:val=&quot;00CD733F&quot;/&gt;&lt;wsp:rsid wsp:val=&quot;00CD7BC2&quot;/&gt;&lt;wsp:rsid wsp:val=&quot;00CD7DE3&quot;/&gt;&lt;wsp:rsid wsp:val=&quot;00CD7EE3&quot;/&gt;&lt;wsp:rsid wsp:val=&quot;00CE021E&quot;/&gt;&lt;wsp:rsid wsp:val=&quot;00CE047D&quot;/&gt;&lt;wsp:rsid wsp:val=&quot;00CE05F8&quot;/&gt;&lt;wsp:rsid wsp:val=&quot;00CE0ADA&quot;/&gt;&lt;wsp:rsid wsp:val=&quot;00CE109F&quot;/&gt;&lt;wsp:rsid wsp:val=&quot;00CE1E29&quot;/&gt;&lt;wsp:rsid wsp:val=&quot;00CE1FC1&quot;/&gt;&lt;wsp:rsid wsp:val=&quot;00CE294B&quot;/&gt;&lt;wsp:rsid wsp:val=&quot;00CE31B7&quot;/&gt;&lt;wsp:rsid wsp:val=&quot;00CE32BD&quot;/&gt;&lt;wsp:rsid wsp:val=&quot;00CE3351&quot;/&gt;&lt;wsp:rsid wsp:val=&quot;00CE3377&quot;/&gt;&lt;wsp:rsid wsp:val=&quot;00CE34F0&quot;/&gt;&lt;wsp:rsid wsp:val=&quot;00CE3965&quot;/&gt;&lt;wsp:rsid wsp:val=&quot;00CE3A9E&quot;/&gt;&lt;wsp:rsid wsp:val=&quot;00CE3DED&quot;/&gt;&lt;wsp:rsid wsp:val=&quot;00CE40EB&quot;/&gt;&lt;wsp:rsid wsp:val=&quot;00CE4337&quot;/&gt;&lt;wsp:rsid wsp:val=&quot;00CE45BD&quot;/&gt;&lt;wsp:rsid wsp:val=&quot;00CE4655&quot;/&gt;&lt;wsp:rsid wsp:val=&quot;00CE470B&quot;/&gt;&lt;wsp:rsid wsp:val=&quot;00CE4842&quot;/&gt;&lt;wsp:rsid wsp:val=&quot;00CE485F&quot;/&gt;&lt;wsp:rsid wsp:val=&quot;00CE4987&quot;/&gt;&lt;wsp:rsid wsp:val=&quot;00CE4E43&quot;/&gt;&lt;wsp:rsid wsp:val=&quot;00CE4EBE&quot;/&gt;&lt;wsp:rsid wsp:val=&quot;00CE4FB8&quot;/&gt;&lt;wsp:rsid wsp:val=&quot;00CE50F8&quot;/&gt;&lt;wsp:rsid wsp:val=&quot;00CE518E&quot;/&gt;&lt;wsp:rsid wsp:val=&quot;00CE53EC&quot;/&gt;&lt;wsp:rsid wsp:val=&quot;00CE5430&quot;/&gt;&lt;wsp:rsid wsp:val=&quot;00CE57B8&quot;/&gt;&lt;wsp:rsid wsp:val=&quot;00CE5BAD&quot;/&gt;&lt;wsp:rsid wsp:val=&quot;00CE5FBF&quot;/&gt;&lt;wsp:rsid wsp:val=&quot;00CE6081&quot;/&gt;&lt;wsp:rsid wsp:val=&quot;00CE64F8&quot;/&gt;&lt;wsp:rsid wsp:val=&quot;00CE6570&quot;/&gt;&lt;wsp:rsid wsp:val=&quot;00CE692D&quot;/&gt;&lt;wsp:rsid wsp:val=&quot;00CE72D2&quot;/&gt;&lt;wsp:rsid wsp:val=&quot;00CE78C9&quot;/&gt;&lt;wsp:rsid wsp:val=&quot;00CE79DC&quot;/&gt;&lt;wsp:rsid wsp:val=&quot;00CE7A37&quot;/&gt;&lt;wsp:rsid wsp:val=&quot;00CE7BEB&quot;/&gt;&lt;wsp:rsid wsp:val=&quot;00CE7CC8&quot;/&gt;&lt;wsp:rsid wsp:val=&quot;00CE7CE0&quot;/&gt;&lt;wsp:rsid wsp:val=&quot;00CF1788&quot;/&gt;&lt;wsp:rsid wsp:val=&quot;00CF1F5C&quot;/&gt;&lt;wsp:rsid wsp:val=&quot;00CF1FBC&quot;/&gt;&lt;wsp:rsid wsp:val=&quot;00CF2206&quot;/&gt;&lt;wsp:rsid wsp:val=&quot;00CF224A&quot;/&gt;&lt;wsp:rsid wsp:val=&quot;00CF26B9&quot;/&gt;&lt;wsp:rsid wsp:val=&quot;00CF29FA&quot;/&gt;&lt;wsp:rsid wsp:val=&quot;00CF32D2&quot;/&gt;&lt;wsp:rsid wsp:val=&quot;00CF3361&quot;/&gt;&lt;wsp:rsid wsp:val=&quot;00CF3461&quot;/&gt;&lt;wsp:rsid wsp:val=&quot;00CF4254&quot;/&gt;&lt;wsp:rsid wsp:val=&quot;00CF45A9&quot;/&gt;&lt;wsp:rsid wsp:val=&quot;00CF4679&quot;/&gt;&lt;wsp:rsid wsp:val=&quot;00CF4C71&quot;/&gt;&lt;wsp:rsid wsp:val=&quot;00CF4DAC&quot;/&gt;&lt;wsp:rsid wsp:val=&quot;00CF51AF&quot;/&gt;&lt;wsp:rsid wsp:val=&quot;00CF5862&quot;/&gt;&lt;wsp:rsid wsp:val=&quot;00CF5EFF&quot;/&gt;&lt;wsp:rsid wsp:val=&quot;00CF6AF7&quot;/&gt;&lt;wsp:rsid wsp:val=&quot;00CF6CAD&quot;/&gt;&lt;wsp:rsid wsp:val=&quot;00CF6E93&quot;/&gt;&lt;wsp:rsid wsp:val=&quot;00CF6EA8&quot;/&gt;&lt;wsp:rsid wsp:val=&quot;00CF7427&quot;/&gt;&lt;wsp:rsid wsp:val=&quot;00CF7597&quot;/&gt;&lt;wsp:rsid wsp:val=&quot;00CF7CC3&quot;/&gt;&lt;wsp:rsid wsp:val=&quot;00D0037E&quot;/&gt;&lt;wsp:rsid wsp:val=&quot;00D0083C&quot;/&gt;&lt;wsp:rsid wsp:val=&quot;00D00BF7&quot;/&gt;&lt;wsp:rsid wsp:val=&quot;00D00CC2&quot;/&gt;&lt;wsp:rsid wsp:val=&quot;00D00D5E&quot;/&gt;&lt;wsp:rsid wsp:val=&quot;00D00F75&quot;/&gt;&lt;wsp:rsid wsp:val=&quot;00D010B1&quot;/&gt;&lt;wsp:rsid wsp:val=&quot;00D010D0&quot;/&gt;&lt;wsp:rsid wsp:val=&quot;00D0245E&quot;/&gt;&lt;wsp:rsid wsp:val=&quot;00D02527&quot;/&gt;&lt;wsp:rsid wsp:val=&quot;00D02674&quot;/&gt;&lt;wsp:rsid wsp:val=&quot;00D02928&quot;/&gt;&lt;wsp:rsid wsp:val=&quot;00D02F8D&quot;/&gt;&lt;wsp:rsid wsp:val=&quot;00D037A4&quot;/&gt;&lt;wsp:rsid wsp:val=&quot;00D03ADB&quot;/&gt;&lt;wsp:rsid wsp:val=&quot;00D0447A&quot;/&gt;&lt;wsp:rsid wsp:val=&quot;00D048CD&quot;/&gt;&lt;wsp:rsid wsp:val=&quot;00D052A2&quot;/&gt;&lt;wsp:rsid wsp:val=&quot;00D05306&quot;/&gt;&lt;wsp:rsid wsp:val=&quot;00D058A3&quot;/&gt;&lt;wsp:rsid wsp:val=&quot;00D06BFF&quot;/&gt;&lt;wsp:rsid wsp:val=&quot;00D06FE0&quot;/&gt;&lt;wsp:rsid wsp:val=&quot;00D074C6&quot;/&gt;&lt;wsp:rsid wsp:val=&quot;00D07505&quot;/&gt;&lt;wsp:rsid wsp:val=&quot;00D075E1&quot;/&gt;&lt;wsp:rsid wsp:val=&quot;00D07774&quot;/&gt;&lt;wsp:rsid wsp:val=&quot;00D07807&quot;/&gt;&lt;wsp:rsid wsp:val=&quot;00D07895&quot;/&gt;&lt;wsp:rsid wsp:val=&quot;00D07D77&quot;/&gt;&lt;wsp:rsid wsp:val=&quot;00D07D7F&quot;/&gt;&lt;wsp:rsid wsp:val=&quot;00D10075&quot;/&gt;&lt;wsp:rsid wsp:val=&quot;00D10193&quot;/&gt;&lt;wsp:rsid wsp:val=&quot;00D10261&quot;/&gt;&lt;wsp:rsid wsp:val=&quot;00D1065D&quot;/&gt;&lt;wsp:rsid wsp:val=&quot;00D107BB&quot;/&gt;&lt;wsp:rsid wsp:val=&quot;00D10C35&quot;/&gt;&lt;wsp:rsid wsp:val=&quot;00D1127B&quot;/&gt;&lt;wsp:rsid wsp:val=&quot;00D11960&quot;/&gt;&lt;wsp:rsid wsp:val=&quot;00D119EB&quot;/&gt;&lt;wsp:rsid wsp:val=&quot;00D11A3C&quot;/&gt;&lt;wsp:rsid wsp:val=&quot;00D11F5B&quot;/&gt;&lt;wsp:rsid wsp:val=&quot;00D1213C&quot;/&gt;&lt;wsp:rsid wsp:val=&quot;00D12F38&quot;/&gt;&lt;wsp:rsid wsp:val=&quot;00D12F97&quot;/&gt;&lt;wsp:rsid wsp:val=&quot;00D1364E&quot;/&gt;&lt;wsp:rsid wsp:val=&quot;00D1384B&quot;/&gt;&lt;wsp:rsid wsp:val=&quot;00D13943&quot;/&gt;&lt;wsp:rsid wsp:val=&quot;00D13B2B&quot;/&gt;&lt;wsp:rsid wsp:val=&quot;00D13CB8&quot;/&gt;&lt;wsp:rsid wsp:val=&quot;00D144F6&quot;/&gt;&lt;wsp:rsid wsp:val=&quot;00D148C0&quot;/&gt;&lt;wsp:rsid wsp:val=&quot;00D153D9&quot;/&gt;&lt;wsp:rsid wsp:val=&quot;00D1551F&quot;/&gt;&lt;wsp:rsid wsp:val=&quot;00D161D4&quot;/&gt;&lt;wsp:rsid wsp:val=&quot;00D162EE&quot;/&gt;&lt;wsp:rsid wsp:val=&quot;00D16337&quot;/&gt;&lt;wsp:rsid wsp:val=&quot;00D169B0&quot;/&gt;&lt;wsp:rsid wsp:val=&quot;00D16A0B&quot;/&gt;&lt;wsp:rsid wsp:val=&quot;00D16E1F&quot;/&gt;&lt;wsp:rsid wsp:val=&quot;00D16E51&quot;/&gt;&lt;wsp:rsid wsp:val=&quot;00D17036&quot;/&gt;&lt;wsp:rsid wsp:val=&quot;00D1707D&quot;/&gt;&lt;wsp:rsid wsp:val=&quot;00D1729F&quot;/&gt;&lt;wsp:rsid wsp:val=&quot;00D1748F&quot;/&gt;&lt;wsp:rsid wsp:val=&quot;00D178FB&quot;/&gt;&lt;wsp:rsid wsp:val=&quot;00D17BAF&quot;/&gt;&lt;wsp:rsid wsp:val=&quot;00D17C0F&quot;/&gt;&lt;wsp:rsid wsp:val=&quot;00D17D27&quot;/&gt;&lt;wsp:rsid wsp:val=&quot;00D17DC3&quot;/&gt;&lt;wsp:rsid wsp:val=&quot;00D17F55&quot;/&gt;&lt;wsp:rsid wsp:val=&quot;00D17F82&quot;/&gt;&lt;wsp:rsid wsp:val=&quot;00D20106&quot;/&gt;&lt;wsp:rsid wsp:val=&quot;00D201CB&quot;/&gt;&lt;wsp:rsid wsp:val=&quot;00D212AB&quot;/&gt;&lt;wsp:rsid wsp:val=&quot;00D21985&quot;/&gt;&lt;wsp:rsid wsp:val=&quot;00D21C4C&quot;/&gt;&lt;wsp:rsid wsp:val=&quot;00D22688&quot;/&gt;&lt;wsp:rsid wsp:val=&quot;00D227BD&quot;/&gt;&lt;wsp:rsid wsp:val=&quot;00D22FB5&quot;/&gt;&lt;wsp:rsid wsp:val=&quot;00D231BF&quot;/&gt;&lt;wsp:rsid wsp:val=&quot;00D237E0&quot;/&gt;&lt;wsp:rsid wsp:val=&quot;00D23BFD&quot;/&gt;&lt;wsp:rsid wsp:val=&quot;00D24605&quot;/&gt;&lt;wsp:rsid wsp:val=&quot;00D246AB&quot;/&gt;&lt;wsp:rsid wsp:val=&quot;00D2479E&quot;/&gt;&lt;wsp:rsid wsp:val=&quot;00D24990&quot;/&gt;&lt;wsp:rsid wsp:val=&quot;00D24AA5&quot;/&gt;&lt;wsp:rsid wsp:val=&quot;00D24B71&quot;/&gt;&lt;wsp:rsid wsp:val=&quot;00D24C4F&quot;/&gt;&lt;wsp:rsid wsp:val=&quot;00D25667&quot;/&gt;&lt;wsp:rsid wsp:val=&quot;00D25708&quot;/&gt;&lt;wsp:rsid wsp:val=&quot;00D2574C&quot;/&gt;&lt;wsp:rsid wsp:val=&quot;00D25D34&quot;/&gt;&lt;wsp:rsid wsp:val=&quot;00D260BC&quot;/&gt;&lt;wsp:rsid wsp:val=&quot;00D260F7&quot;/&gt;&lt;wsp:rsid wsp:val=&quot;00D26632&quot;/&gt;&lt;wsp:rsid wsp:val=&quot;00D26652&quot;/&gt;&lt;wsp:rsid wsp:val=&quot;00D266A1&quot;/&gt;&lt;wsp:rsid wsp:val=&quot;00D27472&quot;/&gt;&lt;wsp:rsid wsp:val=&quot;00D274E0&quot;/&gt;&lt;wsp:rsid wsp:val=&quot;00D2758B&quot;/&gt;&lt;wsp:rsid wsp:val=&quot;00D27972&quot;/&gt;&lt;wsp:rsid wsp:val=&quot;00D27AB9&quot;/&gt;&lt;wsp:rsid wsp:val=&quot;00D27F89&quot;/&gt;&lt;wsp:rsid wsp:val=&quot;00D3005F&quot;/&gt;&lt;wsp:rsid wsp:val=&quot;00D30376&quot;/&gt;&lt;wsp:rsid wsp:val=&quot;00D30E97&quot;/&gt;&lt;wsp:rsid wsp:val=&quot;00D31741&quot;/&gt;&lt;wsp:rsid wsp:val=&quot;00D31D87&quot;/&gt;&lt;wsp:rsid wsp:val=&quot;00D31E19&quot;/&gt;&lt;wsp:rsid wsp:val=&quot;00D321BE&quot;/&gt;&lt;wsp:rsid wsp:val=&quot;00D32380&quot;/&gt;&lt;wsp:rsid wsp:val=&quot;00D32439&quot;/&gt;&lt;wsp:rsid wsp:val=&quot;00D325BE&quot;/&gt;&lt;wsp:rsid wsp:val=&quot;00D32C63&quot;/&gt;&lt;wsp:rsid wsp:val=&quot;00D32DCF&quot;/&gt;&lt;wsp:rsid wsp:val=&quot;00D32E02&quot;/&gt;&lt;wsp:rsid wsp:val=&quot;00D33157&quot;/&gt;&lt;wsp:rsid wsp:val=&quot;00D33421&quot;/&gt;&lt;wsp:rsid wsp:val=&quot;00D33A34&quot;/&gt;&lt;wsp:rsid wsp:val=&quot;00D33AEC&quot;/&gt;&lt;wsp:rsid wsp:val=&quot;00D33BFF&quot;/&gt;&lt;wsp:rsid wsp:val=&quot;00D33CB3&quot;/&gt;&lt;wsp:rsid wsp:val=&quot;00D33E02&quot;/&gt;&lt;wsp:rsid wsp:val=&quot;00D33E7B&quot;/&gt;&lt;wsp:rsid wsp:val=&quot;00D3411D&quot;/&gt;&lt;wsp:rsid wsp:val=&quot;00D34272&quot;/&gt;&lt;wsp:rsid wsp:val=&quot;00D34333&quot;/&gt;&lt;wsp:rsid wsp:val=&quot;00D34474&quot;/&gt;&lt;wsp:rsid wsp:val=&quot;00D34F58&quot;/&gt;&lt;wsp:rsid wsp:val=&quot;00D35644&quot;/&gt;&lt;wsp:rsid wsp:val=&quot;00D364D8&quot;/&gt;&lt;wsp:rsid wsp:val=&quot;00D366A7&quot;/&gt;&lt;wsp:rsid wsp:val=&quot;00D36706&quot;/&gt;&lt;wsp:rsid wsp:val=&quot;00D3683C&quot;/&gt;&lt;wsp:rsid wsp:val=&quot;00D368EB&quot;/&gt;&lt;wsp:rsid wsp:val=&quot;00D36B25&quot;/&gt;&lt;wsp:rsid wsp:val=&quot;00D36C6E&quot;/&gt;&lt;wsp:rsid wsp:val=&quot;00D37878&quot;/&gt;&lt;wsp:rsid wsp:val=&quot;00D37DBD&quot;/&gt;&lt;wsp:rsid wsp:val=&quot;00D400D6&quot;/&gt;&lt;wsp:rsid wsp:val=&quot;00D40483&quot;/&gt;&lt;wsp:rsid wsp:val=&quot;00D409FB&quot;/&gt;&lt;wsp:rsid wsp:val=&quot;00D40A6F&quot;/&gt;&lt;wsp:rsid wsp:val=&quot;00D40BA1&quot;/&gt;&lt;wsp:rsid wsp:val=&quot;00D40CE9&quot;/&gt;&lt;wsp:rsid wsp:val=&quot;00D40E1F&quot;/&gt;&lt;wsp:rsid wsp:val=&quot;00D40F35&quot;/&gt;&lt;wsp:rsid wsp:val=&quot;00D40F41&quot;/&gt;&lt;wsp:rsid wsp:val=&quot;00D40FE3&quot;/&gt;&lt;wsp:rsid wsp:val=&quot;00D41052&quot;/&gt;&lt;wsp:rsid wsp:val=&quot;00D413AA&quot;/&gt;&lt;wsp:rsid wsp:val=&quot;00D417E4&quot;/&gt;&lt;wsp:rsid wsp:val=&quot;00D418DE&quot;/&gt;&lt;wsp:rsid wsp:val=&quot;00D41E28&quot;/&gt;&lt;wsp:rsid wsp:val=&quot;00D422BE&quot;/&gt;&lt;wsp:rsid wsp:val=&quot;00D42613&quot;/&gt;&lt;wsp:rsid wsp:val=&quot;00D4261A&quot;/&gt;&lt;wsp:rsid wsp:val=&quot;00D430A5&quot;/&gt;&lt;wsp:rsid wsp:val=&quot;00D43523&quot;/&gt;&lt;wsp:rsid wsp:val=&quot;00D436E3&quot;/&gt;&lt;wsp:rsid wsp:val=&quot;00D43909&quot;/&gt;&lt;wsp:rsid wsp:val=&quot;00D439A1&quot;/&gt;&lt;wsp:rsid wsp:val=&quot;00D4458C&quot;/&gt;&lt;wsp:rsid wsp:val=&quot;00D44A87&quot;/&gt;&lt;wsp:rsid wsp:val=&quot;00D4602D&quot;/&gt;&lt;wsp:rsid wsp:val=&quot;00D4690B&quot;/&gt;&lt;wsp:rsid wsp:val=&quot;00D469B4&quot;/&gt;&lt;wsp:rsid wsp:val=&quot;00D46CAD&quot;/&gt;&lt;wsp:rsid wsp:val=&quot;00D46DB3&quot;/&gt;&lt;wsp:rsid wsp:val=&quot;00D46F5B&quot;/&gt;&lt;wsp:rsid wsp:val=&quot;00D47488&quot;/&gt;&lt;wsp:rsid wsp:val=&quot;00D478DC&quot;/&gt;&lt;wsp:rsid wsp:val=&quot;00D47A56&quot;/&gt;&lt;wsp:rsid wsp:val=&quot;00D47AAF&quot;/&gt;&lt;wsp:rsid wsp:val=&quot;00D50854&quot;/&gt;&lt;wsp:rsid wsp:val=&quot;00D50A34&quot;/&gt;&lt;wsp:rsid wsp:val=&quot;00D50ED9&quot;/&gt;&lt;wsp:rsid wsp:val=&quot;00D50F70&quot;/&gt;&lt;wsp:rsid wsp:val=&quot;00D51059&quot;/&gt;&lt;wsp:rsid wsp:val=&quot;00D51393&quot;/&gt;&lt;wsp:rsid wsp:val=&quot;00D515A8&quot;/&gt;&lt;wsp:rsid wsp:val=&quot;00D516CE&quot;/&gt;&lt;wsp:rsid wsp:val=&quot;00D5185D&quot;/&gt;&lt;wsp:rsid wsp:val=&quot;00D51CB1&quot;/&gt;&lt;wsp:rsid wsp:val=&quot;00D52010&quot;/&gt;&lt;wsp:rsid wsp:val=&quot;00D52051&quot;/&gt;&lt;wsp:rsid wsp:val=&quot;00D52880&quot;/&gt;&lt;wsp:rsid wsp:val=&quot;00D52AFD&quot;/&gt;&lt;wsp:rsid wsp:val=&quot;00D531BE&quot;/&gt;&lt;wsp:rsid wsp:val=&quot;00D531D3&quot;/&gt;&lt;wsp:rsid wsp:val=&quot;00D5335B&quot;/&gt;&lt;wsp:rsid wsp:val=&quot;00D5397A&quot;/&gt;&lt;wsp:rsid wsp:val=&quot;00D539CE&quot;/&gt;&lt;wsp:rsid wsp:val=&quot;00D543A9&quot;/&gt;&lt;wsp:rsid wsp:val=&quot;00D54603&quot;/&gt;&lt;wsp:rsid wsp:val=&quot;00D54893&quot;/&gt;&lt;wsp:rsid wsp:val=&quot;00D54EBD&quot;/&gt;&lt;wsp:rsid wsp:val=&quot;00D55175&quot;/&gt;&lt;wsp:rsid wsp:val=&quot;00D552C8&quot;/&gt;&lt;wsp:rsid wsp:val=&quot;00D555E4&quot;/&gt;&lt;wsp:rsid wsp:val=&quot;00D56096&quot;/&gt;&lt;wsp:rsid wsp:val=&quot;00D561B1&quot;/&gt;&lt;wsp:rsid wsp:val=&quot;00D5672F&quot;/&gt;&lt;wsp:rsid wsp:val=&quot;00D56846&quot;/&gt;&lt;wsp:rsid wsp:val=&quot;00D56A49&quot;/&gt;&lt;wsp:rsid wsp:val=&quot;00D5782D&quot;/&gt;&lt;wsp:rsid wsp:val=&quot;00D5798F&quot;/&gt;&lt;wsp:rsid wsp:val=&quot;00D57B39&quot;/&gt;&lt;wsp:rsid wsp:val=&quot;00D6023F&quot;/&gt;&lt;wsp:rsid wsp:val=&quot;00D6079B&quot;/&gt;&lt;wsp:rsid wsp:val=&quot;00D60F9D&quot;/&gt;&lt;wsp:rsid wsp:val=&quot;00D61702&quot;/&gt;&lt;wsp:rsid wsp:val=&quot;00D61740&quot;/&gt;&lt;wsp:rsid wsp:val=&quot;00D6185B&quot;/&gt;&lt;wsp:rsid wsp:val=&quot;00D61A83&quot;/&gt;&lt;wsp:rsid wsp:val=&quot;00D6214E&quot;/&gt;&lt;wsp:rsid wsp:val=&quot;00D62270&quot;/&gt;&lt;wsp:rsid wsp:val=&quot;00D62804&quot;/&gt;&lt;wsp:rsid wsp:val=&quot;00D629B9&quot;/&gt;&lt;wsp:rsid wsp:val=&quot;00D62DAA&quot;/&gt;&lt;wsp:rsid wsp:val=&quot;00D62DDD&quot;/&gt;&lt;wsp:rsid wsp:val=&quot;00D63693&quot;/&gt;&lt;wsp:rsid wsp:val=&quot;00D637FD&quot;/&gt;&lt;wsp:rsid wsp:val=&quot;00D63801&quot;/&gt;&lt;wsp:rsid wsp:val=&quot;00D63F07&quot;/&gt;&lt;wsp:rsid wsp:val=&quot;00D6403D&quot;/&gt;&lt;wsp:rsid wsp:val=&quot;00D64935&quot;/&gt;&lt;wsp:rsid wsp:val=&quot;00D657BD&quot;/&gt;&lt;wsp:rsid wsp:val=&quot;00D65AA0&quot;/&gt;&lt;wsp:rsid wsp:val=&quot;00D65EA7&quot;/&gt;&lt;wsp:rsid wsp:val=&quot;00D65ECF&quot;/&gt;&lt;wsp:rsid wsp:val=&quot;00D667DE&quot;/&gt;&lt;wsp:rsid wsp:val=&quot;00D6685D&quot;/&gt;&lt;wsp:rsid wsp:val=&quot;00D668A5&quot;/&gt;&lt;wsp:rsid wsp:val=&quot;00D66AEF&quot;/&gt;&lt;wsp:rsid wsp:val=&quot;00D66CFA&quot;/&gt;&lt;wsp:rsid wsp:val=&quot;00D66F01&quot;/&gt;&lt;wsp:rsid wsp:val=&quot;00D67527&quot;/&gt;&lt;wsp:rsid wsp:val=&quot;00D6762B&quot;/&gt;&lt;wsp:rsid wsp:val=&quot;00D678AF&quot;/&gt;&lt;wsp:rsid wsp:val=&quot;00D67C98&quot;/&gt;&lt;wsp:rsid wsp:val=&quot;00D700C4&quot;/&gt;&lt;wsp:rsid wsp:val=&quot;00D709C1&quot;/&gt;&lt;wsp:rsid wsp:val=&quot;00D70A9C&quot;/&gt;&lt;wsp:rsid wsp:val=&quot;00D71237&quot;/&gt;&lt;wsp:rsid wsp:val=&quot;00D71C9B&quot;/&gt;&lt;wsp:rsid wsp:val=&quot;00D71DC2&quot;/&gt;&lt;wsp:rsid wsp:val=&quot;00D72855&quot;/&gt;&lt;wsp:rsid wsp:val=&quot;00D72DAA&quot;/&gt;&lt;wsp:rsid wsp:val=&quot;00D731D2&quot;/&gt;&lt;wsp:rsid wsp:val=&quot;00D73625&quot;/&gt;&lt;wsp:rsid wsp:val=&quot;00D73AE6&quot;/&gt;&lt;wsp:rsid wsp:val=&quot;00D73DEF&quot;/&gt;&lt;wsp:rsid wsp:val=&quot;00D74278&quot;/&gt;&lt;wsp:rsid wsp:val=&quot;00D74477&quot;/&gt;&lt;wsp:rsid wsp:val=&quot;00D74D52&quot;/&gt;&lt;wsp:rsid wsp:val=&quot;00D75488&quot;/&gt;&lt;wsp:rsid wsp:val=&quot;00D75814&quot;/&gt;&lt;wsp:rsid wsp:val=&quot;00D760DB&quot;/&gt;&lt;wsp:rsid wsp:val=&quot;00D76753&quot;/&gt;&lt;wsp:rsid wsp:val=&quot;00D7684B&quot;/&gt;&lt;wsp:rsid wsp:val=&quot;00D76AD7&quot;/&gt;&lt;wsp:rsid wsp:val=&quot;00D76F15&quot;/&gt;&lt;wsp:rsid wsp:val=&quot;00D7791B&quot;/&gt;&lt;wsp:rsid wsp:val=&quot;00D7791D&quot;/&gt;&lt;wsp:rsid wsp:val=&quot;00D7799F&quot;/&gt;&lt;wsp:rsid wsp:val=&quot;00D77CE3&quot;/&gt;&lt;wsp:rsid wsp:val=&quot;00D80765&quot;/&gt;&lt;wsp:rsid wsp:val=&quot;00D8078C&quot;/&gt;&lt;wsp:rsid wsp:val=&quot;00D80E85&quot;/&gt;&lt;wsp:rsid wsp:val=&quot;00D8120D&quot;/&gt;&lt;wsp:rsid wsp:val=&quot;00D8154E&quot;/&gt;&lt;wsp:rsid wsp:val=&quot;00D820F7&quot;/&gt;&lt;wsp:rsid wsp:val=&quot;00D8251F&quot;/&gt;&lt;wsp:rsid wsp:val=&quot;00D82A9F&quot;/&gt;&lt;wsp:rsid wsp:val=&quot;00D82D56&quot;/&gt;&lt;wsp:rsid wsp:val=&quot;00D82ECF&quot;/&gt;&lt;wsp:rsid wsp:val=&quot;00D82F72&quot;/&gt;&lt;wsp:rsid wsp:val=&quot;00D83343&quot;/&gt;&lt;wsp:rsid wsp:val=&quot;00D83707&quot;/&gt;&lt;wsp:rsid wsp:val=&quot;00D83C58&quot;/&gt;&lt;wsp:rsid wsp:val=&quot;00D83CDC&quot;/&gt;&lt;wsp:rsid wsp:val=&quot;00D83D36&quot;/&gt;&lt;wsp:rsid wsp:val=&quot;00D83DF7&quot;/&gt;&lt;wsp:rsid wsp:val=&quot;00D83FA9&quot;/&gt;&lt;wsp:rsid wsp:val=&quot;00D84355&quot;/&gt;&lt;wsp:rsid wsp:val=&quot;00D84699&quot;/&gt;&lt;wsp:rsid wsp:val=&quot;00D8475D&quot;/&gt;&lt;wsp:rsid wsp:val=&quot;00D85C0B&quot;/&gt;&lt;wsp:rsid wsp:val=&quot;00D85C45&quot;/&gt;&lt;wsp:rsid wsp:val=&quot;00D86023&quot;/&gt;&lt;wsp:rsid wsp:val=&quot;00D86484&quot;/&gt;&lt;wsp:rsid wsp:val=&quot;00D868EA&quot;/&gt;&lt;wsp:rsid wsp:val=&quot;00D86DC8&quot;/&gt;&lt;wsp:rsid wsp:val=&quot;00D871B9&quot;/&gt;&lt;wsp:rsid wsp:val=&quot;00D872B8&quot;/&gt;&lt;wsp:rsid wsp:val=&quot;00D87302&quot;/&gt;&lt;wsp:rsid wsp:val=&quot;00D87E49&quot;/&gt;&lt;wsp:rsid wsp:val=&quot;00D909CE&quot;/&gt;&lt;wsp:rsid wsp:val=&quot;00D90A76&quot;/&gt;&lt;wsp:rsid wsp:val=&quot;00D9109D&quot;/&gt;&lt;wsp:rsid wsp:val=&quot;00D91614&quot;/&gt;&lt;wsp:rsid wsp:val=&quot;00D919B8&quot;/&gt;&lt;wsp:rsid wsp:val=&quot;00D91DCA&quot;/&gt;&lt;wsp:rsid wsp:val=&quot;00D91F57&quot;/&gt;&lt;wsp:rsid wsp:val=&quot;00D925B5&quot;/&gt;&lt;wsp:rsid wsp:val=&quot;00D92EE7&quot;/&gt;&lt;wsp:rsid wsp:val=&quot;00D93667&quot;/&gt;&lt;wsp:rsid wsp:val=&quot;00D939A6&quot;/&gt;&lt;wsp:rsid wsp:val=&quot;00D93BDA&quot;/&gt;&lt;wsp:rsid wsp:val=&quot;00D93F69&quot;/&gt;&lt;wsp:rsid wsp:val=&quot;00D942CE&quot;/&gt;&lt;wsp:rsid wsp:val=&quot;00D943A6&quot;/&gt;&lt;wsp:rsid wsp:val=&quot;00D94759&quot;/&gt;&lt;wsp:rsid wsp:val=&quot;00D94AF6&quot;/&gt;&lt;wsp:rsid wsp:val=&quot;00D94C3F&quot;/&gt;&lt;wsp:rsid wsp:val=&quot;00D94C64&quot;/&gt;&lt;wsp:rsid wsp:val=&quot;00D94E0C&quot;/&gt;&lt;wsp:rsid wsp:val=&quot;00D951B5&quot;/&gt;&lt;wsp:rsid wsp:val=&quot;00D952BA&quot;/&gt;&lt;wsp:rsid wsp:val=&quot;00D9591E&quot;/&gt;&lt;wsp:rsid wsp:val=&quot;00D9658D&quot;/&gt;&lt;wsp:rsid wsp:val=&quot;00D972C1&quot;/&gt;&lt;wsp:rsid wsp:val=&quot;00D977B0&quot;/&gt;&lt;wsp:rsid wsp:val=&quot;00D977C1&quot;/&gt;&lt;wsp:rsid wsp:val=&quot;00D97B73&quot;/&gt;&lt;wsp:rsid wsp:val=&quot;00D97E29&quot;/&gt;&lt;wsp:rsid wsp:val=&quot;00DA0200&quot;/&gt;&lt;wsp:rsid wsp:val=&quot;00DA04E3&quot;/&gt;&lt;wsp:rsid wsp:val=&quot;00DA05CF&quot;/&gt;&lt;wsp:rsid wsp:val=&quot;00DA0676&quot;/&gt;&lt;wsp:rsid wsp:val=&quot;00DA088E&quot;/&gt;&lt;wsp:rsid wsp:val=&quot;00DA168F&quot;/&gt;&lt;wsp:rsid wsp:val=&quot;00DA187A&quot;/&gt;&lt;wsp:rsid wsp:val=&quot;00DA19DD&quot;/&gt;&lt;wsp:rsid wsp:val=&quot;00DA2277&quot;/&gt;&lt;wsp:rsid wsp:val=&quot;00DA28CF&quot;/&gt;&lt;wsp:rsid wsp:val=&quot;00DA29E7&quot;/&gt;&lt;wsp:rsid wsp:val=&quot;00DA2A1D&quot;/&gt;&lt;wsp:rsid wsp:val=&quot;00DA2ADC&quot;/&gt;&lt;wsp:rsid wsp:val=&quot;00DA2DDF&quot;/&gt;&lt;wsp:rsid wsp:val=&quot;00DA2E65&quot;/&gt;&lt;wsp:rsid wsp:val=&quot;00DA30C5&quot;/&gt;&lt;wsp:rsid wsp:val=&quot;00DA32D2&quot;/&gt;&lt;wsp:rsid wsp:val=&quot;00DA338F&quot;/&gt;&lt;wsp:rsid wsp:val=&quot;00DA361B&quot;/&gt;&lt;wsp:rsid wsp:val=&quot;00DA3A98&quot;/&gt;&lt;wsp:rsid wsp:val=&quot;00DA3C17&quot;/&gt;&lt;wsp:rsid wsp:val=&quot;00DA3FF0&quot;/&gt;&lt;wsp:rsid wsp:val=&quot;00DA4025&quot;/&gt;&lt;wsp:rsid wsp:val=&quot;00DA40B3&quot;/&gt;&lt;wsp:rsid wsp:val=&quot;00DA43C1&quot;/&gt;&lt;wsp:rsid wsp:val=&quot;00DA4440&quot;/&gt;&lt;wsp:rsid wsp:val=&quot;00DA479A&quot;/&gt;&lt;wsp:rsid wsp:val=&quot;00DA4A00&quot;/&gt;&lt;wsp:rsid wsp:val=&quot;00DA4BFC&quot;/&gt;&lt;wsp:rsid wsp:val=&quot;00DA4CCC&quot;/&gt;&lt;wsp:rsid wsp:val=&quot;00DA5062&quot;/&gt;&lt;wsp:rsid wsp:val=&quot;00DA543C&quot;/&gt;&lt;wsp:rsid wsp:val=&quot;00DA5560&quot;/&gt;&lt;wsp:rsid wsp:val=&quot;00DA55EC&quot;/&gt;&lt;wsp:rsid wsp:val=&quot;00DA5671&quot;/&gt;&lt;wsp:rsid wsp:val=&quot;00DA5FD4&quot;/&gt;&lt;wsp:rsid wsp:val=&quot;00DA60AF&quot;/&gt;&lt;wsp:rsid wsp:val=&quot;00DA6344&quot;/&gt;&lt;wsp:rsid wsp:val=&quot;00DA6446&quot;/&gt;&lt;wsp:rsid wsp:val=&quot;00DA6770&quot;/&gt;&lt;wsp:rsid wsp:val=&quot;00DA69D8&quot;/&gt;&lt;wsp:rsid wsp:val=&quot;00DA6A2A&quot;/&gt;&lt;wsp:rsid wsp:val=&quot;00DA6B05&quot;/&gt;&lt;wsp:rsid wsp:val=&quot;00DA6FAA&quot;/&gt;&lt;wsp:rsid wsp:val=&quot;00DA70F6&quot;/&gt;&lt;wsp:rsid wsp:val=&quot;00DA73F8&quot;/&gt;&lt;wsp:rsid wsp:val=&quot;00DB0398&quot;/&gt;&lt;wsp:rsid wsp:val=&quot;00DB058B&quot;/&gt;&lt;wsp:rsid wsp:val=&quot;00DB0832&quot;/&gt;&lt;wsp:rsid wsp:val=&quot;00DB0A8F&quot;/&gt;&lt;wsp:rsid wsp:val=&quot;00DB102B&quot;/&gt;&lt;wsp:rsid wsp:val=&quot;00DB127F&quot;/&gt;&lt;wsp:rsid wsp:val=&quot;00DB1E5E&quot;/&gt;&lt;wsp:rsid wsp:val=&quot;00DB2323&quot;/&gt;&lt;wsp:rsid wsp:val=&quot;00DB2692&quot;/&gt;&lt;wsp:rsid wsp:val=&quot;00DB2699&quot;/&gt;&lt;wsp:rsid wsp:val=&quot;00DB2C61&quot;/&gt;&lt;wsp:rsid wsp:val=&quot;00DB39FF&quot;/&gt;&lt;wsp:rsid wsp:val=&quot;00DB3A3A&quot;/&gt;&lt;wsp:rsid wsp:val=&quot;00DB401C&quot;/&gt;&lt;wsp:rsid wsp:val=&quot;00DB4063&quot;/&gt;&lt;wsp:rsid wsp:val=&quot;00DB41FE&quot;/&gt;&lt;wsp:rsid wsp:val=&quot;00DB42EC&quot;/&gt;&lt;wsp:rsid wsp:val=&quot;00DB4BD8&quot;/&gt;&lt;wsp:rsid wsp:val=&quot;00DB5075&quot;/&gt;&lt;wsp:rsid wsp:val=&quot;00DB5301&quot;/&gt;&lt;wsp:rsid wsp:val=&quot;00DB547D&quot;/&gt;&lt;wsp:rsid wsp:val=&quot;00DB5532&quot;/&gt;&lt;wsp:rsid wsp:val=&quot;00DB57CD&quot;/&gt;&lt;wsp:rsid wsp:val=&quot;00DB5C04&quot;/&gt;&lt;wsp:rsid wsp:val=&quot;00DB5EF6&quot;/&gt;&lt;wsp:rsid wsp:val=&quot;00DB600D&quot;/&gt;&lt;wsp:rsid wsp:val=&quot;00DB633C&quot;/&gt;&lt;wsp:rsid wsp:val=&quot;00DB63E5&quot;/&gt;&lt;wsp:rsid wsp:val=&quot;00DB64DD&quot;/&gt;&lt;wsp:rsid wsp:val=&quot;00DB7BE4&quot;/&gt;&lt;wsp:rsid wsp:val=&quot;00DB7C49&quot;/&gt;&lt;wsp:rsid wsp:val=&quot;00DC0150&quot;/&gt;&lt;wsp:rsid wsp:val=&quot;00DC01F4&quot;/&gt;&lt;wsp:rsid wsp:val=&quot;00DC03D8&quot;/&gt;&lt;wsp:rsid wsp:val=&quot;00DC093D&quot;/&gt;&lt;wsp:rsid wsp:val=&quot;00DC0C18&quot;/&gt;&lt;wsp:rsid wsp:val=&quot;00DC1253&quot;/&gt;&lt;wsp:rsid wsp:val=&quot;00DC13D7&quot;/&gt;&lt;wsp:rsid wsp:val=&quot;00DC1401&quot;/&gt;&lt;wsp:rsid wsp:val=&quot;00DC1BAC&quot;/&gt;&lt;wsp:rsid wsp:val=&quot;00DC1C66&quot;/&gt;&lt;wsp:rsid wsp:val=&quot;00DC1F0D&quot;/&gt;&lt;wsp:rsid wsp:val=&quot;00DC2025&quot;/&gt;&lt;wsp:rsid wsp:val=&quot;00DC21C7&quot;/&gt;&lt;wsp:rsid wsp:val=&quot;00DC22A6&quot;/&gt;&lt;wsp:rsid wsp:val=&quot;00DC35B6&quot;/&gt;&lt;wsp:rsid wsp:val=&quot;00DC375A&quot;/&gt;&lt;wsp:rsid wsp:val=&quot;00DC3AC9&quot;/&gt;&lt;wsp:rsid wsp:val=&quot;00DC3B63&quot;/&gt;&lt;wsp:rsid wsp:val=&quot;00DC3CE1&quot;/&gt;&lt;wsp:rsid wsp:val=&quot;00DC3D31&quot;/&gt;&lt;wsp:rsid wsp:val=&quot;00DC3E91&quot;/&gt;&lt;wsp:rsid wsp:val=&quot;00DC44EB&quot;/&gt;&lt;wsp:rsid wsp:val=&quot;00DC458B&quot;/&gt;&lt;wsp:rsid wsp:val=&quot;00DC46BF&quot;/&gt;&lt;wsp:rsid wsp:val=&quot;00DC497B&quot;/&gt;&lt;wsp:rsid wsp:val=&quot;00DC4C2D&quot;/&gt;&lt;wsp:rsid wsp:val=&quot;00DC59C7&quot;/&gt;&lt;wsp:rsid wsp:val=&quot;00DC6084&quot;/&gt;&lt;wsp:rsid wsp:val=&quot;00DC65D5&quot;/&gt;&lt;wsp:rsid wsp:val=&quot;00DC6A44&quot;/&gt;&lt;wsp:rsid wsp:val=&quot;00DC6B5E&quot;/&gt;&lt;wsp:rsid wsp:val=&quot;00DC6B64&quot;/&gt;&lt;wsp:rsid wsp:val=&quot;00DC75D1&quot;/&gt;&lt;wsp:rsid wsp:val=&quot;00DC790A&quot;/&gt;&lt;wsp:rsid wsp:val=&quot;00DC7AFD&quot;/&gt;&lt;wsp:rsid wsp:val=&quot;00DC7E8C&quot;/&gt;&lt;wsp:rsid wsp:val=&quot;00DD0199&quot;/&gt;&lt;wsp:rsid wsp:val=&quot;00DD019C&quot;/&gt;&lt;wsp:rsid wsp:val=&quot;00DD024E&quot;/&gt;&lt;wsp:rsid wsp:val=&quot;00DD0514&quot;/&gt;&lt;wsp:rsid wsp:val=&quot;00DD09F6&quot;/&gt;&lt;wsp:rsid wsp:val=&quot;00DD1103&quot;/&gt;&lt;wsp:rsid wsp:val=&quot;00DD13DE&quot;/&gt;&lt;wsp:rsid wsp:val=&quot;00DD189A&quot;/&gt;&lt;wsp:rsid wsp:val=&quot;00DD2683&quot;/&gt;&lt;wsp:rsid wsp:val=&quot;00DD2CEB&quot;/&gt;&lt;wsp:rsid wsp:val=&quot;00DD31BA&quot;/&gt;&lt;wsp:rsid wsp:val=&quot;00DD3357&quot;/&gt;&lt;wsp:rsid wsp:val=&quot;00DD3501&quot;/&gt;&lt;wsp:rsid wsp:val=&quot;00DD3701&quot;/&gt;&lt;wsp:rsid wsp:val=&quot;00DD3CCB&quot;/&gt;&lt;wsp:rsid wsp:val=&quot;00DD452D&quot;/&gt;&lt;wsp:rsid wsp:val=&quot;00DD45AC&quot;/&gt;&lt;wsp:rsid wsp:val=&quot;00DD47C1&quot;/&gt;&lt;wsp:rsid wsp:val=&quot;00DD488C&quot;/&gt;&lt;wsp:rsid wsp:val=&quot;00DD4954&quot;/&gt;&lt;wsp:rsid wsp:val=&quot;00DD4C9A&quot;/&gt;&lt;wsp:rsid wsp:val=&quot;00DD4FF9&quot;/&gt;&lt;wsp:rsid wsp:val=&quot;00DD5025&quot;/&gt;&lt;wsp:rsid wsp:val=&quot;00DD50E3&quot;/&gt;&lt;wsp:rsid wsp:val=&quot;00DD5298&quot;/&gt;&lt;wsp:rsid wsp:val=&quot;00DD56AB&quot;/&gt;&lt;wsp:rsid wsp:val=&quot;00DD58AB&quot;/&gt;&lt;wsp:rsid wsp:val=&quot;00DD5CF1&quot;/&gt;&lt;wsp:rsid wsp:val=&quot;00DD5E09&quot;/&gt;&lt;wsp:rsid wsp:val=&quot;00DD607D&quot;/&gt;&lt;wsp:rsid wsp:val=&quot;00DD628D&quot;/&gt;&lt;wsp:rsid wsp:val=&quot;00DD6ECA&quot;/&gt;&lt;wsp:rsid wsp:val=&quot;00DD7339&quot;/&gt;&lt;wsp:rsid wsp:val=&quot;00DD779E&quot;/&gt;&lt;wsp:rsid wsp:val=&quot;00DD7815&quot;/&gt;&lt;wsp:rsid wsp:val=&quot;00DD7B6C&quot;/&gt;&lt;wsp:rsid wsp:val=&quot;00DD7D17&quot;/&gt;&lt;wsp:rsid wsp:val=&quot;00DE053F&quot;/&gt;&lt;wsp:rsid wsp:val=&quot;00DE08B7&quot;/&gt;&lt;wsp:rsid wsp:val=&quot;00DE0FD6&quot;/&gt;&lt;wsp:rsid wsp:val=&quot;00DE16EC&quot;/&gt;&lt;wsp:rsid wsp:val=&quot;00DE17A1&quot;/&gt;&lt;wsp:rsid wsp:val=&quot;00DE17B6&quot;/&gt;&lt;wsp:rsid wsp:val=&quot;00DE17C7&quot;/&gt;&lt;wsp:rsid wsp:val=&quot;00DE19B6&quot;/&gt;&lt;wsp:rsid wsp:val=&quot;00DE1CA3&quot;/&gt;&lt;wsp:rsid wsp:val=&quot;00DE1DDE&quot;/&gt;&lt;wsp:rsid wsp:val=&quot;00DE29AD&quot;/&gt;&lt;wsp:rsid wsp:val=&quot;00DE29B7&quot;/&gt;&lt;wsp:rsid wsp:val=&quot;00DE2A4F&quot;/&gt;&lt;wsp:rsid wsp:val=&quot;00DE2B6C&quot;/&gt;&lt;wsp:rsid wsp:val=&quot;00DE2C98&quot;/&gt;&lt;wsp:rsid wsp:val=&quot;00DE2EE3&quot;/&gt;&lt;wsp:rsid wsp:val=&quot;00DE2F5A&quot;/&gt;&lt;wsp:rsid wsp:val=&quot;00DE322C&quot;/&gt;&lt;wsp:rsid wsp:val=&quot;00DE355D&quot;/&gt;&lt;wsp:rsid wsp:val=&quot;00DE3BB6&quot;/&gt;&lt;wsp:rsid wsp:val=&quot;00DE44C7&quot;/&gt;&lt;wsp:rsid wsp:val=&quot;00DE4B15&quot;/&gt;&lt;wsp:rsid wsp:val=&quot;00DE4DFF&quot;/&gt;&lt;wsp:rsid wsp:val=&quot;00DE501D&quot;/&gt;&lt;wsp:rsid wsp:val=&quot;00DE530B&quot;/&gt;&lt;wsp:rsid wsp:val=&quot;00DE5705&quot;/&gt;&lt;wsp:rsid wsp:val=&quot;00DE5FF1&quot;/&gt;&lt;wsp:rsid wsp:val=&quot;00DE62C4&quot;/&gt;&lt;wsp:rsid wsp:val=&quot;00DE6BC9&quot;/&gt;&lt;wsp:rsid wsp:val=&quot;00DE6D33&quot;/&gt;&lt;wsp:rsid wsp:val=&quot;00DE6DD5&quot;/&gt;&lt;wsp:rsid wsp:val=&quot;00DE6E30&quot;/&gt;&lt;wsp:rsid wsp:val=&quot;00DE7217&quot;/&gt;&lt;wsp:rsid wsp:val=&quot;00DE737D&quot;/&gt;&lt;wsp:rsid wsp:val=&quot;00DE74B9&quot;/&gt;&lt;wsp:rsid wsp:val=&quot;00DE7972&quot;/&gt;&lt;wsp:rsid wsp:val=&quot;00DE7D40&quot;/&gt;&lt;wsp:rsid wsp:val=&quot;00DE7DF6&quot;/&gt;&lt;wsp:rsid wsp:val=&quot;00DF0AB2&quot;/&gt;&lt;wsp:rsid wsp:val=&quot;00DF0B84&quot;/&gt;&lt;wsp:rsid wsp:val=&quot;00DF0D85&quot;/&gt;&lt;wsp:rsid wsp:val=&quot;00DF0F2E&quot;/&gt;&lt;wsp:rsid wsp:val=&quot;00DF15ED&quot;/&gt;&lt;wsp:rsid wsp:val=&quot;00DF1994&quot;/&gt;&lt;wsp:rsid wsp:val=&quot;00DF1D1B&quot;/&gt;&lt;wsp:rsid wsp:val=&quot;00DF265E&quot;/&gt;&lt;wsp:rsid wsp:val=&quot;00DF26D3&quot;/&gt;&lt;wsp:rsid wsp:val=&quot;00DF299B&quot;/&gt;&lt;wsp:rsid wsp:val=&quot;00DF29CC&quot;/&gt;&lt;wsp:rsid wsp:val=&quot;00DF2A89&quot;/&gt;&lt;wsp:rsid wsp:val=&quot;00DF2DF7&quot;/&gt;&lt;wsp:rsid wsp:val=&quot;00DF3784&quot;/&gt;&lt;wsp:rsid wsp:val=&quot;00DF3824&quot;/&gt;&lt;wsp:rsid wsp:val=&quot;00DF38CC&quot;/&gt;&lt;wsp:rsid wsp:val=&quot;00DF436E&quot;/&gt;&lt;wsp:rsid wsp:val=&quot;00DF467E&quot;/&gt;&lt;wsp:rsid wsp:val=&quot;00DF5341&quot;/&gt;&lt;wsp:rsid wsp:val=&quot;00DF5432&quot;/&gt;&lt;wsp:rsid wsp:val=&quot;00DF552A&quot;/&gt;&lt;wsp:rsid wsp:val=&quot;00DF5733&quot;/&gt;&lt;wsp:rsid wsp:val=&quot;00DF591A&quot;/&gt;&lt;wsp:rsid wsp:val=&quot;00DF5A03&quot;/&gt;&lt;wsp:rsid wsp:val=&quot;00DF5E59&quot;/&gt;&lt;wsp:rsid wsp:val=&quot;00DF5F2C&quot;/&gt;&lt;wsp:rsid wsp:val=&quot;00DF5F96&quot;/&gt;&lt;wsp:rsid wsp:val=&quot;00DF6054&quot;/&gt;&lt;wsp:rsid wsp:val=&quot;00DF699B&quot;/&gt;&lt;wsp:rsid wsp:val=&quot;00DF6C1C&quot;/&gt;&lt;wsp:rsid wsp:val=&quot;00DF6E31&quot;/&gt;&lt;wsp:rsid wsp:val=&quot;00DF6E6A&quot;/&gt;&lt;wsp:rsid wsp:val=&quot;00DF6E77&quot;/&gt;&lt;wsp:rsid wsp:val=&quot;00DF6F02&quot;/&gt;&lt;wsp:rsid wsp:val=&quot;00DF723C&quot;/&gt;&lt;wsp:rsid wsp:val=&quot;00DF748B&quot;/&gt;&lt;wsp:rsid wsp:val=&quot;00DF7840&quot;/&gt;&lt;wsp:rsid wsp:val=&quot;00DF7EB1&quot;/&gt;&lt;wsp:rsid wsp:val=&quot;00DF7F00&quot;/&gt;&lt;wsp:rsid wsp:val=&quot;00E003C5&quot;/&gt;&lt;wsp:rsid wsp:val=&quot;00E003E2&quot;/&gt;&lt;wsp:rsid wsp:val=&quot;00E0056D&quot;/&gt;&lt;wsp:rsid wsp:val=&quot;00E0074C&quot;/&gt;&lt;wsp:rsid wsp:val=&quot;00E009D5&quot;/&gt;&lt;wsp:rsid wsp:val=&quot;00E00ABF&quot;/&gt;&lt;wsp:rsid wsp:val=&quot;00E0143F&quot;/&gt;&lt;wsp:rsid wsp:val=&quot;00E017A5&quot;/&gt;&lt;wsp:rsid wsp:val=&quot;00E01BD2&quot;/&gt;&lt;wsp:rsid wsp:val=&quot;00E01C8D&quot;/&gt;&lt;wsp:rsid wsp:val=&quot;00E021EB&quot;/&gt;&lt;wsp:rsid wsp:val=&quot;00E02365&quot;/&gt;&lt;wsp:rsid wsp:val=&quot;00E023EB&quot;/&gt;&lt;wsp:rsid wsp:val=&quot;00E027DE&quot;/&gt;&lt;wsp:rsid wsp:val=&quot;00E0283A&quot;/&gt;&lt;wsp:rsid wsp:val=&quot;00E02971&quot;/&gt;&lt;wsp:rsid wsp:val=&quot;00E02DB3&quot;/&gt;&lt;wsp:rsid wsp:val=&quot;00E032AE&quot;/&gt;&lt;wsp:rsid wsp:val=&quot;00E040E8&quot;/&gt;&lt;wsp:rsid wsp:val=&quot;00E04311&quot;/&gt;&lt;wsp:rsid wsp:val=&quot;00E04830&quot;/&gt;&lt;wsp:rsid wsp:val=&quot;00E04899&quot;/&gt;&lt;wsp:rsid wsp:val=&quot;00E0496B&quot;/&gt;&lt;wsp:rsid wsp:val=&quot;00E04A9C&quot;/&gt;&lt;wsp:rsid wsp:val=&quot;00E04C1C&quot;/&gt;&lt;wsp:rsid wsp:val=&quot;00E0567F&quot;/&gt;&lt;wsp:rsid wsp:val=&quot;00E05ED7&quot;/&gt;&lt;wsp:rsid wsp:val=&quot;00E065A2&quot;/&gt;&lt;wsp:rsid wsp:val=&quot;00E067D4&quot;/&gt;&lt;wsp:rsid wsp:val=&quot;00E06A98&quot;/&gt;&lt;wsp:rsid wsp:val=&quot;00E06C2E&quot;/&gt;&lt;wsp:rsid wsp:val=&quot;00E06D44&quot;/&gt;&lt;wsp:rsid wsp:val=&quot;00E078B2&quot;/&gt;&lt;wsp:rsid wsp:val=&quot;00E07B47&quot;/&gt;&lt;wsp:rsid wsp:val=&quot;00E07DF3&quot;/&gt;&lt;wsp:rsid wsp:val=&quot;00E07EBF&quot;/&gt;&lt;wsp:rsid wsp:val=&quot;00E07EE1&quot;/&gt;&lt;wsp:rsid wsp:val=&quot;00E07EEB&quot;/&gt;&lt;wsp:rsid wsp:val=&quot;00E10529&quot;/&gt;&lt;wsp:rsid wsp:val=&quot;00E10799&quot;/&gt;&lt;wsp:rsid wsp:val=&quot;00E10A4D&quot;/&gt;&lt;wsp:rsid wsp:val=&quot;00E10CE0&quot;/&gt;&lt;wsp:rsid wsp:val=&quot;00E113E2&quot;/&gt;&lt;wsp:rsid wsp:val=&quot;00E116C2&quot;/&gt;&lt;wsp:rsid wsp:val=&quot;00E11B45&quot;/&gt;&lt;wsp:rsid wsp:val=&quot;00E11D7A&quot;/&gt;&lt;wsp:rsid wsp:val=&quot;00E11D98&quot;/&gt;&lt;wsp:rsid wsp:val=&quot;00E1248E&quot;/&gt;&lt;wsp:rsid wsp:val=&quot;00E12559&quot;/&gt;&lt;wsp:rsid wsp:val=&quot;00E12CE2&quot;/&gt;&lt;wsp:rsid wsp:val=&quot;00E135E2&quot;/&gt;&lt;wsp:rsid wsp:val=&quot;00E13CEF&quot;/&gt;&lt;wsp:rsid wsp:val=&quot;00E13FAD&quot;/&gt;&lt;wsp:rsid wsp:val=&quot;00E143C7&quot;/&gt;&lt;wsp:rsid wsp:val=&quot;00E14AE0&quot;/&gt;&lt;wsp:rsid wsp:val=&quot;00E14CE4&quot;/&gt;&lt;wsp:rsid wsp:val=&quot;00E150D3&quot;/&gt;&lt;wsp:rsid wsp:val=&quot;00E150EF&quot;/&gt;&lt;wsp:rsid wsp:val=&quot;00E15274&quot;/&gt;&lt;wsp:rsid wsp:val=&quot;00E15489&quot;/&gt;&lt;wsp:rsid wsp:val=&quot;00E1566F&quot;/&gt;&lt;wsp:rsid wsp:val=&quot;00E15E1F&quot;/&gt;&lt;wsp:rsid wsp:val=&quot;00E161E5&quot;/&gt;&lt;wsp:rsid wsp:val=&quot;00E16275&quot;/&gt;&lt;wsp:rsid wsp:val=&quot;00E164BC&quot;/&gt;&lt;wsp:rsid wsp:val=&quot;00E1672F&quot;/&gt;&lt;wsp:rsid wsp:val=&quot;00E16A25&quot;/&gt;&lt;wsp:rsid wsp:val=&quot;00E16BD8&quot;/&gt;&lt;wsp:rsid wsp:val=&quot;00E16D1D&quot;/&gt;&lt;wsp:rsid wsp:val=&quot;00E16E81&quot;/&gt;&lt;wsp:rsid wsp:val=&quot;00E17116&quot;/&gt;&lt;wsp:rsid wsp:val=&quot;00E171BA&quot;/&gt;&lt;wsp:rsid wsp:val=&quot;00E17737&quot;/&gt;&lt;wsp:rsid wsp:val=&quot;00E17AD9&quot;/&gt;&lt;wsp:rsid wsp:val=&quot;00E202ED&quot;/&gt;&lt;wsp:rsid wsp:val=&quot;00E207FD&quot;/&gt;&lt;wsp:rsid wsp:val=&quot;00E20997&quot;/&gt;&lt;wsp:rsid wsp:val=&quot;00E20A1C&quot;/&gt;&lt;wsp:rsid wsp:val=&quot;00E20BAB&quot;/&gt;&lt;wsp:rsid wsp:val=&quot;00E20CCA&quot;/&gt;&lt;wsp:rsid wsp:val=&quot;00E21343&quot;/&gt;&lt;wsp:rsid wsp:val=&quot;00E214C8&quot;/&gt;&lt;wsp:rsid wsp:val=&quot;00E2164E&quot;/&gt;&lt;wsp:rsid wsp:val=&quot;00E2179D&quot;/&gt;&lt;wsp:rsid wsp:val=&quot;00E21AC0&quot;/&gt;&lt;wsp:rsid wsp:val=&quot;00E2227E&quot;/&gt;&lt;wsp:rsid wsp:val=&quot;00E223B5&quot;/&gt;&lt;wsp:rsid wsp:val=&quot;00E224A7&quot;/&gt;&lt;wsp:rsid wsp:val=&quot;00E226B6&quot;/&gt;&lt;wsp:rsid wsp:val=&quot;00E228B2&quot;/&gt;&lt;wsp:rsid wsp:val=&quot;00E22B43&quot;/&gt;&lt;wsp:rsid wsp:val=&quot;00E22F9D&quot;/&gt;&lt;wsp:rsid wsp:val=&quot;00E23319&quot;/&gt;&lt;wsp:rsid wsp:val=&quot;00E23F44&quot;/&gt;&lt;wsp:rsid wsp:val=&quot;00E2422A&quot;/&gt;&lt;wsp:rsid wsp:val=&quot;00E24403&quot;/&gt;&lt;wsp:rsid wsp:val=&quot;00E244BC&quot;/&gt;&lt;wsp:rsid wsp:val=&quot;00E244DA&quot;/&gt;&lt;wsp:rsid wsp:val=&quot;00E24795&quot;/&gt;&lt;wsp:rsid wsp:val=&quot;00E24C3A&quot;/&gt;&lt;wsp:rsid wsp:val=&quot;00E25A78&quot;/&gt;&lt;wsp:rsid wsp:val=&quot;00E25E70&quot;/&gt;&lt;wsp:rsid wsp:val=&quot;00E25E9F&quot;/&gt;&lt;wsp:rsid wsp:val=&quot;00E2671C&quot;/&gt;&lt;wsp:rsid wsp:val=&quot;00E267C8&quot;/&gt;&lt;wsp:rsid wsp:val=&quot;00E267EF&quot;/&gt;&lt;wsp:rsid wsp:val=&quot;00E269F7&quot;/&gt;&lt;wsp:rsid wsp:val=&quot;00E2743B&quot;/&gt;&lt;wsp:rsid wsp:val=&quot;00E27810&quot;/&gt;&lt;wsp:rsid wsp:val=&quot;00E27C8B&quot;/&gt;&lt;wsp:rsid wsp:val=&quot;00E27F40&quot;/&gt;&lt;wsp:rsid wsp:val=&quot;00E300DC&quot;/&gt;&lt;wsp:rsid wsp:val=&quot;00E30287&quot;/&gt;&lt;wsp:rsid wsp:val=&quot;00E30D0F&quot;/&gt;&lt;wsp:rsid wsp:val=&quot;00E30D31&quot;/&gt;&lt;wsp:rsid wsp:val=&quot;00E30E48&quot;/&gt;&lt;wsp:rsid wsp:val=&quot;00E30E72&quot;/&gt;&lt;wsp:rsid wsp:val=&quot;00E3147E&quot;/&gt;&lt;wsp:rsid wsp:val=&quot;00E322FB&quot;/&gt;&lt;wsp:rsid wsp:val=&quot;00E332B8&quot;/&gt;&lt;wsp:rsid wsp:val=&quot;00E33426&quot;/&gt;&lt;wsp:rsid wsp:val=&quot;00E3382E&quot;/&gt;&lt;wsp:rsid wsp:val=&quot;00E33868&quot;/&gt;&lt;wsp:rsid wsp:val=&quot;00E33AA9&quot;/&gt;&lt;wsp:rsid wsp:val=&quot;00E33B66&quot;/&gt;&lt;wsp:rsid wsp:val=&quot;00E33D1E&quot;/&gt;&lt;wsp:rsid wsp:val=&quot;00E33DB4&quot;/&gt;&lt;wsp:rsid wsp:val=&quot;00E34586&quot;/&gt;&lt;wsp:rsid wsp:val=&quot;00E3478C&quot;/&gt;&lt;wsp:rsid wsp:val=&quot;00E349CE&quot;/&gt;&lt;wsp:rsid wsp:val=&quot;00E34A6B&quot;/&gt;&lt;wsp:rsid wsp:val=&quot;00E34B4A&quot;/&gt;&lt;wsp:rsid wsp:val=&quot;00E35243&quot;/&gt;&lt;wsp:rsid wsp:val=&quot;00E3671D&quot;/&gt;&lt;wsp:rsid wsp:val=&quot;00E36884&quot;/&gt;&lt;wsp:rsid wsp:val=&quot;00E36AE5&quot;/&gt;&lt;wsp:rsid wsp:val=&quot;00E36CB8&quot;/&gt;&lt;wsp:rsid wsp:val=&quot;00E3705E&quot;/&gt;&lt;wsp:rsid wsp:val=&quot;00E371E3&quot;/&gt;&lt;wsp:rsid wsp:val=&quot;00E37C93&quot;/&gt;&lt;wsp:rsid wsp:val=&quot;00E408CC&quot;/&gt;&lt;wsp:rsid wsp:val=&quot;00E408D7&quot;/&gt;&lt;wsp:rsid wsp:val=&quot;00E40C3A&quot;/&gt;&lt;wsp:rsid wsp:val=&quot;00E40CAC&quot;/&gt;&lt;wsp:rsid wsp:val=&quot;00E412AE&quot;/&gt;&lt;wsp:rsid wsp:val=&quot;00E412BB&quot;/&gt;&lt;wsp:rsid wsp:val=&quot;00E412CF&quot;/&gt;&lt;wsp:rsid wsp:val=&quot;00E41543&quot;/&gt;&lt;wsp:rsid wsp:val=&quot;00E416F7&quot;/&gt;&lt;wsp:rsid wsp:val=&quot;00E41BC0&quot;/&gt;&lt;wsp:rsid wsp:val=&quot;00E421FB&quot;/&gt;&lt;wsp:rsid wsp:val=&quot;00E426F4&quot;/&gt;&lt;wsp:rsid wsp:val=&quot;00E42E0D&quot;/&gt;&lt;wsp:rsid wsp:val=&quot;00E42F1D&quot;/&gt;&lt;wsp:rsid wsp:val=&quot;00E42FF7&quot;/&gt;&lt;wsp:rsid wsp:val=&quot;00E43710&quot;/&gt;&lt;wsp:rsid wsp:val=&quot;00E43969&quot;/&gt;&lt;wsp:rsid wsp:val=&quot;00E443B0&quot;/&gt;&lt;wsp:rsid wsp:val=&quot;00E44F70&quot;/&gt;&lt;wsp:rsid wsp:val=&quot;00E45007&quot;/&gt;&lt;wsp:rsid wsp:val=&quot;00E45063&quot;/&gt;&lt;wsp:rsid wsp:val=&quot;00E4515F&quot;/&gt;&lt;wsp:rsid wsp:val=&quot;00E45501&quot;/&gt;&lt;wsp:rsid wsp:val=&quot;00E4555E&quot;/&gt;&lt;wsp:rsid wsp:val=&quot;00E45DB9&quot;/&gt;&lt;wsp:rsid wsp:val=&quot;00E46394&quot;/&gt;&lt;wsp:rsid wsp:val=&quot;00E466D1&quot;/&gt;&lt;wsp:rsid wsp:val=&quot;00E467DA&quot;/&gt;&lt;wsp:rsid wsp:val=&quot;00E46D1B&quot;/&gt;&lt;wsp:rsid wsp:val=&quot;00E46F24&quot;/&gt;&lt;wsp:rsid wsp:val=&quot;00E47255&quot;/&gt;&lt;wsp:rsid wsp:val=&quot;00E4729B&quot;/&gt;&lt;wsp:rsid wsp:val=&quot;00E476BF&quot;/&gt;&lt;wsp:rsid wsp:val=&quot;00E477BE&quot;/&gt;&lt;wsp:rsid wsp:val=&quot;00E479A3&quot;/&gt;&lt;wsp:rsid wsp:val=&quot;00E47B7B&quot;/&gt;&lt;wsp:rsid wsp:val=&quot;00E50561&quot;/&gt;&lt;wsp:rsid wsp:val=&quot;00E50A1A&quot;/&gt;&lt;wsp:rsid wsp:val=&quot;00E50CAB&quot;/&gt;&lt;wsp:rsid wsp:val=&quot;00E50CCF&quot;/&gt;&lt;wsp:rsid wsp:val=&quot;00E5127B&quot;/&gt;&lt;wsp:rsid wsp:val=&quot;00E51704&quot;/&gt;&lt;wsp:rsid wsp:val=&quot;00E5175C&quot;/&gt;&lt;wsp:rsid wsp:val=&quot;00E52110&quot;/&gt;&lt;wsp:rsid wsp:val=&quot;00E522B7&quot;/&gt;&lt;wsp:rsid wsp:val=&quot;00E53313&quot;/&gt;&lt;wsp:rsid wsp:val=&quot;00E534DE&quot;/&gt;&lt;wsp:rsid wsp:val=&quot;00E53953&quot;/&gt;&lt;wsp:rsid wsp:val=&quot;00E53B6A&quot;/&gt;&lt;wsp:rsid wsp:val=&quot;00E53D4B&quot;/&gt;&lt;wsp:rsid wsp:val=&quot;00E53FF1&quot;/&gt;&lt;wsp:rsid wsp:val=&quot;00E54020&quot;/&gt;&lt;wsp:rsid wsp:val=&quot;00E54DF9&quot;/&gt;&lt;wsp:rsid wsp:val=&quot;00E55203&quot;/&gt;&lt;wsp:rsid wsp:val=&quot;00E55372&quot;/&gt;&lt;wsp:rsid wsp:val=&quot;00E5561E&quot;/&gt;&lt;wsp:rsid wsp:val=&quot;00E55951&quot;/&gt;&lt;wsp:rsid wsp:val=&quot;00E5597D&quot;/&gt;&lt;wsp:rsid wsp:val=&quot;00E55EBB&quot;/&gt;&lt;wsp:rsid wsp:val=&quot;00E56530&quot;/&gt;&lt;wsp:rsid wsp:val=&quot;00E565C7&quot;/&gt;&lt;wsp:rsid wsp:val=&quot;00E56BD1&quot;/&gt;&lt;wsp:rsid wsp:val=&quot;00E56D22&quot;/&gt;&lt;wsp:rsid wsp:val=&quot;00E57786&quot;/&gt;&lt;wsp:rsid wsp:val=&quot;00E57997&quot;/&gt;&lt;wsp:rsid wsp:val=&quot;00E579B0&quot;/&gt;&lt;wsp:rsid wsp:val=&quot;00E604D4&quot;/&gt;&lt;wsp:rsid wsp:val=&quot;00E6070F&quot;/&gt;&lt;wsp:rsid wsp:val=&quot;00E60BD5&quot;/&gt;&lt;wsp:rsid wsp:val=&quot;00E60D25&quot;/&gt;&lt;wsp:rsid wsp:val=&quot;00E60D79&quot;/&gt;&lt;wsp:rsid wsp:val=&quot;00E6118E&quot;/&gt;&lt;wsp:rsid wsp:val=&quot;00E61391&quot;/&gt;&lt;wsp:rsid wsp:val=&quot;00E61455&quot;/&gt;&lt;wsp:rsid wsp:val=&quot;00E61541&quot;/&gt;&lt;wsp:rsid wsp:val=&quot;00E61764&quot;/&gt;&lt;wsp:rsid wsp:val=&quot;00E61920&quot;/&gt;&lt;wsp:rsid wsp:val=&quot;00E61A69&quot;/&gt;&lt;wsp:rsid wsp:val=&quot;00E61B87&quot;/&gt;&lt;wsp:rsid wsp:val=&quot;00E61D00&quot;/&gt;&lt;wsp:rsid wsp:val=&quot;00E61E58&quot;/&gt;&lt;wsp:rsid wsp:val=&quot;00E6230F&quot;/&gt;&lt;wsp:rsid wsp:val=&quot;00E62589&quot;/&gt;&lt;wsp:rsid wsp:val=&quot;00E625A6&quot;/&gt;&lt;wsp:rsid wsp:val=&quot;00E62C66&quot;/&gt;&lt;wsp:rsid wsp:val=&quot;00E63491&quot;/&gt;&lt;wsp:rsid wsp:val=&quot;00E63CB0&quot;/&gt;&lt;wsp:rsid wsp:val=&quot;00E63EE4&quot;/&gt;&lt;wsp:rsid wsp:val=&quot;00E640AF&quot;/&gt;&lt;wsp:rsid wsp:val=&quot;00E64B65&quot;/&gt;&lt;wsp:rsid wsp:val=&quot;00E64C9C&quot;/&gt;&lt;wsp:rsid wsp:val=&quot;00E65282&quot;/&gt;&lt;wsp:rsid wsp:val=&quot;00E65584&quot;/&gt;&lt;wsp:rsid wsp:val=&quot;00E6587F&quot;/&gt;&lt;wsp:rsid wsp:val=&quot;00E65897&quot;/&gt;&lt;wsp:rsid wsp:val=&quot;00E65DA1&quot;/&gt;&lt;wsp:rsid wsp:val=&quot;00E65E13&quot;/&gt;&lt;wsp:rsid wsp:val=&quot;00E65F25&quot;/&gt;&lt;wsp:rsid wsp:val=&quot;00E6630A&quot;/&gt;&lt;wsp:rsid wsp:val=&quot;00E66931&quot;/&gt;&lt;wsp:rsid wsp:val=&quot;00E66BE2&quot;/&gt;&lt;wsp:rsid wsp:val=&quot;00E6709E&quot;/&gt;&lt;wsp:rsid wsp:val=&quot;00E673F6&quot;/&gt;&lt;wsp:rsid wsp:val=&quot;00E67463&quot;/&gt;&lt;wsp:rsid wsp:val=&quot;00E67504&quot;/&gt;&lt;wsp:rsid wsp:val=&quot;00E67557&quot;/&gt;&lt;wsp:rsid wsp:val=&quot;00E67561&quot;/&gt;&lt;wsp:rsid wsp:val=&quot;00E678F3&quot;/&gt;&lt;wsp:rsid wsp:val=&quot;00E67A5A&quot;/&gt;&lt;wsp:rsid wsp:val=&quot;00E67AA5&quot;/&gt;&lt;wsp:rsid wsp:val=&quot;00E702CE&quot;/&gt;&lt;wsp:rsid wsp:val=&quot;00E702F6&quot;/&gt;&lt;wsp:rsid wsp:val=&quot;00E7037D&quot;/&gt;&lt;wsp:rsid wsp:val=&quot;00E706D3&quot;/&gt;&lt;wsp:rsid wsp:val=&quot;00E70B9E&quot;/&gt;&lt;wsp:rsid wsp:val=&quot;00E70FFC&quot;/&gt;&lt;wsp:rsid wsp:val=&quot;00E71221&quot;/&gt;&lt;wsp:rsid wsp:val=&quot;00E71280&quot;/&gt;&lt;wsp:rsid wsp:val=&quot;00E715FD&quot;/&gt;&lt;wsp:rsid wsp:val=&quot;00E7209A&quot;/&gt;&lt;wsp:rsid wsp:val=&quot;00E729D9&quot;/&gt;&lt;wsp:rsid wsp:val=&quot;00E72A30&quot;/&gt;&lt;wsp:rsid wsp:val=&quot;00E73058&quot;/&gt;&lt;wsp:rsid wsp:val=&quot;00E73441&quot;/&gt;&lt;wsp:rsid wsp:val=&quot;00E739DA&quot;/&gt;&lt;wsp:rsid wsp:val=&quot;00E73B23&quot;/&gt;&lt;wsp:rsid wsp:val=&quot;00E74126&quot;/&gt;&lt;wsp:rsid wsp:val=&quot;00E74758&quot;/&gt;&lt;wsp:rsid wsp:val=&quot;00E74783&quot;/&gt;&lt;wsp:rsid wsp:val=&quot;00E749A7&quot;/&gt;&lt;wsp:rsid wsp:val=&quot;00E74A7E&quot;/&gt;&lt;wsp:rsid wsp:val=&quot;00E74E06&quot;/&gt;&lt;wsp:rsid wsp:val=&quot;00E74E76&quot;/&gt;&lt;wsp:rsid wsp:val=&quot;00E74EB3&quot;/&gt;&lt;wsp:rsid wsp:val=&quot;00E75DB8&quot;/&gt;&lt;wsp:rsid wsp:val=&quot;00E76076&quot;/&gt;&lt;wsp:rsid wsp:val=&quot;00E761FD&quot;/&gt;&lt;wsp:rsid wsp:val=&quot;00E7646D&quot;/&gt;&lt;wsp:rsid wsp:val=&quot;00E768F5&quot;/&gt;&lt;wsp:rsid wsp:val=&quot;00E7693F&quot;/&gt;&lt;wsp:rsid wsp:val=&quot;00E76CBF&quot;/&gt;&lt;wsp:rsid wsp:val=&quot;00E7720C&quot;/&gt;&lt;wsp:rsid wsp:val=&quot;00E776AD&quot;/&gt;&lt;wsp:rsid wsp:val=&quot;00E77803&quot;/&gt;&lt;wsp:rsid wsp:val=&quot;00E77B5E&quot;/&gt;&lt;wsp:rsid wsp:val=&quot;00E77CCC&quot;/&gt;&lt;wsp:rsid wsp:val=&quot;00E77D85&quot;/&gt;&lt;wsp:rsid wsp:val=&quot;00E80267&quot;/&gt;&lt;wsp:rsid wsp:val=&quot;00E80C8A&quot;/&gt;&lt;wsp:rsid wsp:val=&quot;00E80FD1&quot;/&gt;&lt;wsp:rsid wsp:val=&quot;00E80FF8&quot;/&gt;&lt;wsp:rsid wsp:val=&quot;00E81161&quot;/&gt;&lt;wsp:rsid wsp:val=&quot;00E811C1&quot;/&gt;&lt;wsp:rsid wsp:val=&quot;00E81351&quot;/&gt;&lt;wsp:rsid wsp:val=&quot;00E814DA&quot;/&gt;&lt;wsp:rsid wsp:val=&quot;00E81676&quot;/&gt;&lt;wsp:rsid wsp:val=&quot;00E81692&quot;/&gt;&lt;wsp:rsid wsp:val=&quot;00E81AC8&quot;/&gt;&lt;wsp:rsid wsp:val=&quot;00E81C86&quot;/&gt;&lt;wsp:rsid wsp:val=&quot;00E81CC2&quot;/&gt;&lt;wsp:rsid wsp:val=&quot;00E81DFF&quot;/&gt;&lt;wsp:rsid wsp:val=&quot;00E82024&quot;/&gt;&lt;wsp:rsid wsp:val=&quot;00E8241A&quot;/&gt;&lt;wsp:rsid wsp:val=&quot;00E82BFC&quot;/&gt;&lt;wsp:rsid wsp:val=&quot;00E835F4&quot;/&gt;&lt;wsp:rsid wsp:val=&quot;00E840E7&quot;/&gt;&lt;wsp:rsid wsp:val=&quot;00E853A5&quot;/&gt;&lt;wsp:rsid wsp:val=&quot;00E85804&quot;/&gt;&lt;wsp:rsid wsp:val=&quot;00E86F64&quot;/&gt;&lt;wsp:rsid wsp:val=&quot;00E870BC&quot;/&gt;&lt;wsp:rsid wsp:val=&quot;00E8720D&quot;/&gt;&lt;wsp:rsid wsp:val=&quot;00E8735A&quot;/&gt;&lt;wsp:rsid wsp:val=&quot;00E87480&quot;/&gt;&lt;wsp:rsid wsp:val=&quot;00E87992&quot;/&gt;&lt;wsp:rsid wsp:val=&quot;00E87CC4&quot;/&gt;&lt;wsp:rsid wsp:val=&quot;00E87E71&quot;/&gt;&lt;wsp:rsid wsp:val=&quot;00E9010C&quot;/&gt;&lt;wsp:rsid wsp:val=&quot;00E90A0C&quot;/&gt;&lt;wsp:rsid wsp:val=&quot;00E915A4&quot;/&gt;&lt;wsp:rsid wsp:val=&quot;00E91B05&quot;/&gt;&lt;wsp:rsid wsp:val=&quot;00E91F28&quot;/&gt;&lt;wsp:rsid wsp:val=&quot;00E929F5&quot;/&gt;&lt;wsp:rsid wsp:val=&quot;00E93627&quot;/&gt;&lt;wsp:rsid wsp:val=&quot;00E93A9A&quot;/&gt;&lt;wsp:rsid wsp:val=&quot;00E93E5C&quot;/&gt;&lt;wsp:rsid wsp:val=&quot;00E9495F&quot;/&gt;&lt;wsp:rsid wsp:val=&quot;00E949B3&quot;/&gt;&lt;wsp:rsid wsp:val=&quot;00E94A7C&quot;/&gt;&lt;wsp:rsid wsp:val=&quot;00E94CF4&quot;/&gt;&lt;wsp:rsid wsp:val=&quot;00E94D95&quot;/&gt;&lt;wsp:rsid wsp:val=&quot;00E94E8F&quot;/&gt;&lt;wsp:rsid wsp:val=&quot;00E95055&quot;/&gt;&lt;wsp:rsid wsp:val=&quot;00E9538E&quot;/&gt;&lt;wsp:rsid wsp:val=&quot;00E95AF1&quot;/&gt;&lt;wsp:rsid wsp:val=&quot;00E96255&quot;/&gt;&lt;wsp:rsid wsp:val=&quot;00E96E64&quot;/&gt;&lt;wsp:rsid wsp:val=&quot;00E975B4&quot;/&gt;&lt;wsp:rsid wsp:val=&quot;00E97802&quot;/&gt;&lt;wsp:rsid wsp:val=&quot;00E97CED&quot;/&gt;&lt;wsp:rsid wsp:val=&quot;00E97D51&quot;/&gt;&lt;wsp:rsid wsp:val=&quot;00EA01F8&quot;/&gt;&lt;wsp:rsid wsp:val=&quot;00EA03BA&quot;/&gt;&lt;wsp:rsid wsp:val=&quot;00EA03C4&quot;/&gt;&lt;wsp:rsid wsp:val=&quot;00EA03CE&quot;/&gt;&lt;wsp:rsid wsp:val=&quot;00EA07D0&quot;/&gt;&lt;wsp:rsid wsp:val=&quot;00EA1195&quot;/&gt;&lt;wsp:rsid wsp:val=&quot;00EA1488&quot;/&gt;&lt;wsp:rsid wsp:val=&quot;00EA151F&quot;/&gt;&lt;wsp:rsid wsp:val=&quot;00EA15E3&quot;/&gt;&lt;wsp:rsid wsp:val=&quot;00EA1881&quot;/&gt;&lt;wsp:rsid wsp:val=&quot;00EA2D9E&quot;/&gt;&lt;wsp:rsid wsp:val=&quot;00EA30B9&quot;/&gt;&lt;wsp:rsid wsp:val=&quot;00EA360D&quot;/&gt;&lt;wsp:rsid wsp:val=&quot;00EA36F0&quot;/&gt;&lt;wsp:rsid wsp:val=&quot;00EA370E&quot;/&gt;&lt;wsp:rsid wsp:val=&quot;00EA392C&quot;/&gt;&lt;wsp:rsid wsp:val=&quot;00EA3960&quot;/&gt;&lt;wsp:rsid wsp:val=&quot;00EA3BFD&quot;/&gt;&lt;wsp:rsid wsp:val=&quot;00EA3F04&quot;/&gt;&lt;wsp:rsid wsp:val=&quot;00EA41FB&quot;/&gt;&lt;wsp:rsid wsp:val=&quot;00EA46AD&quot;/&gt;&lt;wsp:rsid wsp:val=&quot;00EA46DD&quot;/&gt;&lt;wsp:rsid wsp:val=&quot;00EA4E60&quot;/&gt;&lt;wsp:rsid wsp:val=&quot;00EA50E0&quot;/&gt;&lt;wsp:rsid wsp:val=&quot;00EA5726&quot;/&gt;&lt;wsp:rsid wsp:val=&quot;00EA5985&quot;/&gt;&lt;wsp:rsid wsp:val=&quot;00EA63A1&quot;/&gt;&lt;wsp:rsid wsp:val=&quot;00EA68FC&quot;/&gt;&lt;wsp:rsid wsp:val=&quot;00EA6D9E&quot;/&gt;&lt;wsp:rsid wsp:val=&quot;00EA7212&quot;/&gt;&lt;wsp:rsid wsp:val=&quot;00EA73B1&quot;/&gt;&lt;wsp:rsid wsp:val=&quot;00EA7A60&quot;/&gt;&lt;wsp:rsid wsp:val=&quot;00EA7A87&quot;/&gt;&lt;wsp:rsid wsp:val=&quot;00EB06CA&quot;/&gt;&lt;wsp:rsid wsp:val=&quot;00EB0BA9&quot;/&gt;&lt;wsp:rsid wsp:val=&quot;00EB0BCB&quot;/&gt;&lt;wsp:rsid wsp:val=&quot;00EB0E62&quot;/&gt;&lt;wsp:rsid wsp:val=&quot;00EB1159&quot;/&gt;&lt;wsp:rsid wsp:val=&quot;00EB1324&quot;/&gt;&lt;wsp:rsid wsp:val=&quot;00EB161D&quot;/&gt;&lt;wsp:rsid wsp:val=&quot;00EB1701&quot;/&gt;&lt;wsp:rsid wsp:val=&quot;00EB1726&quot;/&gt;&lt;wsp:rsid wsp:val=&quot;00EB1882&quot;/&gt;&lt;wsp:rsid wsp:val=&quot;00EB1999&quot;/&gt;&lt;wsp:rsid wsp:val=&quot;00EB1B99&quot;/&gt;&lt;wsp:rsid wsp:val=&quot;00EB1F0A&quot;/&gt;&lt;wsp:rsid wsp:val=&quot;00EB216E&quot;/&gt;&lt;wsp:rsid wsp:val=&quot;00EB2AEE&quot;/&gt;&lt;wsp:rsid wsp:val=&quot;00EB2B0C&quot;/&gt;&lt;wsp:rsid wsp:val=&quot;00EB2D59&quot;/&gt;&lt;wsp:rsid wsp:val=&quot;00EB3610&quot;/&gt;&lt;wsp:rsid wsp:val=&quot;00EB3701&quot;/&gt;&lt;wsp:rsid wsp:val=&quot;00EB3C8A&quot;/&gt;&lt;wsp:rsid wsp:val=&quot;00EB3E20&quot;/&gt;&lt;wsp:rsid wsp:val=&quot;00EB3F8F&quot;/&gt;&lt;wsp:rsid wsp:val=&quot;00EB4402&quot;/&gt;&lt;wsp:rsid wsp:val=&quot;00EB4467&quot;/&gt;&lt;wsp:rsid wsp:val=&quot;00EB45D8&quot;/&gt;&lt;wsp:rsid wsp:val=&quot;00EB4B81&quot;/&gt;&lt;wsp:rsid wsp:val=&quot;00EB4C58&quot;/&gt;&lt;wsp:rsid wsp:val=&quot;00EB4DD5&quot;/&gt;&lt;wsp:rsid wsp:val=&quot;00EB4E7D&quot;/&gt;&lt;wsp:rsid wsp:val=&quot;00EB4F69&quot;/&gt;&lt;wsp:rsid wsp:val=&quot;00EB4F6F&quot;/&gt;&lt;wsp:rsid wsp:val=&quot;00EB51EA&quot;/&gt;&lt;wsp:rsid wsp:val=&quot;00EB5514&quot;/&gt;&lt;wsp:rsid wsp:val=&quot;00EB57DD&quot;/&gt;&lt;wsp:rsid wsp:val=&quot;00EB5A5E&quot;/&gt;&lt;wsp:rsid wsp:val=&quot;00EB6162&quot;/&gt;&lt;wsp:rsid wsp:val=&quot;00EB664E&quot;/&gt;&lt;wsp:rsid wsp:val=&quot;00EB6C48&quot;/&gt;&lt;wsp:rsid wsp:val=&quot;00EB6CA0&quot;/&gt;&lt;wsp:rsid wsp:val=&quot;00EB6FC5&quot;/&gt;&lt;wsp:rsid wsp:val=&quot;00EB7394&quot;/&gt;&lt;wsp:rsid wsp:val=&quot;00EB7D64&quot;/&gt;&lt;wsp:rsid wsp:val=&quot;00EB7FAD&quot;/&gt;&lt;wsp:rsid wsp:val=&quot;00EC0276&quot;/&gt;&lt;wsp:rsid wsp:val=&quot;00EC0579&quot;/&gt;&lt;wsp:rsid wsp:val=&quot;00EC0854&quot;/&gt;&lt;wsp:rsid wsp:val=&quot;00EC0B8A&quot;/&gt;&lt;wsp:rsid wsp:val=&quot;00EC1164&quot;/&gt;&lt;wsp:rsid wsp:val=&quot;00EC1268&quot;/&gt;&lt;wsp:rsid wsp:val=&quot;00EC17FC&quot;/&gt;&lt;wsp:rsid wsp:val=&quot;00EC1B44&quot;/&gt;&lt;wsp:rsid wsp:val=&quot;00EC1EE7&quot;/&gt;&lt;wsp:rsid wsp:val=&quot;00EC26AC&quot;/&gt;&lt;wsp:rsid wsp:val=&quot;00EC2BFB&quot;/&gt;&lt;wsp:rsid wsp:val=&quot;00EC2DB3&quot;/&gt;&lt;wsp:rsid wsp:val=&quot;00EC3176&quot;/&gt;&lt;wsp:rsid wsp:val=&quot;00EC37C5&quot;/&gt;&lt;wsp:rsid wsp:val=&quot;00EC3AF2&quot;/&gt;&lt;wsp:rsid wsp:val=&quot;00EC415B&quot;/&gt;&lt;wsp:rsid wsp:val=&quot;00EC47F2&quot;/&gt;&lt;wsp:rsid wsp:val=&quot;00EC48D1&quot;/&gt;&lt;wsp:rsid wsp:val=&quot;00EC49BC&quot;/&gt;&lt;wsp:rsid wsp:val=&quot;00EC4E00&quot;/&gt;&lt;wsp:rsid wsp:val=&quot;00EC596A&quot;/&gt;&lt;wsp:rsid wsp:val=&quot;00EC5CA3&quot;/&gt;&lt;wsp:rsid wsp:val=&quot;00EC64E1&quot;/&gt;&lt;wsp:rsid wsp:val=&quot;00EC650A&quot;/&gt;&lt;wsp:rsid wsp:val=&quot;00EC6C56&quot;/&gt;&lt;wsp:rsid wsp:val=&quot;00EC75BF&quot;/&gt;&lt;wsp:rsid wsp:val=&quot;00EC7FB6&quot;/&gt;&lt;wsp:rsid wsp:val=&quot;00ED072B&quot;/&gt;&lt;wsp:rsid wsp:val=&quot;00ED076C&quot;/&gt;&lt;wsp:rsid wsp:val=&quot;00ED07B1&quot;/&gt;&lt;wsp:rsid wsp:val=&quot;00ED0BDA&quot;/&gt;&lt;wsp:rsid wsp:val=&quot;00ED151F&quot;/&gt;&lt;wsp:rsid wsp:val=&quot;00ED15BD&quot;/&gt;&lt;wsp:rsid wsp:val=&quot;00ED1C83&quot;/&gt;&lt;wsp:rsid wsp:val=&quot;00ED1D68&quot;/&gt;&lt;wsp:rsid wsp:val=&quot;00ED2711&quot;/&gt;&lt;wsp:rsid wsp:val=&quot;00ED2A66&quot;/&gt;&lt;wsp:rsid wsp:val=&quot;00ED2C62&quot;/&gt;&lt;wsp:rsid wsp:val=&quot;00ED3214&quot;/&gt;&lt;wsp:rsid wsp:val=&quot;00ED325F&quot;/&gt;&lt;wsp:rsid wsp:val=&quot;00ED3DC0&quot;/&gt;&lt;wsp:rsid wsp:val=&quot;00ED3FCA&quot;/&gt;&lt;wsp:rsid wsp:val=&quot;00ED4655&quot;/&gt;&lt;wsp:rsid wsp:val=&quot;00ED4728&quot;/&gt;&lt;wsp:rsid wsp:val=&quot;00ED47FA&quot;/&gt;&lt;wsp:rsid wsp:val=&quot;00ED5562&quot;/&gt;&lt;wsp:rsid wsp:val=&quot;00ED57A2&quot;/&gt;&lt;wsp:rsid wsp:val=&quot;00ED5E7D&quot;/&gt;&lt;wsp:rsid wsp:val=&quot;00ED6372&quot;/&gt;&lt;wsp:rsid wsp:val=&quot;00ED64DA&quot;/&gt;&lt;wsp:rsid wsp:val=&quot;00ED64F0&quot;/&gt;&lt;wsp:rsid wsp:val=&quot;00ED6669&quot;/&gt;&lt;wsp:rsid wsp:val=&quot;00ED6A8A&quot;/&gt;&lt;wsp:rsid wsp:val=&quot;00ED6B20&quot;/&gt;&lt;wsp:rsid wsp:val=&quot;00ED6D5C&quot;/&gt;&lt;wsp:rsid wsp:val=&quot;00ED6F39&quot;/&gt;&lt;wsp:rsid wsp:val=&quot;00ED7096&quot;/&gt;&lt;wsp:rsid wsp:val=&quot;00ED7414&quot;/&gt;&lt;wsp:rsid wsp:val=&quot;00ED77A1&quot;/&gt;&lt;wsp:rsid wsp:val=&quot;00ED7A7F&quot;/&gt;&lt;wsp:rsid wsp:val=&quot;00ED7BB4&quot;/&gt;&lt;wsp:rsid wsp:val=&quot;00ED7C3A&quot;/&gt;&lt;wsp:rsid wsp:val=&quot;00ED7CFC&quot;/&gt;&lt;wsp:rsid wsp:val=&quot;00EE0110&quot;/&gt;&lt;wsp:rsid wsp:val=&quot;00EE0440&quot;/&gt;&lt;wsp:rsid wsp:val=&quot;00EE0A16&quot;/&gt;&lt;wsp:rsid wsp:val=&quot;00EE0B51&quot;/&gt;&lt;wsp:rsid wsp:val=&quot;00EE10F1&quot;/&gt;&lt;wsp:rsid wsp:val=&quot;00EE13D8&quot;/&gt;&lt;wsp:rsid wsp:val=&quot;00EE156E&quot;/&gt;&lt;wsp:rsid wsp:val=&quot;00EE1946&quot;/&gt;&lt;wsp:rsid wsp:val=&quot;00EE1A5A&quot;/&gt;&lt;wsp:rsid wsp:val=&quot;00EE1B99&quot;/&gt;&lt;wsp:rsid wsp:val=&quot;00EE21E5&quot;/&gt;&lt;wsp:rsid wsp:val=&quot;00EE273A&quot;/&gt;&lt;wsp:rsid wsp:val=&quot;00EE365F&quot;/&gt;&lt;wsp:rsid wsp:val=&quot;00EE3A7A&quot;/&gt;&lt;wsp:rsid wsp:val=&quot;00EE3BAA&quot;/&gt;&lt;wsp:rsid wsp:val=&quot;00EE3BC0&quot;/&gt;&lt;wsp:rsid wsp:val=&quot;00EE3D33&quot;/&gt;&lt;wsp:rsid wsp:val=&quot;00EE40CD&quot;/&gt;&lt;wsp:rsid wsp:val=&quot;00EE419B&quot;/&gt;&lt;wsp:rsid wsp:val=&quot;00EE4770&quot;/&gt;&lt;wsp:rsid wsp:val=&quot;00EE4D08&quot;/&gt;&lt;wsp:rsid wsp:val=&quot;00EE4E0F&quot;/&gt;&lt;wsp:rsid wsp:val=&quot;00EE4EB4&quot;/&gt;&lt;wsp:rsid wsp:val=&quot;00EE5162&quot;/&gt;&lt;wsp:rsid wsp:val=&quot;00EE516F&quot;/&gt;&lt;wsp:rsid wsp:val=&quot;00EE5362&quot;/&gt;&lt;wsp:rsid wsp:val=&quot;00EE53E4&quot;/&gt;&lt;wsp:rsid wsp:val=&quot;00EE553F&quot;/&gt;&lt;wsp:rsid wsp:val=&quot;00EE55B1&quot;/&gt;&lt;wsp:rsid wsp:val=&quot;00EE5609&quot;/&gt;&lt;wsp:rsid wsp:val=&quot;00EE6A3D&quot;/&gt;&lt;wsp:rsid wsp:val=&quot;00EE6ADF&quot;/&gt;&lt;wsp:rsid wsp:val=&quot;00EE771D&quot;/&gt;&lt;wsp:rsid wsp:val=&quot;00EE7AA8&quot;/&gt;&lt;wsp:rsid wsp:val=&quot;00EE7B3A&quot;/&gt;&lt;wsp:rsid wsp:val=&quot;00EE7D23&quot;/&gt;&lt;wsp:rsid wsp:val=&quot;00EF05C7&quot;/&gt;&lt;wsp:rsid wsp:val=&quot;00EF0A33&quot;/&gt;&lt;wsp:rsid wsp:val=&quot;00EF0AF8&quot;/&gt;&lt;wsp:rsid wsp:val=&quot;00EF0E22&quot;/&gt;&lt;wsp:rsid wsp:val=&quot;00EF11D0&quot;/&gt;&lt;wsp:rsid wsp:val=&quot;00EF1380&quot;/&gt;&lt;wsp:rsid wsp:val=&quot;00EF16C7&quot;/&gt;&lt;wsp:rsid wsp:val=&quot;00EF197B&quot;/&gt;&lt;wsp:rsid wsp:val=&quot;00EF197C&quot;/&gt;&lt;wsp:rsid wsp:val=&quot;00EF1B63&quot;/&gt;&lt;wsp:rsid wsp:val=&quot;00EF1BA7&quot;/&gt;&lt;wsp:rsid wsp:val=&quot;00EF1C24&quot;/&gt;&lt;wsp:rsid wsp:val=&quot;00EF1C6A&quot;/&gt;&lt;wsp:rsid wsp:val=&quot;00EF1EB4&quot;/&gt;&lt;wsp:rsid wsp:val=&quot;00EF206B&quot;/&gt;&lt;wsp:rsid wsp:val=&quot;00EF21BB&quot;/&gt;&lt;wsp:rsid wsp:val=&quot;00EF2295&quot;/&gt;&lt;wsp:rsid wsp:val=&quot;00EF236C&quot;/&gt;&lt;wsp:rsid wsp:val=&quot;00EF3341&quot;/&gt;&lt;wsp:rsid wsp:val=&quot;00EF34FD&quot;/&gt;&lt;wsp:rsid wsp:val=&quot;00EF35A4&quot;/&gt;&lt;wsp:rsid wsp:val=&quot;00EF3C4D&quot;/&gt;&lt;wsp:rsid wsp:val=&quot;00EF438A&quot;/&gt;&lt;wsp:rsid wsp:val=&quot;00EF4480&quot;/&gt;&lt;wsp:rsid wsp:val=&quot;00EF44BA&quot;/&gt;&lt;wsp:rsid wsp:val=&quot;00EF45F0&quot;/&gt;&lt;wsp:rsid wsp:val=&quot;00EF476E&quot;/&gt;&lt;wsp:rsid wsp:val=&quot;00EF4882&quot;/&gt;&lt;wsp:rsid wsp:val=&quot;00EF4BC4&quot;/&gt;&lt;wsp:rsid wsp:val=&quot;00EF4E28&quot;/&gt;&lt;wsp:rsid wsp:val=&quot;00EF515C&quot;/&gt;&lt;wsp:rsid wsp:val=&quot;00EF535C&quot;/&gt;&lt;wsp:rsid wsp:val=&quot;00EF56B5&quot;/&gt;&lt;wsp:rsid wsp:val=&quot;00EF5C74&quot;/&gt;&lt;wsp:rsid wsp:val=&quot;00EF5EA1&quot;/&gt;&lt;wsp:rsid wsp:val=&quot;00EF6261&quot;/&gt;&lt;wsp:rsid wsp:val=&quot;00EF686C&quot;/&gt;&lt;wsp:rsid wsp:val=&quot;00EF697D&quot;/&gt;&lt;wsp:rsid wsp:val=&quot;00EF6A44&quot;/&gt;&lt;wsp:rsid wsp:val=&quot;00EF6D73&quot;/&gt;&lt;wsp:rsid wsp:val=&quot;00EF6FD9&quot;/&gt;&lt;wsp:rsid wsp:val=&quot;00EF7169&quot;/&gt;&lt;wsp:rsid wsp:val=&quot;00EF7253&quot;/&gt;&lt;wsp:rsid wsp:val=&quot;00EF72C2&quot;/&gt;&lt;wsp:rsid wsp:val=&quot;00EF796D&quot;/&gt;&lt;wsp:rsid wsp:val=&quot;00F0037B&quot;/&gt;&lt;wsp:rsid wsp:val=&quot;00F003D7&quot;/&gt;&lt;wsp:rsid wsp:val=&quot;00F00F4C&quot;/&gt;&lt;wsp:rsid wsp:val=&quot;00F01960&quot;/&gt;&lt;wsp:rsid wsp:val=&quot;00F020E2&quot;/&gt;&lt;wsp:rsid wsp:val=&quot;00F02486&quot;/&gt;&lt;wsp:rsid wsp:val=&quot;00F02A80&quot;/&gt;&lt;wsp:rsid wsp:val=&quot;00F02B57&quot;/&gt;&lt;wsp:rsid wsp:val=&quot;00F02B84&quot;/&gt;&lt;wsp:rsid wsp:val=&quot;00F02DAD&quot;/&gt;&lt;wsp:rsid wsp:val=&quot;00F02E11&quot;/&gt;&lt;wsp:rsid wsp:val=&quot;00F03684&quot;/&gt;&lt;wsp:rsid wsp:val=&quot;00F03872&quot;/&gt;&lt;wsp:rsid wsp:val=&quot;00F03875&quot;/&gt;&lt;wsp:rsid wsp:val=&quot;00F03E80&quot;/&gt;&lt;wsp:rsid wsp:val=&quot;00F04470&quot;/&gt;&lt;wsp:rsid wsp:val=&quot;00F04A95&quot;/&gt;&lt;wsp:rsid wsp:val=&quot;00F04D67&quot;/&gt;&lt;wsp:rsid wsp:val=&quot;00F05083&quot;/&gt;&lt;wsp:rsid wsp:val=&quot;00F05287&quot;/&gt;&lt;wsp:rsid wsp:val=&quot;00F0631B&quot;/&gt;&lt;wsp:rsid wsp:val=&quot;00F06BDA&quot;/&gt;&lt;wsp:rsid wsp:val=&quot;00F06C00&quot;/&gt;&lt;wsp:rsid wsp:val=&quot;00F06DCE&quot;/&gt;&lt;wsp:rsid wsp:val=&quot;00F071DA&quot;/&gt;&lt;wsp:rsid wsp:val=&quot;00F0756A&quot;/&gt;&lt;wsp:rsid wsp:val=&quot;00F07BA2&quot;/&gt;&lt;wsp:rsid wsp:val=&quot;00F07C7D&quot;/&gt;&lt;wsp:rsid wsp:val=&quot;00F07F3F&quot;/&gt;&lt;wsp:rsid wsp:val=&quot;00F10194&quot;/&gt;&lt;wsp:rsid wsp:val=&quot;00F10730&quot;/&gt;&lt;wsp:rsid wsp:val=&quot;00F10787&quot;/&gt;&lt;wsp:rsid wsp:val=&quot;00F10A0F&quot;/&gt;&lt;wsp:rsid wsp:val=&quot;00F10AEE&quot;/&gt;&lt;wsp:rsid wsp:val=&quot;00F11619&quot;/&gt;&lt;wsp:rsid wsp:val=&quot;00F11CBC&quot;/&gt;&lt;wsp:rsid wsp:val=&quot;00F123EB&quot;/&gt;&lt;wsp:rsid wsp:val=&quot;00F13253&quot;/&gt;&lt;wsp:rsid wsp:val=&quot;00F139FE&quot;/&gt;&lt;wsp:rsid wsp:val=&quot;00F13E57&quot;/&gt;&lt;wsp:rsid wsp:val=&quot;00F13F09&quot;/&gt;&lt;wsp:rsid wsp:val=&quot;00F13F1E&quot;/&gt;&lt;wsp:rsid wsp:val=&quot;00F14200&quot;/&gt;&lt;wsp:rsid wsp:val=&quot;00F14507&quot;/&gt;&lt;wsp:rsid wsp:val=&quot;00F148E1&quot;/&gt;&lt;wsp:rsid wsp:val=&quot;00F14E74&quot;/&gt;&lt;wsp:rsid wsp:val=&quot;00F1516F&quot;/&gt;&lt;wsp:rsid wsp:val=&quot;00F1526A&quot;/&gt;&lt;wsp:rsid wsp:val=&quot;00F1556E&quot;/&gt;&lt;wsp:rsid wsp:val=&quot;00F155A2&quot;/&gt;&lt;wsp:rsid wsp:val=&quot;00F1593D&quot;/&gt;&lt;wsp:rsid wsp:val=&quot;00F15A4C&quot;/&gt;&lt;wsp:rsid wsp:val=&quot;00F15AB2&quot;/&gt;&lt;wsp:rsid wsp:val=&quot;00F15B24&quot;/&gt;&lt;wsp:rsid wsp:val=&quot;00F15BB4&quot;/&gt;&lt;wsp:rsid wsp:val=&quot;00F1665E&quot;/&gt;&lt;wsp:rsid wsp:val=&quot;00F17042&quot;/&gt;&lt;wsp:rsid wsp:val=&quot;00F17072&quot;/&gt;&lt;wsp:rsid wsp:val=&quot;00F17394&quot;/&gt;&lt;wsp:rsid wsp:val=&quot;00F17BD7&quot;/&gt;&lt;wsp:rsid wsp:val=&quot;00F17F2B&quot;/&gt;&lt;wsp:rsid wsp:val=&quot;00F20220&quot;/&gt;&lt;wsp:rsid wsp:val=&quot;00F202A0&quot;/&gt;&lt;wsp:rsid wsp:val=&quot;00F20446&quot;/&gt;&lt;wsp:rsid wsp:val=&quot;00F20778&quot;/&gt;&lt;wsp:rsid wsp:val=&quot;00F21408&quot;/&gt;&lt;wsp:rsid wsp:val=&quot;00F21816&quot;/&gt;&lt;wsp:rsid wsp:val=&quot;00F22063&quot;/&gt;&lt;wsp:rsid wsp:val=&quot;00F223D7&quot;/&gt;&lt;wsp:rsid wsp:val=&quot;00F223E7&quot;/&gt;&lt;wsp:rsid wsp:val=&quot;00F22FB7&quot;/&gt;&lt;wsp:rsid wsp:val=&quot;00F23B65&quot;/&gt;&lt;wsp:rsid wsp:val=&quot;00F23B6E&quot;/&gt;&lt;wsp:rsid wsp:val=&quot;00F24036&quot;/&gt;&lt;wsp:rsid wsp:val=&quot;00F25139&quot;/&gt;&lt;wsp:rsid wsp:val=&quot;00F254F4&quot;/&gt;&lt;wsp:rsid wsp:val=&quot;00F25F28&quot;/&gt;&lt;wsp:rsid wsp:val=&quot;00F26106&quot;/&gt;&lt;wsp:rsid wsp:val=&quot;00F26346&quot;/&gt;&lt;wsp:rsid wsp:val=&quot;00F2637E&quot;/&gt;&lt;wsp:rsid wsp:val=&quot;00F26674&quot;/&gt;&lt;wsp:rsid wsp:val=&quot;00F2668C&quot;/&gt;&lt;wsp:rsid wsp:val=&quot;00F26F76&quot;/&gt;&lt;wsp:rsid wsp:val=&quot;00F2789D&quot;/&gt;&lt;wsp:rsid wsp:val=&quot;00F27D62&quot;/&gt;&lt;wsp:rsid wsp:val=&quot;00F303C9&quot;/&gt;&lt;wsp:rsid wsp:val=&quot;00F30576&quot;/&gt;&lt;wsp:rsid wsp:val=&quot;00F309F9&quot;/&gt;&lt;wsp:rsid wsp:val=&quot;00F30BAF&quot;/&gt;&lt;wsp:rsid wsp:val=&quot;00F30E2D&quot;/&gt;&lt;wsp:rsid wsp:val=&quot;00F31A24&quot;/&gt;&lt;wsp:rsid wsp:val=&quot;00F31B81&quot;/&gt;&lt;wsp:rsid wsp:val=&quot;00F32095&quot;/&gt;&lt;wsp:rsid wsp:val=&quot;00F320BE&quot;/&gt;&lt;wsp:rsid wsp:val=&quot;00F32948&quot;/&gt;&lt;wsp:rsid wsp:val=&quot;00F32B2F&quot;/&gt;&lt;wsp:rsid wsp:val=&quot;00F335C2&quot;/&gt;&lt;wsp:rsid wsp:val=&quot;00F336C4&quot;/&gt;&lt;wsp:rsid wsp:val=&quot;00F33B70&quot;/&gt;&lt;wsp:rsid wsp:val=&quot;00F33CAE&quot;/&gt;&lt;wsp:rsid wsp:val=&quot;00F342E6&quot;/&gt;&lt;wsp:rsid wsp:val=&quot;00F34580&quot;/&gt;&lt;wsp:rsid wsp:val=&quot;00F346AA&quot;/&gt;&lt;wsp:rsid wsp:val=&quot;00F346DB&quot;/&gt;&lt;wsp:rsid wsp:val=&quot;00F34813&quot;/&gt;&lt;wsp:rsid wsp:val=&quot;00F34FEB&quot;/&gt;&lt;wsp:rsid wsp:val=&quot;00F3510A&quot;/&gt;&lt;wsp:rsid wsp:val=&quot;00F35348&quot;/&gt;&lt;wsp:rsid wsp:val=&quot;00F35B4D&quot;/&gt;&lt;wsp:rsid wsp:val=&quot;00F35C19&quot;/&gt;&lt;wsp:rsid wsp:val=&quot;00F35D1C&quot;/&gt;&lt;wsp:rsid wsp:val=&quot;00F35DC7&quot;/&gt;&lt;wsp:rsid wsp:val=&quot;00F3609C&quot;/&gt;&lt;wsp:rsid wsp:val=&quot;00F3699D&quot;/&gt;&lt;wsp:rsid wsp:val=&quot;00F374BC&quot;/&gt;&lt;wsp:rsid wsp:val=&quot;00F37772&quot;/&gt;&lt;wsp:rsid wsp:val=&quot;00F377DB&quot;/&gt;&lt;wsp:rsid wsp:val=&quot;00F37D88&quot;/&gt;&lt;wsp:rsid wsp:val=&quot;00F37DF8&quot;/&gt;&lt;wsp:rsid wsp:val=&quot;00F37F17&quot;/&gt;&lt;wsp:rsid wsp:val=&quot;00F37FC5&quot;/&gt;&lt;wsp:rsid wsp:val=&quot;00F4000B&quot;/&gt;&lt;wsp:rsid wsp:val=&quot;00F40372&quot;/&gt;&lt;wsp:rsid wsp:val=&quot;00F4077A&quot;/&gt;&lt;wsp:rsid wsp:val=&quot;00F407C4&quot;/&gt;&lt;wsp:rsid wsp:val=&quot;00F40A9C&quot;/&gt;&lt;wsp:rsid wsp:val=&quot;00F40ACD&quot;/&gt;&lt;wsp:rsid wsp:val=&quot;00F40B91&quot;/&gt;&lt;wsp:rsid wsp:val=&quot;00F40BA3&quot;/&gt;&lt;wsp:rsid wsp:val=&quot;00F40F9D&quot;/&gt;&lt;wsp:rsid wsp:val=&quot;00F4133F&quot;/&gt;&lt;wsp:rsid wsp:val=&quot;00F416D8&quot;/&gt;&lt;wsp:rsid wsp:val=&quot;00F416E7&quot;/&gt;&lt;wsp:rsid wsp:val=&quot;00F41CE8&quot;/&gt;&lt;wsp:rsid wsp:val=&quot;00F41DEF&quot;/&gt;&lt;wsp:rsid wsp:val=&quot;00F41E1D&quot;/&gt;&lt;wsp:rsid wsp:val=&quot;00F41F74&quot;/&gt;&lt;wsp:rsid wsp:val=&quot;00F42079&quot;/&gt;&lt;wsp:rsid wsp:val=&quot;00F4208F&quot;/&gt;&lt;wsp:rsid wsp:val=&quot;00F4212D&quot;/&gt;&lt;wsp:rsid wsp:val=&quot;00F422C2&quot;/&gt;&lt;wsp:rsid wsp:val=&quot;00F426C5&quot;/&gt;&lt;wsp:rsid wsp:val=&quot;00F429EE&quot;/&gt;&lt;wsp:rsid wsp:val=&quot;00F42C02&quot;/&gt;&lt;wsp:rsid wsp:val=&quot;00F42FA0&quot;/&gt;&lt;wsp:rsid wsp:val=&quot;00F43556&quot;/&gt;&lt;wsp:rsid wsp:val=&quot;00F44906&quot;/&gt;&lt;wsp:rsid wsp:val=&quot;00F45456&quot;/&gt;&lt;wsp:rsid wsp:val=&quot;00F45493&quot;/&gt;&lt;wsp:rsid wsp:val=&quot;00F454E5&quot;/&gt;&lt;wsp:rsid wsp:val=&quot;00F45BC6&quot;/&gt;&lt;wsp:rsid wsp:val=&quot;00F45C38&quot;/&gt;&lt;wsp:rsid wsp:val=&quot;00F45C9A&quot;/&gt;&lt;wsp:rsid wsp:val=&quot;00F45EE3&quot;/&gt;&lt;wsp:rsid wsp:val=&quot;00F45F40&quot;/&gt;&lt;wsp:rsid wsp:val=&quot;00F460AF&quot;/&gt;&lt;wsp:rsid wsp:val=&quot;00F4670E&quot;/&gt;&lt;wsp:rsid wsp:val=&quot;00F46A75&quot;/&gt;&lt;wsp:rsid wsp:val=&quot;00F473CB&quot;/&gt;&lt;wsp:rsid wsp:val=&quot;00F47400&quot;/&gt;&lt;wsp:rsid wsp:val=&quot;00F4781A&quot;/&gt;&lt;wsp:rsid wsp:val=&quot;00F47A30&quot;/&gt;&lt;wsp:rsid wsp:val=&quot;00F47AA6&quot;/&gt;&lt;wsp:rsid wsp:val=&quot;00F47D1F&quot;/&gt;&lt;wsp:rsid wsp:val=&quot;00F47DA3&quot;/&gt;&lt;wsp:rsid wsp:val=&quot;00F50167&quot;/&gt;&lt;wsp:rsid wsp:val=&quot;00F501D1&quot;/&gt;&lt;wsp:rsid wsp:val=&quot;00F5025E&quot;/&gt;&lt;wsp:rsid wsp:val=&quot;00F505D2&quot;/&gt;&lt;wsp:rsid wsp:val=&quot;00F50812&quot;/&gt;&lt;wsp:rsid wsp:val=&quot;00F50E51&quot;/&gt;&lt;wsp:rsid wsp:val=&quot;00F514DB&quot;/&gt;&lt;wsp:rsid wsp:val=&quot;00F51CD3&quot;/&gt;&lt;wsp:rsid wsp:val=&quot;00F523C8&quot;/&gt;&lt;wsp:rsid wsp:val=&quot;00F529B8&quot;/&gt;&lt;wsp:rsid wsp:val=&quot;00F52BB4&quot;/&gt;&lt;wsp:rsid wsp:val=&quot;00F52C24&quot;/&gt;&lt;wsp:rsid wsp:val=&quot;00F53182&quot;/&gt;&lt;wsp:rsid wsp:val=&quot;00F53501&quot;/&gt;&lt;wsp:rsid wsp:val=&quot;00F53849&quot;/&gt;&lt;wsp:rsid wsp:val=&quot;00F53B6B&quot;/&gt;&lt;wsp:rsid wsp:val=&quot;00F53CE1&quot;/&gt;&lt;wsp:rsid wsp:val=&quot;00F53F02&quot;/&gt;&lt;wsp:rsid wsp:val=&quot;00F53FA9&quot;/&gt;&lt;wsp:rsid wsp:val=&quot;00F54336&quot;/&gt;&lt;wsp:rsid wsp:val=&quot;00F54342&quot;/&gt;&lt;wsp:rsid wsp:val=&quot;00F549BE&quot;/&gt;&lt;wsp:rsid wsp:val=&quot;00F55594&quot;/&gt;&lt;wsp:rsid wsp:val=&quot;00F55723&quot;/&gt;&lt;wsp:rsid wsp:val=&quot;00F557C8&quot;/&gt;&lt;wsp:rsid wsp:val=&quot;00F56032&quot;/&gt;&lt;wsp:rsid wsp:val=&quot;00F572A2&quot;/&gt;&lt;wsp:rsid wsp:val=&quot;00F57448&quot;/&gt;&lt;wsp:rsid wsp:val=&quot;00F57A50&quot;/&gt;&lt;wsp:rsid wsp:val=&quot;00F57D45&quot;/&gt;&lt;wsp:rsid wsp:val=&quot;00F61675&quot;/&gt;&lt;wsp:rsid wsp:val=&quot;00F61740&quot;/&gt;&lt;wsp:rsid wsp:val=&quot;00F61969&quot;/&gt;&lt;wsp:rsid wsp:val=&quot;00F61A11&quot;/&gt;&lt;wsp:rsid wsp:val=&quot;00F61C34&quot;/&gt;&lt;wsp:rsid wsp:val=&quot;00F61CE3&quot;/&gt;&lt;wsp:rsid wsp:val=&quot;00F625DF&quot;/&gt;&lt;wsp:rsid wsp:val=&quot;00F6301A&quot;/&gt;&lt;wsp:rsid wsp:val=&quot;00F6321A&quot;/&gt;&lt;wsp:rsid wsp:val=&quot;00F63497&quot;/&gt;&lt;wsp:rsid wsp:val=&quot;00F640A4&quot;/&gt;&lt;wsp:rsid wsp:val=&quot;00F64355&quot;/&gt;&lt;wsp:rsid wsp:val=&quot;00F64B31&quot;/&gt;&lt;wsp:rsid wsp:val=&quot;00F64EC0&quot;/&gt;&lt;wsp:rsid wsp:val=&quot;00F65161&quot;/&gt;&lt;wsp:rsid wsp:val=&quot;00F652EE&quot;/&gt;&lt;wsp:rsid wsp:val=&quot;00F66636&quot;/&gt;&lt;wsp:rsid wsp:val=&quot;00F667AC&quot;/&gt;&lt;wsp:rsid wsp:val=&quot;00F66AD3&quot;/&gt;&lt;wsp:rsid wsp:val=&quot;00F66D4C&quot;/&gt;&lt;wsp:rsid wsp:val=&quot;00F67358&quot;/&gt;&lt;wsp:rsid wsp:val=&quot;00F677F2&quot;/&gt;&lt;wsp:rsid wsp:val=&quot;00F67EFC&quot;/&gt;&lt;wsp:rsid wsp:val=&quot;00F70029&quot;/&gt;&lt;wsp:rsid wsp:val=&quot;00F7009C&quot;/&gt;&lt;wsp:rsid wsp:val=&quot;00F70499&quot;/&gt;&lt;wsp:rsid wsp:val=&quot;00F70628&quot;/&gt;&lt;wsp:rsid wsp:val=&quot;00F707E7&quot;/&gt;&lt;wsp:rsid wsp:val=&quot;00F7091A&quot;/&gt;&lt;wsp:rsid wsp:val=&quot;00F7110E&quot;/&gt;&lt;wsp:rsid wsp:val=&quot;00F71212&quot;/&gt;&lt;wsp:rsid wsp:val=&quot;00F712B8&quot;/&gt;&lt;wsp:rsid wsp:val=&quot;00F713AA&quot;/&gt;&lt;wsp:rsid wsp:val=&quot;00F71B4F&quot;/&gt;&lt;wsp:rsid wsp:val=&quot;00F72006&quot;/&gt;&lt;wsp:rsid wsp:val=&quot;00F720F9&quot;/&gt;&lt;wsp:rsid wsp:val=&quot;00F721D3&quot;/&gt;&lt;wsp:rsid wsp:val=&quot;00F72267&quot;/&gt;&lt;wsp:rsid wsp:val=&quot;00F72634&quot;/&gt;&lt;wsp:rsid wsp:val=&quot;00F727FA&quot;/&gt;&lt;wsp:rsid wsp:val=&quot;00F7283C&quot;/&gt;&lt;wsp:rsid wsp:val=&quot;00F72907&quot;/&gt;&lt;wsp:rsid wsp:val=&quot;00F72BF6&quot;/&gt;&lt;wsp:rsid wsp:val=&quot;00F739DD&quot;/&gt;&lt;wsp:rsid wsp:val=&quot;00F73B47&quot;/&gt;&lt;wsp:rsid wsp:val=&quot;00F74403&quot;/&gt;&lt;wsp:rsid wsp:val=&quot;00F74902&quot;/&gt;&lt;wsp:rsid wsp:val=&quot;00F74CC9&quot;/&gt;&lt;wsp:rsid wsp:val=&quot;00F74E6C&quot;/&gt;&lt;wsp:rsid wsp:val=&quot;00F75056&quot;/&gt;&lt;wsp:rsid wsp:val=&quot;00F759F0&quot;/&gt;&lt;wsp:rsid wsp:val=&quot;00F75A73&quot;/&gt;&lt;wsp:rsid wsp:val=&quot;00F75AFE&quot;/&gt;&lt;wsp:rsid wsp:val=&quot;00F7676D&quot;/&gt;&lt;wsp:rsid wsp:val=&quot;00F76824&quot;/&gt;&lt;wsp:rsid wsp:val=&quot;00F76868&quot;/&gt;&lt;wsp:rsid wsp:val=&quot;00F773CA&quot;/&gt;&lt;wsp:rsid wsp:val=&quot;00F7790D&quot;/&gt;&lt;wsp:rsid wsp:val=&quot;00F77A22&quot;/&gt;&lt;wsp:rsid wsp:val=&quot;00F77F2E&quot;/&gt;&lt;wsp:rsid wsp:val=&quot;00F802CD&quot;/&gt;&lt;wsp:rsid wsp:val=&quot;00F805C1&quot;/&gt;&lt;wsp:rsid wsp:val=&quot;00F80932&quot;/&gt;&lt;wsp:rsid wsp:val=&quot;00F80A16&quot;/&gt;&lt;wsp:rsid wsp:val=&quot;00F8152F&quot;/&gt;&lt;wsp:rsid wsp:val=&quot;00F817DD&quot;/&gt;&lt;wsp:rsid wsp:val=&quot;00F8198D&quot;/&gt;&lt;wsp:rsid wsp:val=&quot;00F819EB&quot;/&gt;&lt;wsp:rsid wsp:val=&quot;00F81A56&quot;/&gt;&lt;wsp:rsid wsp:val=&quot;00F81A78&quot;/&gt;&lt;wsp:rsid wsp:val=&quot;00F81BC6&quot;/&gt;&lt;wsp:rsid wsp:val=&quot;00F8218D&quot;/&gt;&lt;wsp:rsid wsp:val=&quot;00F827A8&quot;/&gt;&lt;wsp:rsid wsp:val=&quot;00F82829&quot;/&gt;&lt;wsp:rsid wsp:val=&quot;00F82FD3&quot;/&gt;&lt;wsp:rsid wsp:val=&quot;00F830AE&quot;/&gt;&lt;wsp:rsid wsp:val=&quot;00F83604&quot;/&gt;&lt;wsp:rsid wsp:val=&quot;00F83B78&quot;/&gt;&lt;wsp:rsid wsp:val=&quot;00F83B94&quot;/&gt;&lt;wsp:rsid wsp:val=&quot;00F83EC0&quot;/&gt;&lt;wsp:rsid wsp:val=&quot;00F83FC7&quot;/&gt;&lt;wsp:rsid wsp:val=&quot;00F84101&quot;/&gt;&lt;wsp:rsid wsp:val=&quot;00F843FC&quot;/&gt;&lt;wsp:rsid wsp:val=&quot;00F8480C&quot;/&gt;&lt;wsp:rsid wsp:val=&quot;00F85019&quot;/&gt;&lt;wsp:rsid wsp:val=&quot;00F85825&quot;/&gt;&lt;wsp:rsid wsp:val=&quot;00F858CC&quot;/&gt;&lt;wsp:rsid wsp:val=&quot;00F85C09&quot;/&gt;&lt;wsp:rsid wsp:val=&quot;00F85C8B&quot;/&gt;&lt;wsp:rsid wsp:val=&quot;00F85CCB&quot;/&gt;&lt;wsp:rsid wsp:val=&quot;00F85E19&quot;/&gt;&lt;wsp:rsid wsp:val=&quot;00F86235&quot;/&gt;&lt;wsp:rsid wsp:val=&quot;00F86316&quot;/&gt;&lt;wsp:rsid wsp:val=&quot;00F867FA&quot;/&gt;&lt;wsp:rsid wsp:val=&quot;00F868A6&quot;/&gt;&lt;wsp:rsid wsp:val=&quot;00F86C4A&quot;/&gt;&lt;wsp:rsid wsp:val=&quot;00F86C6C&quot;/&gt;&lt;wsp:rsid wsp:val=&quot;00F86E4B&quot;/&gt;&lt;wsp:rsid wsp:val=&quot;00F87000&quot;/&gt;&lt;wsp:rsid wsp:val=&quot;00F8740D&quot;/&gt;&lt;wsp:rsid wsp:val=&quot;00F878F9&quot;/&gt;&lt;wsp:rsid wsp:val=&quot;00F8792A&quot;/&gt;&lt;wsp:rsid wsp:val=&quot;00F9020E&quot;/&gt;&lt;wsp:rsid wsp:val=&quot;00F902B1&quot;/&gt;&lt;wsp:rsid wsp:val=&quot;00F9041B&quot;/&gt;&lt;wsp:rsid wsp:val=&quot;00F91103&quot;/&gt;&lt;wsp:rsid wsp:val=&quot;00F91187&quot;/&gt;&lt;wsp:rsid wsp:val=&quot;00F913CD&quot;/&gt;&lt;wsp:rsid wsp:val=&quot;00F91A4D&quot;/&gt;&lt;wsp:rsid wsp:val=&quot;00F91AFB&quot;/&gt;&lt;wsp:rsid wsp:val=&quot;00F92242&quot;/&gt;&lt;wsp:rsid wsp:val=&quot;00F925CC&quot;/&gt;&lt;wsp:rsid wsp:val=&quot;00F927FF&quot;/&gt;&lt;wsp:rsid wsp:val=&quot;00F92907&quot;/&gt;&lt;wsp:rsid wsp:val=&quot;00F92A5B&quot;/&gt;&lt;wsp:rsid wsp:val=&quot;00F92B9B&quot;/&gt;&lt;wsp:rsid wsp:val=&quot;00F92C41&quot;/&gt;&lt;wsp:rsid wsp:val=&quot;00F934A9&quot;/&gt;&lt;wsp:rsid wsp:val=&quot;00F936B4&quot;/&gt;&lt;wsp:rsid wsp:val=&quot;00F93D13&quot;/&gt;&lt;wsp:rsid wsp:val=&quot;00F93D80&quot;/&gt;&lt;wsp:rsid wsp:val=&quot;00F93FFA&quot;/&gt;&lt;wsp:rsid wsp:val=&quot;00F94072&quot;/&gt;&lt;wsp:rsid wsp:val=&quot;00F94457&quot;/&gt;&lt;wsp:rsid wsp:val=&quot;00F94C36&quot;/&gt;&lt;wsp:rsid wsp:val=&quot;00F95C72&quot;/&gt;&lt;wsp:rsid wsp:val=&quot;00F96214&quot;/&gt;&lt;wsp:rsid wsp:val=&quot;00F9636D&quot;/&gt;&lt;wsp:rsid wsp:val=&quot;00F9670D&quot;/&gt;&lt;wsp:rsid wsp:val=&quot;00F96D93&quot;/&gt;&lt;wsp:rsid wsp:val=&quot;00F96DF6&quot;/&gt;&lt;wsp:rsid wsp:val=&quot;00F96F8A&quot;/&gt;&lt;wsp:rsid wsp:val=&quot;00F97255&quot;/&gt;&lt;wsp:rsid wsp:val=&quot;00F973CF&quot;/&gt;&lt;wsp:rsid wsp:val=&quot;00F976E2&quot;/&gt;&lt;wsp:rsid wsp:val=&quot;00F97767&quot;/&gt;&lt;wsp:rsid wsp:val=&quot;00F977C4&quot;/&gt;&lt;wsp:rsid wsp:val=&quot;00F97A09&quot;/&gt;&lt;wsp:rsid wsp:val=&quot;00F97B91&quot;/&gt;&lt;wsp:rsid wsp:val=&quot;00F97E13&quot;/&gt;&lt;wsp:rsid wsp:val=&quot;00FA09DF&quot;/&gt;&lt;wsp:rsid wsp:val=&quot;00FA0BFE&quot;/&gt;&lt;wsp:rsid wsp:val=&quot;00FA0D30&quot;/&gt;&lt;wsp:rsid wsp:val=&quot;00FA0D33&quot;/&gt;&lt;wsp:rsid wsp:val=&quot;00FA1027&quot;/&gt;&lt;wsp:rsid wsp:val=&quot;00FA1097&quot;/&gt;&lt;wsp:rsid wsp:val=&quot;00FA129B&quot;/&gt;&lt;wsp:rsid wsp:val=&quot;00FA1824&quot;/&gt;&lt;wsp:rsid wsp:val=&quot;00FA24A5&quot;/&gt;&lt;wsp:rsid wsp:val=&quot;00FA24C1&quot;/&gt;&lt;wsp:rsid wsp:val=&quot;00FA2E4E&quot;/&gt;&lt;wsp:rsid wsp:val=&quot;00FA3040&quot;/&gt;&lt;wsp:rsid wsp:val=&quot;00FA393B&quot;/&gt;&lt;wsp:rsid wsp:val=&quot;00FA3948&quot;/&gt;&lt;wsp:rsid wsp:val=&quot;00FA3A73&quot;/&gt;&lt;wsp:rsid wsp:val=&quot;00FA3D64&quot;/&gt;&lt;wsp:rsid wsp:val=&quot;00FA3E7D&quot;/&gt;&lt;wsp:rsid wsp:val=&quot;00FA3FC7&quot;/&gt;&lt;wsp:rsid wsp:val=&quot;00FA4763&quot;/&gt;&lt;wsp:rsid wsp:val=&quot;00FA4A38&quot;/&gt;&lt;wsp:rsid wsp:val=&quot;00FA5456&quot;/&gt;&lt;wsp:rsid wsp:val=&quot;00FA580D&quot;/&gt;&lt;wsp:rsid wsp:val=&quot;00FA5A52&quot;/&gt;&lt;wsp:rsid wsp:val=&quot;00FA5ADB&quot;/&gt;&lt;wsp:rsid wsp:val=&quot;00FA5B73&quot;/&gt;&lt;wsp:rsid wsp:val=&quot;00FA5DE0&quot;/&gt;&lt;wsp:rsid wsp:val=&quot;00FA623F&quot;/&gt;&lt;wsp:rsid wsp:val=&quot;00FA654C&quot;/&gt;&lt;wsp:rsid wsp:val=&quot;00FA691C&quot;/&gt;&lt;wsp:rsid wsp:val=&quot;00FA6ACA&quot;/&gt;&lt;wsp:rsid wsp:val=&quot;00FA6B06&quot;/&gt;&lt;wsp:rsid wsp:val=&quot;00FA6BA1&quot;/&gt;&lt;wsp:rsid wsp:val=&quot;00FA6D7F&quot;/&gt;&lt;wsp:rsid wsp:val=&quot;00FA6E26&quot;/&gt;&lt;wsp:rsid wsp:val=&quot;00FA7125&quot;/&gt;&lt;wsp:rsid wsp:val=&quot;00FA71A3&quot;/&gt;&lt;wsp:rsid wsp:val=&quot;00FA727B&quot;/&gt;&lt;wsp:rsid wsp:val=&quot;00FA74E1&quot;/&gt;&lt;wsp:rsid wsp:val=&quot;00FA7CA9&quot;/&gt;&lt;wsp:rsid wsp:val=&quot;00FA7D23&quot;/&gt;&lt;wsp:rsid wsp:val=&quot;00FA7E1F&quot;/&gt;&lt;wsp:rsid wsp:val=&quot;00FB079F&quot;/&gt;&lt;wsp:rsid wsp:val=&quot;00FB0F85&quot;/&gt;&lt;wsp:rsid wsp:val=&quot;00FB1031&quot;/&gt;&lt;wsp:rsid wsp:val=&quot;00FB1384&quot;/&gt;&lt;wsp:rsid wsp:val=&quot;00FB1600&quot;/&gt;&lt;wsp:rsid wsp:val=&quot;00FB16AB&quot;/&gt;&lt;wsp:rsid wsp:val=&quot;00FB1AD8&quot;/&gt;&lt;wsp:rsid wsp:val=&quot;00FB1E85&quot;/&gt;&lt;wsp:rsid wsp:val=&quot;00FB1F88&quot;/&gt;&lt;wsp:rsid wsp:val=&quot;00FB21BA&quot;/&gt;&lt;wsp:rsid wsp:val=&quot;00FB221D&quot;/&gt;&lt;wsp:rsid wsp:val=&quot;00FB25B0&quot;/&gt;&lt;wsp:rsid wsp:val=&quot;00FB2AC8&quot;/&gt;&lt;wsp:rsid wsp:val=&quot;00FB2EBD&quot;/&gt;&lt;wsp:rsid wsp:val=&quot;00FB30CD&quot;/&gt;&lt;wsp:rsid wsp:val=&quot;00FB31FF&quot;/&gt;&lt;wsp:rsid wsp:val=&quot;00FB359E&quot;/&gt;&lt;wsp:rsid wsp:val=&quot;00FB35A4&quot;/&gt;&lt;wsp:rsid wsp:val=&quot;00FB36F3&quot;/&gt;&lt;wsp:rsid wsp:val=&quot;00FB37B0&quot;/&gt;&lt;wsp:rsid wsp:val=&quot;00FB392C&quot;/&gt;&lt;wsp:rsid wsp:val=&quot;00FB3A09&quot;/&gt;&lt;wsp:rsid wsp:val=&quot;00FB3D10&quot;/&gt;&lt;wsp:rsid wsp:val=&quot;00FB3E79&quot;/&gt;&lt;wsp:rsid wsp:val=&quot;00FB3E91&quot;/&gt;&lt;wsp:rsid wsp:val=&quot;00FB3EC4&quot;/&gt;&lt;wsp:rsid wsp:val=&quot;00FB43E1&quot;/&gt;&lt;wsp:rsid wsp:val=&quot;00FB463F&quot;/&gt;&lt;wsp:rsid wsp:val=&quot;00FB4B73&quot;/&gt;&lt;wsp:rsid wsp:val=&quot;00FB4C47&quot;/&gt;&lt;wsp:rsid wsp:val=&quot;00FB574C&quot;/&gt;&lt;wsp:rsid wsp:val=&quot;00FB5B59&quot;/&gt;&lt;wsp:rsid wsp:val=&quot;00FB606F&quot;/&gt;&lt;wsp:rsid wsp:val=&quot;00FB6A7B&quot;/&gt;&lt;wsp:rsid wsp:val=&quot;00FB6D7A&quot;/&gt;&lt;wsp:rsid wsp:val=&quot;00FB6E80&quot;/&gt;&lt;wsp:rsid wsp:val=&quot;00FB72C5&quot;/&gt;&lt;wsp:rsid wsp:val=&quot;00FB748B&quot;/&gt;&lt;wsp:rsid wsp:val=&quot;00FB74EE&quot;/&gt;&lt;wsp:rsid wsp:val=&quot;00FB7A76&quot;/&gt;&lt;wsp:rsid wsp:val=&quot;00FB7B50&quot;/&gt;&lt;wsp:rsid wsp:val=&quot;00FB7C63&quot;/&gt;&lt;wsp:rsid wsp:val=&quot;00FC018C&quot;/&gt;&lt;wsp:rsid wsp:val=&quot;00FC0697&quot;/&gt;&lt;wsp:rsid wsp:val=&quot;00FC06B9&quot;/&gt;&lt;wsp:rsid wsp:val=&quot;00FC1111&quot;/&gt;&lt;wsp:rsid wsp:val=&quot;00FC1407&quot;/&gt;&lt;wsp:rsid wsp:val=&quot;00FC142C&quot;/&gt;&lt;wsp:rsid wsp:val=&quot;00FC15DD&quot;/&gt;&lt;wsp:rsid wsp:val=&quot;00FC163E&quot;/&gt;&lt;wsp:rsid wsp:val=&quot;00FC2540&quot;/&gt;&lt;wsp:rsid wsp:val=&quot;00FC2949&quot;/&gt;&lt;wsp:rsid wsp:val=&quot;00FC2D8F&quot;/&gt;&lt;wsp:rsid wsp:val=&quot;00FC2EDF&quot;/&gt;&lt;wsp:rsid wsp:val=&quot;00FC2F4E&quot;/&gt;&lt;wsp:rsid wsp:val=&quot;00FC32A6&quot;/&gt;&lt;wsp:rsid wsp:val=&quot;00FC3901&quot;/&gt;&lt;wsp:rsid wsp:val=&quot;00FC3E58&quot;/&gt;&lt;wsp:rsid wsp:val=&quot;00FC3EE6&quot;/&gt;&lt;wsp:rsid wsp:val=&quot;00FC42BF&quot;/&gt;&lt;wsp:rsid wsp:val=&quot;00FC43ED&quot;/&gt;&lt;wsp:rsid wsp:val=&quot;00FC46A4&quot;/&gt;&lt;wsp:rsid wsp:val=&quot;00FC4801&quot;/&gt;&lt;wsp:rsid wsp:val=&quot;00FC51FA&quot;/&gt;&lt;wsp:rsid wsp:val=&quot;00FC5211&quot;/&gt;&lt;wsp:rsid wsp:val=&quot;00FC57AC&quot;/&gt;&lt;wsp:rsid wsp:val=&quot;00FC5823&quot;/&gt;&lt;wsp:rsid wsp:val=&quot;00FC5896&quot;/&gt;&lt;wsp:rsid wsp:val=&quot;00FC62A7&quot;/&gt;&lt;wsp:rsid wsp:val=&quot;00FC64D5&quot;/&gt;&lt;wsp:rsid wsp:val=&quot;00FC661C&quot;/&gt;&lt;wsp:rsid wsp:val=&quot;00FC68CE&quot;/&gt;&lt;wsp:rsid wsp:val=&quot;00FC69BE&quot;/&gt;&lt;wsp:rsid wsp:val=&quot;00FC6FC3&quot;/&gt;&lt;wsp:rsid wsp:val=&quot;00FC782B&quot;/&gt;&lt;wsp:rsid wsp:val=&quot;00FC7863&quot;/&gt;&lt;wsp:rsid wsp:val=&quot;00FC7992&quot;/&gt;&lt;wsp:rsid wsp:val=&quot;00FD0470&quot;/&gt;&lt;wsp:rsid wsp:val=&quot;00FD093F&quot;/&gt;&lt;wsp:rsid wsp:val=&quot;00FD0C01&quot;/&gt;&lt;wsp:rsid wsp:val=&quot;00FD0F29&quot;/&gt;&lt;wsp:rsid wsp:val=&quot;00FD14AB&quot;/&gt;&lt;wsp:rsid wsp:val=&quot;00FD1817&quot;/&gt;&lt;wsp:rsid wsp:val=&quot;00FD19F1&quot;/&gt;&lt;wsp:rsid wsp:val=&quot;00FD1D86&quot;/&gt;&lt;wsp:rsid wsp:val=&quot;00FD20D1&quot;/&gt;&lt;wsp:rsid wsp:val=&quot;00FD2154&quot;/&gt;&lt;wsp:rsid wsp:val=&quot;00FD2243&quot;/&gt;&lt;wsp:rsid wsp:val=&quot;00FD24DB&quot;/&gt;&lt;wsp:rsid wsp:val=&quot;00FD27A0&quot;/&gt;&lt;wsp:rsid wsp:val=&quot;00FD2CC3&quot;/&gt;&lt;wsp:rsid wsp:val=&quot;00FD2D7F&quot;/&gt;&lt;wsp:rsid wsp:val=&quot;00FD2D85&quot;/&gt;&lt;wsp:rsid wsp:val=&quot;00FD3094&quot;/&gt;&lt;wsp:rsid wsp:val=&quot;00FD3290&quot;/&gt;&lt;wsp:rsid wsp:val=&quot;00FD3607&quot;/&gt;&lt;wsp:rsid wsp:val=&quot;00FD3B8A&quot;/&gt;&lt;wsp:rsid wsp:val=&quot;00FD3EC6&quot;/&gt;&lt;wsp:rsid wsp:val=&quot;00FD40B4&quot;/&gt;&lt;wsp:rsid wsp:val=&quot;00FD40CE&quot;/&gt;&lt;wsp:rsid wsp:val=&quot;00FD4405&quot;/&gt;&lt;wsp:rsid wsp:val=&quot;00FD488F&quot;/&gt;&lt;wsp:rsid wsp:val=&quot;00FD4A0F&quot;/&gt;&lt;wsp:rsid wsp:val=&quot;00FD4C2A&quot;/&gt;&lt;wsp:rsid wsp:val=&quot;00FD4E3D&quot;/&gt;&lt;wsp:rsid wsp:val=&quot;00FD4E6E&quot;/&gt;&lt;wsp:rsid wsp:val=&quot;00FD50E8&quot;/&gt;&lt;wsp:rsid wsp:val=&quot;00FD51A0&quot;/&gt;&lt;wsp:rsid wsp:val=&quot;00FD562F&quot;/&gt;&lt;wsp:rsid wsp:val=&quot;00FD5E24&quot;/&gt;&lt;wsp:rsid wsp:val=&quot;00FD62AF&quot;/&gt;&lt;wsp:rsid wsp:val=&quot;00FD64F3&quot;/&gt;&lt;wsp:rsid wsp:val=&quot;00FD65C5&quot;/&gt;&lt;wsp:rsid wsp:val=&quot;00FD683A&quot;/&gt;&lt;wsp:rsid wsp:val=&quot;00FD6BE8&quot;/&gt;&lt;wsp:rsid wsp:val=&quot;00FD7629&quot;/&gt;&lt;wsp:rsid wsp:val=&quot;00FD76B5&quot;/&gt;&lt;wsp:rsid wsp:val=&quot;00FD7C3B&quot;/&gt;&lt;wsp:rsid wsp:val=&quot;00FE0087&quot;/&gt;&lt;wsp:rsid wsp:val=&quot;00FE0516&quot;/&gt;&lt;wsp:rsid wsp:val=&quot;00FE0764&quot;/&gt;&lt;wsp:rsid wsp:val=&quot;00FE099B&quot;/&gt;&lt;wsp:rsid wsp:val=&quot;00FE0A4A&quot;/&gt;&lt;wsp:rsid wsp:val=&quot;00FE0BDE&quot;/&gt;&lt;wsp:rsid wsp:val=&quot;00FE171B&quot;/&gt;&lt;wsp:rsid wsp:val=&quot;00FE1BB7&quot;/&gt;&lt;wsp:rsid wsp:val=&quot;00FE2302&quot;/&gt;&lt;wsp:rsid wsp:val=&quot;00FE2364&quot;/&gt;&lt;wsp:rsid wsp:val=&quot;00FE2429&quot;/&gt;&lt;wsp:rsid wsp:val=&quot;00FE2BED&quot;/&gt;&lt;wsp:rsid wsp:val=&quot;00FE2E49&quot;/&gt;&lt;wsp:rsid wsp:val=&quot;00FE3143&quot;/&gt;&lt;wsp:rsid wsp:val=&quot;00FE33A0&quot;/&gt;&lt;wsp:rsid wsp:val=&quot;00FE35C9&quot;/&gt;&lt;wsp:rsid wsp:val=&quot;00FE3743&quot;/&gt;&lt;wsp:rsid wsp:val=&quot;00FE4272&quot;/&gt;&lt;wsp:rsid wsp:val=&quot;00FE4426&quot;/&gt;&lt;wsp:rsid wsp:val=&quot;00FE47D7&quot;/&gt;&lt;wsp:rsid wsp:val=&quot;00FE50A6&quot;/&gt;&lt;wsp:rsid wsp:val=&quot;00FE5677&quot;/&gt;&lt;wsp:rsid wsp:val=&quot;00FE56EE&quot;/&gt;&lt;wsp:rsid wsp:val=&quot;00FE5735&quot;/&gt;&lt;wsp:rsid wsp:val=&quot;00FE5CD3&quot;/&gt;&lt;wsp:rsid wsp:val=&quot;00FE5EE5&quot;/&gt;&lt;wsp:rsid wsp:val=&quot;00FE644B&quot;/&gt;&lt;wsp:rsid wsp:val=&quot;00FE64A9&quot;/&gt;&lt;wsp:rsid wsp:val=&quot;00FE64BB&quot;/&gt;&lt;wsp:rsid wsp:val=&quot;00FE6EE5&quot;/&gt;&lt;wsp:rsid wsp:val=&quot;00FE70AD&quot;/&gt;&lt;wsp:rsid wsp:val=&quot;00FE711E&quot;/&gt;&lt;wsp:rsid wsp:val=&quot;00FE7256&quot;/&gt;&lt;wsp:rsid wsp:val=&quot;00FE7B7B&quot;/&gt;&lt;wsp:rsid wsp:val=&quot;00FE7DCE&quot;/&gt;&lt;wsp:rsid wsp:val=&quot;00FF01A8&quot;/&gt;&lt;wsp:rsid wsp:val=&quot;00FF021A&quot;/&gt;&lt;wsp:rsid wsp:val=&quot;00FF03FA&quot;/&gt;&lt;wsp:rsid wsp:val=&quot;00FF08F7&quot;/&gt;&lt;wsp:rsid wsp:val=&quot;00FF0986&quot;/&gt;&lt;wsp:rsid wsp:val=&quot;00FF0BD7&quot;/&gt;&lt;wsp:rsid wsp:val=&quot;00FF1698&quot;/&gt;&lt;wsp:rsid wsp:val=&quot;00FF1852&quot;/&gt;&lt;wsp:rsid wsp:val=&quot;00FF1C03&quot;/&gt;&lt;wsp:rsid wsp:val=&quot;00FF2602&quot;/&gt;&lt;wsp:rsid wsp:val=&quot;00FF260F&quot;/&gt;&lt;wsp:rsid wsp:val=&quot;00FF2E06&quot;/&gt;&lt;wsp:rsid wsp:val=&quot;00FF323A&quot;/&gt;&lt;wsp:rsid wsp:val=&quot;00FF33AC&quot;/&gt;&lt;wsp:rsid wsp:val=&quot;00FF376A&quot;/&gt;&lt;wsp:rsid wsp:val=&quot;00FF3804&quot;/&gt;&lt;wsp:rsid wsp:val=&quot;00FF4209&quot;/&gt;&lt;wsp:rsid wsp:val=&quot;00FF461D&quot;/&gt;&lt;wsp:rsid wsp:val=&quot;00FF4E1A&quot;/&gt;&lt;wsp:rsid wsp:val=&quot;00FF4ECE&quot;/&gt;&lt;wsp:rsid wsp:val=&quot;00FF5610&quot;/&gt;&lt;wsp:rsid wsp:val=&quot;00FF5956&quot;/&gt;&lt;wsp:rsid wsp:val=&quot;00FF5A42&quot;/&gt;&lt;wsp:rsid wsp:val=&quot;00FF5C26&quot;/&gt;&lt;wsp:rsid wsp:val=&quot;00FF5F8B&quot;/&gt;&lt;wsp:rsid wsp:val=&quot;00FF6059&quot;/&gt;&lt;wsp:rsid wsp:val=&quot;00FF6C50&quot;/&gt;&lt;wsp:rsid wsp:val=&quot;00FF6E91&quot;/&gt;&lt;wsp:rsid wsp:val=&quot;00FF70D9&quot;/&gt;&lt;wsp:rsid wsp:val=&quot;00FF75EB&quot;/&gt;&lt;wsp:rsid wsp:val=&quot;00FF7D27&quot;/&gt;&lt;/wsp:rsids&gt;&lt;/w:docPr&gt;&lt;w:body&gt;&lt;wx:sect&gt;&lt;w:p wsp:rsidR=&quot;00000000&quot; wsp:rsidRPr=&quot;003F10E3&quot; wsp:rsidRDefault=&quot;003F10E3&quot; wsp:rsidP=&quot;003F10E3&quot;&gt;&lt;m:oMathPara&gt;&lt;m:oMath&gt;&lt;m:sSub&gt;&lt;m:sSubPr&gt;&lt;m:ctrlPr&gt;&lt;w:rPr&gt;&lt;w:rFonts w:ascii=&quot;Cambria Math&quot; w:fareast=&quot;瀹嬩綋&quot; w:h-ansi=&quot;Cambria Math&quot;/&gt;&lt;wx:font wx:val=&quot;Cambria Mat:p h&quot;/&gt;&lt;w:i/&gt;&lt;w:color w:val=&quot;000000&quot;/&gt;&lt;w:kern w:val=&quot;0&quot;/&gt;&lt;w:sz w:val=&quot;21&quot;/&gt;&lt;w:sz-cs w:val=&quot;21&quot;/&gt;&lt;w:lang/&gt;&lt;/w:rPr&gt;&lt;/m:ctrlPr&gt;&lt;/m:sSubPr&gt;&lt;m:e&gt;&lt;m:r&gt;&lt;m:rPr&gt;&lt;m:sty m:val=&quot;bi&quot;/&gt;&lt;/m:rPr&gt;&lt;w:rPr&gt;&lt;w:rFonts w:ascii=&quot;Cambria Math&quot; w:fareast=&quot;瀹嬩綋&quot;/&gt;&lt;wx:font wx:val=&quot;Ca:p mbria Math&quot;/&gt;&lt;w:b/&gt;&lt;w:i/&gt;&lt;w:color w:val=&quot;000000&quot;/&gt;&lt;w:kern w:val=&quot;0&quot;/&gt;&lt;w:sz w:val=&quot;21&quot;/&gt;&lt;w:sz-cs w:val=&quot;21&quot;/&gt;&lt;w:lang/&gt;&lt;/w:rPr&gt;&lt;m:t&gt;C&lt;/m:t&gt;&lt;/m:r&gt;&lt;/m:e&gt;&lt;m:sub&gt;&lt;m:d&gt;&lt;m:dPr&gt;&lt;m:ctrlPr&gt;&lt;w:rPr&gt;&lt;w:rFonts w:ascii=&quot;Cambria Math&quot; w:fareast=&quot;瀹嬩綋&quot; w:h-ansi=&quot;Cambria :p Math&quot;/&gt;&lt;wx:font wx:val=&quot;Cambria Math&quot;/&gt;&lt;w:i/&gt;&lt;w:color w:val=&quot;000000&quot;/&gt;&lt;w:kern w:val=&quot;0&quot;/&gt;&lt;w:sz w:val=&quot;21&quot;/&gt;&lt;w:sz-cs w:val=&quot;21&quot;/&gt;&lt;w:lang/&gt;&lt;/w:rPr&gt;&lt;/m:ctrlPr&gt;&lt;/m:dPr&gt;&lt;m:e&gt;&lt;m:r&gt;&lt;m:rPr&gt;&lt;m:sty m:val=&quot;bi&quot;/&gt;&lt;/m:rPr&gt;&lt;w:rPr&gt;&lt;w:rFonts w:ascii=&quot;Cambria Math&quot; w:fareast=&quot;瀹嬩綋&quot;/&gt;&lt;wx:font wx:val=&quot;Cambria Math&quot;/&gt;&lt;w:b/&gt;&lt;w:i/&gt;&lt;w:color w:val=&quot;000000&quot;/&gt;&lt;w:kern w:val=&quot;0&quot;/&gt;&lt;w:sz w:val=&quot;21&quot;/&gt;&lt;w:sz-cs w:val=&quot;21&quot;/&gt;&lt;w:lang/&gt;&lt;/w:rPr&gt;&lt;m:t&gt;x, y, t&lt;/m:t&gt;&lt;/m:r&gt;&lt;/m:e&gt;&lt;/m:d&gt;&lt;/m:sub&gt;&lt;/m:sSub&gt;&lt;m:r&gt;&lt;m:rPr&gt;&lt;m:sty m:val=&quot;bi&quot;/&gt;&lt;/m:rPr&gt;&lt;w:rPrrea&gt;&lt;w:rFonts w:ascii=&quot;Cambria Math&quot; w:fareast=&quot;瀹嬩綋&quot;/&gt;&lt;wx:font wx:val=&quot;Cambria Math&quot;/&gt;&lt;w:b/&gt;&lt;w:i/&gt;&lt;w:color w:val=&quot;000000&quot;/&gt;&lt;w:kern w:val=&quot;0&quot;/&gt;&lt;w:sz w:val=&quot;21&quot;/&gt;&lt;w:sz-cs w:val=&quot;21&quot;/&gt;&lt;w:lang/&gt;&lt;/w:rPr&gt;&lt;m:t&gt;=&lt;/m:t&gt;&lt;/m:r&gt;&lt;m:f&gt;&lt;m:fPr&gt;&lt;m:ctrlPr&gt;&lt;w:rPr&gt;&lt;w:rFonts reaw:ascii=&quot;Cambria Math&quot; w:fareast=&quot;瀹嬩綋&quot; w:h-ansi=&quot;Cambria Math&quot;/&gt;&lt;wx:font wx:val=&quot;Cambria Math&quot;/&gt;&lt;w:i/&gt;&lt;w:color w:val=&quot;000000&quot;/&gt;&lt;w:kern w:val=&quot;0&quot;/&gt;&lt;w:sz w:val=&quot;21&quot;/&gt;&lt;w:sz-cs w:val=&quot;21&quot;/&gt;&lt;w:lang/&gt;&lt;/w:rPr&gt;&lt;/m:ctrlPr&gt;&lt;/m:fPr&gt;&lt;m:num&gt;&lt;m:sSub&gt;&lt;m:sSubPr&gt;&lt;m:ctrrealPr&gt;&lt;w:rPr&gt;&lt;w:rFonts w:ascii=&quot;Cambria Math&quot; w:fareast=&quot;瀹嬩綋&quot; w:h-ansi=&quot;Cambria Math&quot;/&gt;&lt;wx:font wx:val=&quot;Cambria Math&quot;/&gt;&lt;w:i/&gt;&lt;w:color w:val=&quot;000000&quot;/&gt;&lt;w:kern w:val=&quot;0&quot;/&gt;&lt;w:sz w:val=&quot;21&quot;/&gt;&lt;w:sz-cs w:val=&quot;21&quot;/&gt;&lt;w:lang/&gt;&lt;/w:rPr&gt;&lt;/m:ctrlPr&gt;&lt;/m:sSubPr&gt;&lt;m:e&gt;&lt;mrea:r&gt;&lt;m:rPr&gt;&lt;m:sty m:val=&quot;bi&quot;/&gt;&lt;/m:rPr&gt;&lt;w:rPr&gt;&lt;w:rFonts w:ascii=&quot;Cambria Math&quot; w:fareast=&quot;瀹嬩綋&quot;/&gt;&lt;wx:font wx:val=&quot;Cambria Math&quot;/&gt;&lt;w:b/&gt;&lt;w:i/&gt;&lt;w:color w:val=&quot;000000&quot;/&gt;&lt;w:kern w:val=&quot;0&quot;/&gt;&lt;w:sz w:val=&quot;21&quot;/&gt;&lt;w:sz-cs w:val=&quot;21&quot;/&gt;&lt;w:lang/&gt;&lt;/w:rPr&gt;&lt;m:t&gt;m&lt;/m:t&gt;&lt;/ream:r&gt;&lt;/m:e&gt;&lt;m:sub&gt;&lt;m:r&gt;&lt;m:rPr&gt;&lt;m:sty m:val=&quot;bi&quot;/&gt;&lt;/m:rPr&gt;&lt;w:rPr&gt;&lt;w:rFonts w:ascii=&quot;Cambria Math&quot; w:fareast=&quot;瀹嬩綋&quot;/&gt;&lt;wx:font wx:val=&quot;Cambria Math&quot;/&gt;&lt;w:b/&gt;&lt;w:i/&gt;&lt;w:color w:val=&quot;000000&quot;/&gt;&lt;w:kern w:val=&quot;0&quot;/&gt;&lt;w:sz w:val=&quot;21&quot;/&gt;&lt;w:sz-cs w:val=&quot;21&quot;/&gt;&lt;w:lang/&gt;&lt;/wrea:rPr&gt;&lt;m:t&gt;M&lt;/m:t&gt;&lt;/m:r&gt;&lt;/m:sub&gt;&lt;/m:sSub&gt;&lt;m:r&gt;&lt;m:rPr&gt;&lt;m:sty m:val=&quot;bi&quot;/&gt;&lt;/m:rPr&gt;&lt;w:rPr&gt;&lt;w:rFonts w:ascii=&quot;Cambria Math&quot; w:fareast=&quot;瀹嬩綋&quot;/&gt;&lt;wx:font wx:val=&quot;Cambria Math&quot;/&gt;&lt;w:b/&gt;&lt;w:i/&gt;&lt;w:color w:val=&quot;000000&quot;/&gt;&lt;w:kern w:val=&quot;0&quot;/&gt;&lt;w:sz w:val=&quot;21&quot;/&gt;&lt;w:sz-cs wrea:val=&quot;21&quot;/&gt;&lt;w:lang/&gt;&lt;/w:rPr&gt;&lt;m:t&gt;/M&lt;/m:t&gt;&lt;/m:r&gt;&lt;/m:num&gt;&lt;m:den&gt;&lt;m:r&gt;&lt;m:rPr&gt;&lt;m:sty m:val=&quot;bi&quot;/&gt;&lt;/m:rPr&gt;&lt;w:rPr&gt;&lt;w:rFonts w:ascii=&quot;Cambria Math&quot; w:fareast=&quot;瀹嬩綋&quot;/&gt;&lt;wx:font wx:val=&quot;Cambria Math&quot;/&gt;&lt;w:b/&gt;&lt;w:i/&gt;&lt;w:color w:val=&quot;000000&quot;/&gt;&lt;w:kern w:val=&quot;0&quot;/&gt;&lt;w:sz reaw:val=&quot;21&quot;/&gt;&lt;w:sz-cs w:val=&quot;21&quot;/&gt;&lt;w:lang/&gt;&lt;/w:rPr&gt;&lt;m:t&gt;4&lt;/m:t&gt;&lt;/m:r&gt;&lt;m:r&gt;&lt;m:rPr&gt;&lt;m:sty m:val=&quot;bi&quot;/&gt;&lt;/m:rPr&gt;&lt;w:rPr&gt;&lt;w:rFonts w:ascii=&quot;Cambria Math&quot; w:fareast=&quot;瀹嬩綋&quot;/&gt;&lt;wx:font wx:val=&quot;Cambria Math&quot;/&gt;&lt;w:b/&gt;&lt;w:i/&gt;&lt;w:color w:val=&quot;000000&quot;/&gt;&lt;w:kern w:val=&quot;0&quot;/&gt;rea&lt;w:sz w:val=&quot;21&quot;/&gt;&lt;w:sz-cs w:val=&quot;21&quot;/&gt;&lt;w:lang/&gt;&lt;/w:rPr&gt;&lt;m:t&gt;蟺n&lt;/m:t&gt;&lt;/m:r&gt;&lt;m:rad&gt;&lt;m:radPr&gt;&lt;m:degHide m:val=&quot;1&quot;/&gt;&lt;m:ctrlPr&gt;&lt;w:rPr&gt;&lt;w:rFonts w:ascii=&quot;Cambria Math&quot; w:fareast=&quot;瀹嬩綋&quot; w:h-ansi=&quot;Cambria Math&quot;/&gt;&lt;wx:font wx:val=&quot;Cambria Math&quot;/&gt;&lt;w:i/&gt;&lt;w:color &gt;reaw:val=&quot;000000&quot;/&gt;&lt;w:kern w:val=&quot;0&quot;/&gt;&lt;w:sz w:val=&quot;21&quot;/&gt;&lt;w:sz-cs w:val=&quot;21&quot;/&gt;&lt;w:lang/&gt;&lt;/w:rPr&gt;&lt;/m:ctrlPr&gt;&lt;/m:radPr&gt;&lt;m:deg/&gt;&lt;m:e&gt;&lt;m:sSub&gt;&lt;m:sSubPr&gt;&lt;m:ctrlPr&gt;&lt;w:rPr&gt;&lt;w:rFonts w:ascii=&quot;Cambria Math&quot; w:fareast=&quot;瀹嬩綋&quot; w:h-ansi=&quot;Cambria Math&quot;/&gt;&lt;wx:font wx:val=&quot;Creaambria Math&quot;/&gt;&lt;w:i/&gt;&lt;w:color w:val=&quot;000000&quot;/&gt;&lt;w:kern w:val=&quot;0&quot;/&gt;&lt;w:sz w:val=&quot;21&quot;/&gt;&lt;w:sz-cs w:val=&quot;21&quot;/&gt;&lt;w:lang/&gt;&lt;/w:rPr&gt;&lt;/m:ctrlPr&gt;&lt;/m:sSubPr&gt;&lt;m:e&gt;&lt;m:r&gt;&lt;m:rPr&gt;&lt;m:sty m:val=&quot;bi&quot;/&gt;&lt;/m:rPr&gt;&lt;w:rPr&gt;&lt;w:rFonts w:ascii=&quot;Cambria Math&quot; w:fareast=&quot;瀹嬩綋&quot;/&gt;&lt;wx:font reawx:val=&quot;Cambria Math&quot;/&gt;&lt;w:b/&gt;&lt;w:i/&gt;&lt;w:color w:val=&quot;000000&quot;/&gt;&lt;w:kern w:val=&quot;0&quot;/&gt;&lt;w:sz w:val=&quot;21&quot;/&gt;&lt;w:sz-cs w:val=&quot;21&quot;/&gt;&lt;w:lang/&gt;&lt;/w:rPr&gt;&lt;m:t&gt;D&lt;/m:t&gt;&lt;/m:r&gt;&lt;/m:e&gt;&lt;m:sub&gt;&lt;m:r&gt;&lt;m:rPr&gt;&lt;m:sty m:val=&quot;bi&quot;/&gt;&lt;/m:rPr&gt;&lt;w:rPr&gt;&lt;w:rFonts w:ascii=&quot;Cambria Math&quot; w:fareast=&quot;瀹嬩綋&quot;/&gt;&lt;wx:font wx:val=&quot;Cambria Math&quot;/&gt;&lt;w:b/&gt;&lt;w:i/&gt;&lt;w:color w:val=&quot;000000&quot;/&gt;&lt;w:kern w:val=&quot;0&quot;/&gt;&lt;w:sz w:val=&quot;21&quot;/&gt;&lt;w:sz-cs w:val=&quot;21&quot;/&gt;&lt;w:lang/&gt;&lt;/w:rPr&gt;&lt;m:t&gt;L&lt;/m:t&gt;&lt;/m:r&gt;&lt;/m:sub&gt;&lt;/m:sSub&gt;&lt;m:sSub&gt;&lt;m:sSubPr&gt;&lt;m:ctrlPr&gt;&lt;w:rPr&gt;&lt;w:rFonts w:ascii=&quot;Cambria Mathst=&quot; w:fareast=&quot;瀹嬩綋&quot; w:h-ansi=&quot;Cambria Math&quot;/&gt;&lt;wx:font wx:val=&quot;Cambria Math&quot;/&gt;&lt;w:i/&gt;&lt;w:color w:val=&quot;000000&quot;/&gt;&lt;w:kern w:val=&quot;0&quot;/&gt;&lt;w:sz w:val=&quot;21&quot;/&gt;&lt;w:sz-cs w:val=&quot;21&quot;/&gt;&lt;w:lang/&gt;&lt;/w:rPr&gt;&lt;/m:ctrlPr&gt;&lt;/m:sSubPr&gt;&lt;m:e&gt;&lt;m:r&gt;&lt;m:rPr&gt;&lt;m:sty m:val=&quot;bi&quot;/&gt;&lt;/m:rPr&gt;&lt;w:rPst=r&gt;&lt;w:rFonts w:ascii=&quot;Cambria Math&quot; w:fareast=&quot;瀹嬩綋&quot;/&gt;&lt;wx:font wx:val=&quot;Cambria Math&quot;/&gt;&lt;w:b/&gt;&lt;w:i/&gt;&lt;w:color w:val=&quot;000000&quot;/&gt;&lt;w:kern w:val=&quot;0&quot;/&gt;&lt;w:sz w:val=&quot;21&quot;/&gt;&lt;w:sz-cs w:val=&quot;21&quot;/&gt;&lt;w:lang/&gt;&lt;/w:rPr&gt;&lt;m:t&gt;D&lt;/m:t&gt;&lt;/m:r&gt;&lt;/m:e&gt;&lt;m:sub&gt;&lt;m:r&gt;&lt;m:rPr&gt;&lt;m:sty m:val=st=&quot;bi&quot;/&gt;&lt;/m:rPr&gt;&lt;w:rPr&gt;&lt;w:rFonts w:ascii=&quot;Cambria Math&quot; w:fareast=&quot;瀹嬩綋&quot;/&gt;&lt;wx:font wx:val=&quot;Cambria Math&quot;/&gt;&lt;w:b/&gt;&lt;w:i/&gt;&lt;w:color w:val=&quot;000000&quot;/&gt;&lt;w:kern w:val=&quot;0&quot;/&gt;&lt;w:sz w:val=&quot;21&quot;/&gt;&lt;w:sz-cs w:val=&quot;21&quot;/&gt;&lt;w:lang/&gt;&lt;/w:rPr&gt;&lt;m:t&gt;T&lt;/m:t&gt;&lt;/m:r&gt;&lt;/m:sub&gt;&lt;/m:sSub&gt;&lt;/st=m:e&gt;&lt;/m:rad&gt;&lt;m:r&gt;&lt;m:rPr&gt;&lt;m:sty m:val=&quot;bi&quot;/&gt;&lt;/m:rPr&gt;&lt;w:rPr&gt;&lt;w:rFonts w:ascii=&quot;Cambria Math&quot; w:fareast=&quot;瀹嬩綋&quot;/&gt;&lt;wx:font wx:val=&quot;Cambria Math&quot;/&gt;&lt;w:b/&gt;&lt;w:i/&gt;&lt;w:color w:val=&quot;000000&quot;/&gt;&lt;w:kern w:val=&quot;0&quot;/&gt;&lt;w:sz w:val=&quot;21&quot;/&gt;&lt;w:sz-cs w:val=&quot;21&quot;/&gt;&lt;w:lang/&gt;&lt;/w:rPr&gt;st=&lt;m:t&gt;t&lt;/m:t&gt;&lt;/m:r&gt;&lt;/m:den&gt;&lt;/m:f&gt;&lt;m:sSup&gt;&lt;m:sSupPr&gt;&lt;m:ctrlPr&gt;&lt;w:rPr&gt;&lt;w:rFonts w:ascii=&quot;Cambria Math&quot; w:fareast=&quot;瀹嬩綋&quot; w:h-ansi=&quot;Cambria Math&quot;/&gt;&lt;wx:font wx:val=&quot;Cambria Math&quot;/&gt;&lt;w:i/&gt;&lt;w:color w:val=&quot;000000&quot;/&gt;&lt;w:kern w:val=&quot;0&quot;/&gt;&lt;w:sz w:val=&quot;21&quot;/&gt;&lt;w:sz-cs w:st=val=&quot;21&quot;/&gt;&lt;w:lang/&gt;&lt;/w:rPr&gt;&lt;/m:ctrlPr&gt;&lt;/m:sSupPr&gt;&lt;m:e&gt;&lt;m:r&gt;&lt;m:rPr&gt;&lt;m:sty m:val=&quot;bi&quot;/&gt;&lt;/m:rPr&gt;&lt;w:rPr&gt;&lt;w:rFonts w:ascii=&quot;Cambria Math&quot; w:fareast=&quot;瀹嬩綋&quot;/&gt;&lt;wx:font wx:val=&quot;Cambria Math&quot;/&gt;&lt;w:b/&gt;&lt;w:i/&gt;&lt;w:color w:val=&quot;000000&quot;/&gt;&lt;w:kern w:val=&quot;0&quot;/&gt;&lt;w:sz w:val=&quot;2st=1&quot;/&gt;&lt;w:sz-cs w:val=&quot;21&quot;/&gt;&lt;w:lang/&gt;&lt;/w:rPr&gt;&lt;m:t&gt;e&lt;/m:t&gt;&lt;/m:r&gt;&lt;/m:e&gt;&lt;m:sup&gt;&lt;m:r&gt;&lt;m:rPr&gt;&lt;m:sty m:val=&quot;bi&quot;/&gt;&lt;/m:rPr&gt;&lt;w:rPr&gt;&lt;w:rFonts w:ascii=&quot;Cambria Math&quot; w:fareast=&quot;瀹嬩綋&quot; w:h-ansi=&quot;Cambria Math&quot;/&gt;&lt;wx:font wx:val=&quot;Cambria Math&quot;/&gt;&lt;w:b/&gt;&lt;w:i/&gt;&lt;w:color w:val=st=&quot;000000&quot;/&gt;&lt;w:kern w:val=&quot;0&quot;/&gt;&lt;w:sz w:val=&quot;21&quot;/&gt;&lt;w:sz-cs w:val=&quot;21&quot;/&gt;&lt;w:lang/&gt;&lt;/w:rPr&gt;&lt;m:t&gt;-&lt;/m:t&gt;&lt;/m:r&gt;&lt;m:d&gt;&lt;m:dPr&gt;&lt;m:begChr m:val=&quot;[&quot;/&gt;&lt;m:endChr m:val=&quot;]&quot;/&gt;&lt;m:ctrlPr&gt;&lt;w:rPr&gt;&lt;w:rFonts w:ascii=&quot;Cambria Math&quot; w:fareast=&quot;瀹嬩綋&quot; w:h-ansi=&quot;Cambria Math&quot;/&gt;&lt;wx:st=font wx:val=&quot;Cambria Math&quot;/&gt;&lt;w:i/&gt;&lt;w:color w:val=&quot;000000&quot;/&gt;&lt;w:kern w:val=&quot;0&quot;/&gt;&lt;w:sz w:val=&quot;21&quot;/&gt;&lt;w:sz-cs w:val=&quot;21&quot;/&gt;&lt;w:lang/&gt;&lt;/w:rPr&gt;&lt;/m:ctrlPr&gt;&lt;/m:dPr&gt;&lt;m:e&gt;&lt;m:f&gt;&lt;m:fPr&gt;&lt;m:ctrlPr&gt;&lt;w:rPr&gt;&lt;w:rFonts w:ascii=&quot;Cambria Math&quot; w:fareast=&quot;瀹嬩綋&quot; w:h-ansi=&quot;Cambrist=a Math&quot;/&gt;&lt;wx:font wx:val=&quot;Cambria Math&quot;/&gt;&lt;w:i/&gt;&lt;w:color w:val=&quot;000000&quot;/&gt;&lt;w:kern w:val=&quot;0&quot;/&gt;&lt;w:sz w:val=&quot;21&quot;/&gt;&lt;w:sz-cs w:val=&quot;21&quot;/&gt;&lt;w:lang/&gt;&lt;/w:rPr&gt;&lt;/m:ctrlPr&gt;&lt;/m:fPr&gt;&lt;m:num&gt;&lt;m:sSup&gt;&lt;m:sSupPr&gt;&lt;m:ctrlPr&gt;&lt;w:rPr&gt;&lt;w:rFonts w:ascii=&quot;Cambria Math&quot; w:fareast=&quot;瀹?=浣? w:h-ansi=&quot;Cambria Math&quot;/&gt;&lt;wx:font wx:val=&quot;Cambria Math&quot;/&gt;&lt;w:i/&gt;&lt;w:color w:val=&quot;000000&quot;/&gt;&lt;w:kern w:val=&quot;0&quot;/&gt;&lt;w:sz w:val=&quot;21&quot;/&gt;&lt;w:sz-cs w:val=&quot;21&quot;/&gt;&lt;w:lang/&gt;&lt;/w:rPr&gt;&lt;/m:ctrlPr&gt;&lt;/m:sSupPr&gt;&lt;m:e&gt;&lt;m:d&gt;&lt;m:dPr&gt;&lt;m:ctrlPr&gt;&lt;w:rPr&gt;&lt;w:rFonts w:ascii=&quot;Cambria Math?=&quot; w:fareast=&quot;瀹嬩綋&quot; w:h-ansi=&quot;Cambria Math&quot;/&gt;&lt;wx:font wx:val=&quot;Cambria Math&quot;/&gt;&lt;w:i/&gt;&lt;w:color w:val=&quot;000000&quot;/&gt;&lt;w:kern w:val=&quot;0&quot;/&gt;&lt;w:sz w:val=&quot;21&quot;/&gt;&lt;w:sz-cs w:val=&quot;21&quot;/&gt;&lt;w:lang/&gt;&lt;/w:rPr&gt;&lt;/m:ctrlPr&gt;&lt;/m:dPr&gt;&lt;m:e&gt;&lt;m:r&gt;&lt;m:rPr&gt;&lt;m:sty m:val=&quot;bi&quot;/&gt;&lt;/m:rPr&gt;&lt;w:rPr&gt;&lt;h?=w:rFonts w:ascii=&quot;Cambria Math&quot; w:fareast=&quot;瀹嬩綋&quot;/&gt;&lt;wx:font wx:val=&quot;Cambria Math&quot;/&gt;&lt;w:b/&gt;&lt;w:i/&gt;&lt;w:color w:val=&quot;000000&quot;/&gt;&lt;w:kern w:val=&quot;0&quot;/&gt;&lt;w:sz w:val=&quot;21&quot;/&gt;&lt;w:sz-cs w:val=&quot;21&quot;/&gt;&lt;w:lang/&gt;&lt;/w:rPr&gt;&lt;m:t&gt;x&lt;/m:t&gt;&lt;/m:r&gt;&lt;m:r&gt;&lt;m:rPr&gt;&lt;m:sty m:val=&quot;bi&quot;/&gt;&lt;/m:rPr&gt;&lt;wh?=:rPr&gt;&lt;w:rFonts w:ascii=&quot;Cambria Math&quot; w:fareast=&quot;瀹嬩綋&quot; w:h-ansi=&quot;Cambria Math&quot;/&gt;&lt;wx:font wx:val=&quot;Cambria Math&quot;/&gt;&lt;w:b/&gt;&lt;w:i/&gt;&lt;w:color w:val=&quot;000000&quot;/&gt;&lt;w:kern w:val=&quot;0&quot;/&gt;&lt;w:sz w:val=&quot;21&quot;/&gt;&lt;w:sz-cs w:val=&quot;21&quot;/&gt;&lt;w:lang/&gt;&lt;/w:rPr&gt;&lt;m:t&gt;-&lt;/m:t&gt;&lt;/m:r&gt;&lt;m:r&gt;&lt;m:rPrh?=&gt;&lt;m:sty m:val=&quot;bi&quot;/&gt;&lt;/m:rPr&gt;&lt;w:rPr&gt;&lt;w:rFonts w:ascii=&quot;Cambria Math&quot; w:fareast=&quot;瀹嬩綋&quot;/&gt;&lt;wx:font wx:val=&quot;Cambria Math&quot;/&gt;&lt;w:b/&gt;&lt;w:i/&gt;&lt;w:color w:val=&quot;000000&quot;/&gt;&lt;w:kern w:val=&quot;0&quot;/&gt;&lt;w:sz w:val=&quot;21&quot;/&gt;&lt;w:sz-cs w:val=&quot;21&quot;/&gt;&lt;w:lang/&gt;&lt;/w:rPr&gt;&lt;m:t&gt;ut&lt;/m:t&gt;&lt;/m:r&gt;&lt;/m:h?=e&gt;&lt;/m:d&gt;&lt;/m:e&gt;&lt;m:sup&gt;&lt;m:r&gt;&lt;m:rPr&gt;&lt;m:sty m:val=&quot;bi&quot;/&gt;&lt;/m:rPr&gt;&lt;w:rPr&gt;&lt;w:rFonts w:ascii=&quot;Cambria Math&quot; w:fareast=&quot;瀹嬩綋&quot;/&gt;&lt;wx:font wx:val=&quot;Cambria Math&quot;/&gt;&lt;w:b/&gt;&lt;w:i/&gt;&lt;w:color w:val=&quot;000000&quot;/&gt;&lt;w:kern w:val=&quot;0&quot;/&gt;&lt;w:sz w:val=&quot;21&quot;/&gt;&lt;w:sz-cs w:val=&quot;21&quot;/&gt;&lt;w:lang/h?=&gt;&lt;/w:rPr&gt;&lt;m:t&gt;2&lt;/m:t&gt;&lt;/m:r&gt;&lt;/m:sup&gt;&lt;/m:sSup&gt;&lt;/m:num&gt;&lt;m:den&gt;&lt;m:r&gt;&lt;m:rPr&gt;&lt;m:sty m:val=&quot;bi&quot;/&gt;&lt;/m:rPr&gt;&lt;w:rPr&gt;&lt;w:rFonts w:ascii=&quot;Cambria Math&quot; w:fareast=&quot;瀹嬩綋&quot;/&gt;&lt;wx:font wx:val=&quot;Cambria Math&quot;/&gt;&lt;w:b/&gt;&lt;w:i/&gt;&lt;w:color w:val=&quot;000000&quot;/&gt;&lt;w:kern w:val=&quot;0&quot;/&gt;&lt;w:sz w:vh?=al=&quot;21&quot;/&gt;&lt;w:sz-cs w:val=&quot;21&quot;/&gt;&lt;w:lang/&gt;&lt;/w:rPr&gt;&lt;m:t&gt;4&lt;/m:t&gt;&lt;/m:r&gt;&lt;m:sSub&gt;&lt;m:sSubPr&gt;&lt;m:ctrlPr&gt;&lt;w:rPr&gt;&lt;w:rFonts w:ascii=&quot;Cambria Math&quot; w:fareast=&quot;瀹嬩綋&quot; w:h-ansi=&quot;Cambria Math&quot;/&gt;&lt;wx:font wx:val=&quot;Cambria Math&quot;/&gt;&lt;w:i/&gt;&lt;w:color w:val=&quot;000000&quot;/&gt;&lt;w:kern w:val=&quot;h?=0&quot;/&gt;&lt;w:sz w:val=&quot;21&quot;/&gt;&lt;w:sz-cs w:val=&quot;21&quot;/&gt;&lt;w:lang/&gt;&lt;/w:rPr&gt;&lt;/m:ctrlPr&gt;&lt;/m:sSubPr&gt;&lt;m:e&gt;&lt;m:r&gt;&lt;m:rPr&gt;&lt;m:sty m:val=&quot;bi&quot;/&gt;&lt;/m:rPr&gt;&lt;w:rPr&gt;&lt;w:rFonts w:ascii=&quot;Cambria Math&quot; w:fareast=&quot;瀹嬩綋&quot;/&gt;&lt;wx:font wx:val=&quot;Cambria Math&quot;/&gt;&lt;w:b/&gt;&lt;w:i/&gt;&lt;w:color w:val=&quot;000000&quot;/&gt;h?=&lt;w:kern w:val=&quot;0&quot;/&gt;&lt;w:sz w:val=&quot;21&quot;/&gt;&lt;w:sz-cs w:val=&quot;21&quot;/&gt;&lt;w:lang/&gt;&lt;/w:rPr&gt;&lt;m:t&gt;D&lt;/m:t&gt;&lt;/m:r&gt;&lt;/m:e&gt;&lt;m:sub&gt;&lt;m:r&gt;&lt;m:rPr&gt;&lt;m:sty m:val=&quot;bi&quot;/&gt;&lt;/m:rPr&gt;&lt;w:rPr&gt;&lt;w:rFonts w:ascii=&quot;Cambria Math&quot; w:fareast=&quot;瀹嬩綋&quot;/&gt;&lt;wx:font wx:val=&quot;Cambria Math&quot;/&gt;&lt;w:b/&gt;&lt;w:i/&gt;&lt;w:colh?=or w:val=&quot;000000&quot;/&gt;&lt;w:kern w:val=&quot;0&quot;/&gt;&lt;w:sz w:val=&quot;21&quot;/&gt;&lt;w:sz-cs w:val=&quot;21&quot;/&gt;&lt;w:lang/&gt;&lt;/w:rPr&gt;&lt;m:t&gt;L&lt;/m:t&gt;&lt;/m:r&gt;&lt;/m:sub&gt;&lt;/m:sSub&gt;&lt;m:r&gt;&lt;m:rPr&gt;&lt;m:sty m:val=&quot;bi&quot;/&gt;&lt;/m:rPr&gt;&lt;w:rPr&gt;&lt;w:rFonts w:ascii=&quot;Cambria Math&quot; w:fareast=&quot;瀹嬩綋&quot;/&gt;&lt;wx:font wx:val=&quot;Cambria Mah?=th&quot;/&gt;&lt;w:b/&gt;&lt;w:i/&gt;&lt;w:color w:val=&quot;000000&quot;/&gt;&lt;w:kern w:val=&quot;0&quot;/&gt;&lt;w:sz w:val=&quot;21&quot;/&gt;&lt;w:sz-cs w:val=&quot;21&quot;/&gt;&lt;w:lang/&gt;&lt;/w:rPr&gt;&lt;m:t&gt;t&lt;/m:t&gt;&lt;/m:r&gt;&lt;/m:den&gt;&lt;/m:f&gt;&lt;m:r&gt;&lt;m:rPr&gt;&lt;m:sty m:val=&quot;bi&quot;/&gt;&lt;/m:rPr&gt;&lt;w:rPr&gt;&lt;w:rFonts w:ascii=&quot;Cambria Math&quot; w:fareast=&quot;瀹嬩綋&quot;/&gt;&lt;wx:fonh?=t wx:val=&quot;Cambria Math&quot;/&gt;&lt;w:b/&gt;&lt;w:i/&gt;&lt;w:color w:val=&quot;000000&quot;/&gt;&lt;w:kern w:val=&quot;0&quot;/&gt;&lt;w:sz w:val=&quot;21&quot;/&gt;&lt;w:sz-cs w:val=&quot;21&quot;/&gt;&lt;w:lang/&gt;&lt;/w:rPr&gt;&lt;m:t&gt;+&lt;/m:t&gt;&lt;/m:r&gt;&lt;m:f&gt;&lt;m:fPr&gt;&lt;m:ctrlPr&gt;&lt;w:rPr&gt;&lt;w:rFonts w:ascii=&quot;Cambria Math&quot; w:fareast=&quot;瀹嬩綋&quot; w:h-ansi=&quot;Cambria Mh?=ath&quot;/&gt;&lt;wx:font wx:val=&quot;Cambria Math&quot;/&gt;&lt;w:i/&gt;&lt;w:color w:val=&quot;000000&quot;/&gt;&lt;w:kern w:val=&quot;0&quot;/&gt;&lt;w:sz w:val=&quot;21&quot;/&gt;&lt;w:sz-cs w:val=&quot;21&quot;/&gt;&lt;w:lang/&gt;&lt;/w:rPr&gt;&lt;/m:ctrlPr&gt;&lt;/m:fPr&gt;&lt;m:num&gt;&lt;m:sSup&gt;&lt;m:sSupPr&gt;&lt;m:ctrlPr&gt;&lt;w:rPr&gt;&lt;w:rFonts w:ascii=&quot;Cambria Math&quot; w:fareast=&quot;瀹嬩綋h?=&quot; w:h-ansi=&quot;Cambria Math&quot;/&gt;&lt;wx:font wx:val=&quot;Cambria Math&quot;/&gt;&lt;w:i/&gt;&lt;w:color w:val=&quot;000000&quot;/&gt;&lt;w:kern w:val=&quot;0&quot;/&gt;&lt;w:sz w:val=&quot;21&quot;/&gt;&lt;w:sz-cs w:val=&quot;21&quot;/&gt;&lt;w:lang/&gt;&lt;/w:rPr&gt;&lt;/m:ctrlPr&gt;&lt;/m:sSupPr&gt;&lt;m:e&gt;&lt;m:r&gt;&lt;m:rPr&gt;&lt;m:sty m:val=&quot;bi&quot;/&gt;&lt;/m:rPr&gt;&lt;w:rPr&gt;&lt;w:rFonts w:ascii=&quot;Cambria Math&quot; w:fareast=&quot;瀹嬩綋&quot;/&gt;&lt;wx:font wx:val=&quot;Cambria Math&quot;/&gt;&lt;w:b/&gt;&lt;w:i/&gt;&lt;w:color w:val=&quot;000000&quot;/&gt;&lt;w:kern w:val=&quot;0&quot;/&gt;&lt;w:sz w:val=&quot;21&quot;/&gt;&lt;w:sz-cs w:val=&quot;21&quot;/&gt;&lt;w:lang/&gt;&lt;/w:rPr&gt;&lt;m:t&gt;y&lt;/m:t&gt;&lt;/m:r&gt;&lt;/m:e&gt;&lt;m:sup&gt;&lt;m:r&gt;&lt;m:rPr&gt;&lt;m:sty m:val=&quot;bi&quot;/&gt;&lt;/m:rPr&gt;&lt;w:rPciir&gt;&lt;w:rFonts w:ascii=&quot;Cambria Math&quot; w:fareast=&quot;瀹嬩綋&quot;/&gt;&lt;wx:font wx:val=&quot;Cambria Math&quot;/&gt;&lt;w:b/&gt;&lt;w:i/&gt;&lt;w:color w:val=&quot;000000&quot;/&gt;&lt;w:kern w:val=&quot;0&quot;/&gt;&lt;w:sz w:val=&quot;21&quot;/&gt;&lt;w:sz-cs w:val=&quot;21&quot;/&gt;&lt;w:lang/&gt;&lt;/w:rPr&gt;&lt;m:t&gt;2&lt;/m:t&gt;&lt;/m:r&gt;&lt;/m:sup&gt;&lt;/m:sSup&gt;&lt;/m:num&gt;&lt;m:den&gt;&lt;m:r&gt;&lt;ciim:rPr&gt;&lt;m:sty m:val=&quot;bi&quot;/&gt;&lt;/m:rPr&gt;&lt;w:rPr&gt;&lt;w:rFonts w:ascii=&quot;Cambria Math&quot; w:fareast=&quot;瀹嬩綋&quot;/&gt;&lt;wx:font wx:val=&quot;Cambria Math&quot;/&gt;&lt;w:b/&gt;&lt;w:i/&gt;&lt;w:color w:val=&quot;000000&quot;/&gt;&lt;w:kern w:val=&quot;0&quot;/&gt;&lt;w:sz w:val=&quot;21&quot;/&gt;&lt;w:sz-cs w:val=&quot;21&quot;/&gt;&lt;w:lang/&gt;&lt;/w:rPr&gt;&lt;m:t&gt;4&lt;/m:t&gt;&lt;/m:r&gt;cii&lt;m:sSub&gt;&lt;m:sSubPr&gt;&lt;m:ctrlPr&gt;&lt;w:rPr&gt;&lt;w:rFonts w:ascii=&quot;Cambria Math&quot; w:fareast=&quot;瀹嬩綋&quot; w:h-ansi=&quot;Cambria Math&quot;/&gt;&lt;wx:font wx:val=&quot;Cambria Math&quot;/&gt;&lt;w:i/&gt;&lt;w:color w:val=&quot;000000&quot;/&gt;&lt;w:kern w:val=&quot;0&quot;/&gt;&lt;w:sz w:val=&quot;21&quot;/&gt;&lt;w:sz-cs w:val=&quot;21&quot;/&gt;&lt;w:lang/&gt;&lt;/w:rPr&gt;&lt;/m:cciitrlPr&gt;&lt;/m:sSubPr&gt;&lt;m:e&gt;&lt;m:r&gt;&lt;m:rPr&gt;&lt;m:sty m:val=&quot;bi&quot;/&gt;&lt;/m:rPr&gt;&lt;w:rPr&gt;&lt;w:rFonts w:ascii=&quot;Cambria Math&quot; w:fareast=&quot;瀹嬩綋&quot;/&gt;&lt;wx:font wx:val=&quot;Cambria Math&quot;/&gt;&lt;w:b/&gt;&lt;w:i/&gt;&lt;w:color w:val=&quot;000000&quot;/&gt;&lt;w:kern w:val=&quot;0&quot;/&gt;&lt;w:sz w:val=&quot;21&quot;/&gt;&lt;w:sz-cs w:val=&quot;21&quot;/&gt;&lt;w:langcii/&gt;&lt;/w:rPr&gt;&lt;m:t&gt;D&lt;/m:t&gt;&lt;/m:r&gt;&lt;/m:e&gt;&lt;m:sub&gt;&lt;m:r&gt;&lt;m:rPr&gt;&lt;m:sty m:val=&quot;bi&quot;/&gt;&lt;/m:rPr&gt;&lt;w:rPr&gt;&lt;w:rFonts w:ascii=&quot;Cambria Math&quot; w:fareast=&quot;瀹嬩綋&quot;/&gt;&lt;wx:font wx:val=&quot;Cambria Math&quot;/&gt;&lt;w:b/&gt;&lt;w:i/&gt;&lt;w:color w:val=&quot;000000&quot;/&gt;&lt;w:kern w:val=&quot;0&quot;/&gt;&lt;w:sz w:val=&quot;21&quot;/&gt;&lt;w:sz-cs ciiw:val=&quot;21&quot;/&gt;&lt;w:lang/&gt;&lt;/w:rPr&gt;&lt;m:t&gt;T&lt;/m:t&gt;&lt;/m:r&gt;&lt;/m:sub&gt;&lt;/m:sSub&gt;&lt;m:r&gt;&lt;m:rPr&gt;&lt;m:sty m:val=&quot;bi&quot;/&gt;&lt;/m:rPr&gt;&lt;w:rPr&gt;&lt;w:rFonts w:ascii=&quot;Cambria Math&quot; w:fareast=&quot;瀹嬩綋&quot;/&gt;&lt;wx:font wx:val=&quot;Cambria Math&quot;/&gt;&lt;w:b/&gt;&lt;w:i/&gt;&lt;w:color w:val=&quot;000000&quot;/&gt;&lt;w:kern w:val=&quot;0&quot;/&gt;&lt;w:sciiz w:val=&quot;21&quot;/&gt;&lt;w:sz-cs w:val=&quot;21&quot;/&gt;&lt;w:lang/&gt;&lt;/w:rPr&gt;&lt;m:t&gt;t&lt;/m:t&gt;&lt;/m:r&gt;&lt;/m:den&gt;&lt;/m:f&gt;&lt;/m:e&gt;&lt;/m:d&gt;&lt;/m:sup&gt;&lt;/m:sSup&gt;&lt;/m:oMath&gt;&lt;/m:oMathPara&gt;&lt;/w:p&gt;&lt;w:sectPr wsp:rsidR=&quot;00000000&quot; wsp:rsidRPr=&quot;003F10E3&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6" chromakey="#FFFFFF" o:title=""/>
            <o:lock v:ext="edit" aspectratio="t"/>
            <w10:wrap type="none"/>
            <w10:anchorlock/>
          </v:shape>
        </w:pict>
      </w:r>
    </w:p>
    <w:p>
      <w:pPr>
        <w:ind w:firstLine="480"/>
      </w:pPr>
      <w:r>
        <w:rPr>
          <w:rFonts w:hint="eastAsia"/>
        </w:rPr>
        <w:t>式中：</w:t>
      </w:r>
      <w:r>
        <w:t>x</w:t>
      </w:r>
      <w:r>
        <w:rPr>
          <w:rFonts w:hint="eastAsia"/>
        </w:rPr>
        <w:t>，</w:t>
      </w:r>
      <w:r>
        <w:t>y——</w:t>
      </w:r>
      <w:r>
        <w:rPr>
          <w:rFonts w:hint="eastAsia"/>
        </w:rPr>
        <w:t>计算点处的位置坐标；</w:t>
      </w:r>
    </w:p>
    <w:p>
      <w:pPr>
        <w:ind w:firstLine="480"/>
      </w:pPr>
      <w:r>
        <w:t>t——</w:t>
      </w:r>
      <w:r>
        <w:rPr>
          <w:rFonts w:hint="eastAsia"/>
        </w:rPr>
        <w:t>时间，</w:t>
      </w:r>
      <w:r>
        <w:t>d</w:t>
      </w:r>
      <w:r>
        <w:rPr>
          <w:rFonts w:hint="eastAsia"/>
        </w:rPr>
        <w:t>；</w:t>
      </w:r>
    </w:p>
    <w:p>
      <w:pPr>
        <w:ind w:firstLine="480"/>
      </w:pPr>
      <w:r>
        <w:t>C(x</w:t>
      </w:r>
      <w:r>
        <w:rPr>
          <w:rFonts w:hint="eastAsia"/>
        </w:rPr>
        <w:t>，</w:t>
      </w:r>
      <w:r>
        <w:t>y</w:t>
      </w:r>
      <w:r>
        <w:rPr>
          <w:rFonts w:hint="eastAsia"/>
        </w:rPr>
        <w:t>，</w:t>
      </w:r>
      <w:r>
        <w:t>t)——t</w:t>
      </w:r>
      <w:r>
        <w:rPr>
          <w:rFonts w:hint="eastAsia"/>
        </w:rPr>
        <w:t>时刻点</w:t>
      </w:r>
      <w:r>
        <w:t>x</w:t>
      </w:r>
      <w:r>
        <w:rPr>
          <w:rFonts w:hint="eastAsia"/>
        </w:rPr>
        <w:t>，</w:t>
      </w:r>
      <w:r>
        <w:t>y</w:t>
      </w:r>
      <w:r>
        <w:rPr>
          <w:rFonts w:hint="eastAsia"/>
        </w:rPr>
        <w:t>处的示踪剂浓度，</w:t>
      </w:r>
      <w:r>
        <w:t>g/L</w:t>
      </w:r>
      <w:r>
        <w:rPr>
          <w:rFonts w:hint="eastAsia"/>
        </w:rPr>
        <w:t>；</w:t>
      </w:r>
    </w:p>
    <w:p>
      <w:pPr>
        <w:ind w:firstLine="480"/>
      </w:pPr>
      <w:r>
        <w:t>M——</w:t>
      </w:r>
      <w:r>
        <w:rPr>
          <w:rFonts w:hint="eastAsia"/>
        </w:rPr>
        <w:t>含水层的厚度，</w:t>
      </w:r>
      <w:r>
        <w:t>m</w:t>
      </w:r>
      <w:r>
        <w:rPr>
          <w:rFonts w:hint="eastAsia"/>
        </w:rPr>
        <w:t>；</w:t>
      </w:r>
    </w:p>
    <w:p>
      <w:pPr>
        <w:ind w:firstLine="480"/>
      </w:pPr>
      <w:r>
        <w:t>mM——</w:t>
      </w:r>
      <w:r>
        <w:rPr>
          <w:rFonts w:hint="eastAsia"/>
        </w:rPr>
        <w:t>瞬时注入的示踪剂质量，</w:t>
      </w:r>
      <w:r>
        <w:t>kg</w:t>
      </w:r>
      <w:r>
        <w:rPr>
          <w:rFonts w:hint="eastAsia"/>
        </w:rPr>
        <w:t>；</w:t>
      </w:r>
    </w:p>
    <w:p>
      <w:pPr>
        <w:ind w:firstLine="480"/>
      </w:pPr>
      <w:r>
        <w:t>u——</w:t>
      </w:r>
      <w:r>
        <w:rPr>
          <w:rFonts w:hint="eastAsia"/>
        </w:rPr>
        <w:t>水流速度，</w:t>
      </w:r>
      <w:r>
        <w:t>m/d</w:t>
      </w:r>
      <w:r>
        <w:rPr>
          <w:rFonts w:hint="eastAsia"/>
        </w:rPr>
        <w:t>；</w:t>
      </w:r>
    </w:p>
    <w:p>
      <w:pPr>
        <w:ind w:firstLine="480"/>
      </w:pPr>
      <w:r>
        <w:t>n——</w:t>
      </w:r>
      <w:r>
        <w:rPr>
          <w:rFonts w:hint="eastAsia"/>
        </w:rPr>
        <w:t>有效孔隙度，无量纲；</w:t>
      </w:r>
    </w:p>
    <w:p>
      <w:pPr>
        <w:ind w:firstLine="480"/>
      </w:pPr>
      <w:r>
        <w:t>DL——</w:t>
      </w:r>
      <w:r>
        <w:rPr>
          <w:rFonts w:hint="eastAsia"/>
        </w:rPr>
        <w:t>纵向</w:t>
      </w:r>
      <w:r>
        <w:t>x</w:t>
      </w:r>
      <w:r>
        <w:rPr>
          <w:rFonts w:hint="eastAsia"/>
        </w:rPr>
        <w:t>方向的弥散系数，</w:t>
      </w:r>
      <w:r>
        <w:t>m</w:t>
      </w:r>
      <w:r>
        <w:rPr>
          <w:vertAlign w:val="superscript"/>
        </w:rPr>
        <w:t>2</w:t>
      </w:r>
      <w:r>
        <w:t>/d</w:t>
      </w:r>
      <w:r>
        <w:rPr>
          <w:rFonts w:hint="eastAsia"/>
        </w:rPr>
        <w:t>；</w:t>
      </w:r>
    </w:p>
    <w:p>
      <w:pPr>
        <w:ind w:firstLine="480"/>
      </w:pPr>
      <w:r>
        <w:t>DT——</w:t>
      </w:r>
      <w:r>
        <w:rPr>
          <w:rFonts w:hint="eastAsia"/>
        </w:rPr>
        <w:t>横向</w:t>
      </w:r>
      <w:r>
        <w:t>y</w:t>
      </w:r>
      <w:r>
        <w:rPr>
          <w:rFonts w:hint="eastAsia"/>
        </w:rPr>
        <w:t>方向的弥散系数，</w:t>
      </w:r>
      <w:r>
        <w:t>m</w:t>
      </w:r>
      <w:r>
        <w:rPr>
          <w:vertAlign w:val="subscript"/>
        </w:rPr>
        <w:t>2</w:t>
      </w:r>
      <w:r>
        <w:t>/d</w:t>
      </w:r>
      <w:r>
        <w:rPr>
          <w:rFonts w:hint="eastAsia"/>
        </w:rPr>
        <w:t>；</w:t>
      </w:r>
    </w:p>
    <w:p>
      <w:pPr>
        <w:ind w:firstLine="480"/>
      </w:pPr>
      <w:r>
        <w:rPr>
          <w:rFonts w:hint="eastAsia"/>
        </w:rPr>
        <w:t>Π</w:t>
      </w:r>
      <w:r>
        <w:t>——</w:t>
      </w:r>
      <w:r>
        <w:rPr>
          <w:rFonts w:hint="eastAsia"/>
        </w:rPr>
        <w:t>圆周率。</w:t>
      </w:r>
    </w:p>
    <w:p>
      <w:pPr>
        <w:ind w:firstLine="480"/>
      </w:pPr>
      <w:r>
        <w:rPr>
          <w:rFonts w:hint="eastAsia"/>
        </w:rPr>
        <w:t>为便于模型计算，将地下水动力学模式中预测各污染物在含水层中的扩散作以下假定：</w:t>
      </w:r>
    </w:p>
    <w:p>
      <w:pPr>
        <w:ind w:firstLine="480"/>
      </w:pPr>
      <w:r>
        <w:t>1</w:t>
      </w:r>
      <w:r>
        <w:rPr>
          <w:rFonts w:hint="eastAsia"/>
        </w:rPr>
        <w:t>°污染物进入地下水中对渗流场没有明显的影响；</w:t>
      </w:r>
    </w:p>
    <w:p>
      <w:pPr>
        <w:ind w:firstLine="480"/>
      </w:pPr>
      <w:r>
        <w:t>2</w:t>
      </w:r>
      <w:r>
        <w:rPr>
          <w:rFonts w:hint="eastAsia"/>
        </w:rPr>
        <w:t>°预测区内的地下水是稳定流；</w:t>
      </w:r>
    </w:p>
    <w:p>
      <w:pPr>
        <w:ind w:firstLine="480"/>
      </w:pPr>
      <w:r>
        <w:t>3</w:t>
      </w:r>
      <w:r>
        <w:rPr>
          <w:rFonts w:hint="eastAsia"/>
        </w:rPr>
        <w:t>°污染物在地下水中的运移按“活塞推挤”方式进行；</w:t>
      </w:r>
    </w:p>
    <w:p>
      <w:pPr>
        <w:ind w:firstLine="480"/>
      </w:pPr>
      <w:r>
        <w:t>4</w:t>
      </w:r>
      <w:r>
        <w:rPr>
          <w:rFonts w:hint="eastAsia"/>
        </w:rPr>
        <w:t>°预测区内含水层的基本参数（如渗透系数、厚度、有效孔隙度等）不变。</w:t>
      </w:r>
    </w:p>
    <w:p>
      <w:pPr>
        <w:ind w:firstLine="480"/>
      </w:pPr>
      <w:r>
        <w:rPr>
          <w:rFonts w:hint="eastAsia"/>
        </w:rPr>
        <w:t>在上述概化条件下，结合水文地质条件和地下水动力特征，非正常工况情景下，废水中污染物的扩散速度进行预测。</w:t>
      </w:r>
    </w:p>
    <w:p>
      <w:pPr>
        <w:ind w:firstLine="480"/>
      </w:pPr>
      <w:r>
        <w:rPr>
          <w:rFonts w:hint="eastAsia"/>
        </w:rPr>
        <w:t>这样假定的理由是：</w:t>
      </w:r>
    </w:p>
    <w:p>
      <w:pPr>
        <w:ind w:firstLine="480"/>
      </w:pPr>
      <w:r>
        <w:t>1</w:t>
      </w:r>
      <w:r>
        <w:rPr>
          <w:rFonts w:hint="eastAsia"/>
        </w:rPr>
        <w:t>°有机污染物在地下水中的运移非常复杂，影响因素除对流、弥散作用以外，还存在物理、化学、微生物等作用，这些作用常常会使污染浓度衰减。目前国际上对这些作用参数的准确获取还存在着困难；</w:t>
      </w:r>
    </w:p>
    <w:p>
      <w:pPr>
        <w:ind w:firstLine="480"/>
      </w:pPr>
      <w:r>
        <w:t>2</w:t>
      </w:r>
      <w:r>
        <w:rPr>
          <w:rFonts w:hint="eastAsia"/>
        </w:rPr>
        <w:t>°从保守性角度考虑，假设污染质在运移中不与含水层介质发生反应，可以被认为是保守型污染质，只按保守型污染质来计算，即只考虑运移过程中的对流、弥散作用。在国际上有很多用保守型污染质作为模拟因子的环境质量评价的成功实例；</w:t>
      </w:r>
    </w:p>
    <w:p>
      <w:pPr>
        <w:ind w:firstLine="480"/>
      </w:pPr>
      <w:r>
        <w:t>3</w:t>
      </w:r>
      <w:r>
        <w:rPr>
          <w:rFonts w:hint="eastAsia"/>
        </w:rPr>
        <w:t>°保守型考虑符合工程设计的思想。</w:t>
      </w:r>
    </w:p>
    <w:p>
      <w:pPr>
        <w:ind w:firstLine="480"/>
      </w:pPr>
      <w:r>
        <w:rPr>
          <w:rFonts w:hint="eastAsia"/>
        </w:rPr>
        <w:fldChar w:fldCharType="begin"/>
      </w:r>
      <w:r>
        <w:instrText xml:space="preserve"> = 2 \* GB3 </w:instrText>
      </w:r>
      <w:r>
        <w:rPr>
          <w:rFonts w:hint="eastAsia"/>
        </w:rPr>
        <w:fldChar w:fldCharType="separate"/>
      </w:r>
      <w:r>
        <w:rPr>
          <w:rFonts w:hint="eastAsia"/>
        </w:rPr>
        <w:t>②</w:t>
      </w:r>
      <w:r>
        <w:rPr>
          <w:rFonts w:hint="eastAsia"/>
        </w:rPr>
        <w:fldChar w:fldCharType="end"/>
      </w:r>
      <w:r>
        <w:rPr>
          <w:rFonts w:hint="eastAsia"/>
        </w:rPr>
        <w:t>模型参数选取</w:t>
      </w:r>
    </w:p>
    <w:p>
      <w:pPr>
        <w:ind w:firstLine="480"/>
      </w:pPr>
      <w:r>
        <w:rPr>
          <w:rFonts w:hint="eastAsia"/>
        </w:rPr>
        <w:t>利用所选取的污染物迁移模型，能否达到对污染物迁移过程的合理预测，关键就在于模型参数的选取和确定是否正确合理。</w:t>
      </w:r>
    </w:p>
    <w:p>
      <w:pPr>
        <w:ind w:firstLine="480"/>
      </w:pPr>
      <w:r>
        <w:rPr>
          <w:rFonts w:hint="eastAsia"/>
        </w:rPr>
        <w:t>本次预测所用模型需要的参数有：含水层厚度</w:t>
      </w:r>
      <w:r>
        <w:t>M</w:t>
      </w:r>
      <w:r>
        <w:rPr>
          <w:rFonts w:hint="eastAsia"/>
        </w:rPr>
        <w:t>；外泄污染物质量</w:t>
      </w:r>
      <w:r>
        <w:t>mM</w:t>
      </w:r>
      <w:r>
        <w:rPr>
          <w:rFonts w:hint="eastAsia"/>
        </w:rPr>
        <w:t>；岩层的有效孔隙度</w:t>
      </w:r>
      <w:r>
        <w:t>n</w:t>
      </w:r>
      <w:r>
        <w:rPr>
          <w:rFonts w:hint="eastAsia"/>
        </w:rPr>
        <w:t>；水流速度</w:t>
      </w:r>
      <w:r>
        <w:t>u</w:t>
      </w:r>
      <w:r>
        <w:rPr>
          <w:rFonts w:hint="eastAsia"/>
        </w:rPr>
        <w:t>；污染物纵向弥散系数</w:t>
      </w:r>
      <w:r>
        <w:t>DL</w:t>
      </w:r>
      <w:r>
        <w:rPr>
          <w:rFonts w:hint="eastAsia"/>
        </w:rPr>
        <w:t>；污染物横向弥散系数</w:t>
      </w:r>
      <w:r>
        <w:t>DT</w:t>
      </w:r>
      <w:r>
        <w:rPr>
          <w:rFonts w:hint="eastAsia"/>
        </w:rPr>
        <w:t>，这些参数由本次工程地质勘察及类比区域勘察成果资料来确定。</w:t>
      </w:r>
    </w:p>
    <w:p>
      <w:pPr>
        <w:ind w:firstLine="480"/>
      </w:pPr>
      <w:r>
        <w:t>1</w:t>
      </w:r>
      <w:r>
        <w:rPr>
          <w:rFonts w:hint="eastAsia"/>
        </w:rPr>
        <w:t>含水层的厚度</w:t>
      </w:r>
      <w:r>
        <w:t>M</w:t>
      </w:r>
    </w:p>
    <w:p>
      <w:pPr>
        <w:ind w:firstLine="480"/>
      </w:pPr>
      <w:r>
        <w:rPr>
          <w:rFonts w:hint="eastAsia"/>
        </w:rPr>
        <w:t>本次评价主要考虑评价区内地下水含水层主要为砂卵石孔隙潜水含水层，该层含水层厚度</w:t>
      </w:r>
      <w:r>
        <w:t>2.95~4.2m</w:t>
      </w:r>
      <w:r>
        <w:rPr>
          <w:rFonts w:hint="eastAsia"/>
        </w:rPr>
        <w:t>左右，取平均</w:t>
      </w:r>
      <w:r>
        <w:t>3.6m</w:t>
      </w:r>
      <w:r>
        <w:rPr>
          <w:rFonts w:hint="eastAsia"/>
        </w:rPr>
        <w:t>。</w:t>
      </w:r>
    </w:p>
    <w:p>
      <w:pPr>
        <w:ind w:firstLine="480"/>
      </w:pPr>
      <w:r>
        <w:rPr>
          <w:rFonts w:hint="eastAsia"/>
        </w:rPr>
        <w:fldChar w:fldCharType="begin"/>
      </w:r>
      <w:r>
        <w:instrText xml:space="preserve"> = 2 \* GB3 </w:instrText>
      </w:r>
      <w:r>
        <w:rPr>
          <w:rFonts w:hint="eastAsia"/>
        </w:rPr>
        <w:fldChar w:fldCharType="separate"/>
      </w:r>
      <w:r>
        <w:rPr>
          <w:rFonts w:hint="eastAsia"/>
        </w:rPr>
        <w:t>②</w:t>
      </w:r>
      <w:r>
        <w:rPr>
          <w:rFonts w:hint="eastAsia"/>
        </w:rPr>
        <w:fldChar w:fldCharType="end"/>
      </w:r>
      <w:r>
        <w:rPr>
          <w:rFonts w:hint="eastAsia"/>
        </w:rPr>
        <w:t>瞬时注入的示踪剂质量</w:t>
      </w:r>
      <w:r>
        <w:t>mM</w:t>
      </w:r>
    </w:p>
    <w:p>
      <w:pPr>
        <w:ind w:firstLine="480"/>
      </w:pPr>
      <w:r>
        <w:rPr>
          <w:rFonts w:hint="eastAsia"/>
        </w:rPr>
        <w:t>本工程污水处理站日处理量为</w:t>
      </w:r>
      <w:r>
        <w:t>418.6m</w:t>
      </w:r>
      <w:r>
        <w:rPr>
          <w:vertAlign w:val="superscript"/>
        </w:rPr>
        <w:t>3</w:t>
      </w:r>
      <w:r>
        <w:rPr>
          <w:rFonts w:hint="eastAsia"/>
        </w:rPr>
        <w:t>，假定渗漏面积为池底面积的</w:t>
      </w:r>
      <w:r>
        <w:t>5%</w:t>
      </w:r>
      <w:r>
        <w:rPr>
          <w:rFonts w:hint="eastAsia"/>
        </w:rPr>
        <w:t>，则废水中</w:t>
      </w:r>
      <w:r>
        <w:t>CODcr</w:t>
      </w:r>
      <w:r>
        <w:rPr>
          <w:rFonts w:hint="eastAsia"/>
        </w:rPr>
        <w:t>渗漏量为：</w:t>
      </w:r>
      <w:r>
        <w:t>1400mg/L</w:t>
      </w:r>
      <w:r>
        <w:rPr>
          <w:rFonts w:hint="eastAsia"/>
        </w:rPr>
        <w:t>×</w:t>
      </w:r>
      <w:r>
        <w:t>418.6m</w:t>
      </w:r>
      <w:r>
        <w:rPr>
          <w:vertAlign w:val="superscript"/>
        </w:rPr>
        <w:t>3</w:t>
      </w:r>
      <w:r>
        <w:t>/d</w:t>
      </w:r>
      <w:r>
        <w:rPr>
          <w:rFonts w:hint="eastAsia"/>
        </w:rPr>
        <w:t>×</w:t>
      </w:r>
      <w:r>
        <w:t>5%=29.302kg/d</w:t>
      </w:r>
      <w:r>
        <w:rPr>
          <w:rFonts w:hint="eastAsia"/>
        </w:rPr>
        <w:t>；氨氮渗漏量为：</w:t>
      </w:r>
      <w:r>
        <w:t>18mg/L</w:t>
      </w:r>
      <w:r>
        <w:rPr>
          <w:rFonts w:hint="eastAsia"/>
        </w:rPr>
        <w:t>×</w:t>
      </w:r>
      <w:r>
        <w:t>418.6m</w:t>
      </w:r>
      <w:r>
        <w:rPr>
          <w:vertAlign w:val="superscript"/>
        </w:rPr>
        <w:t>3</w:t>
      </w:r>
      <w:r>
        <w:t>/d</w:t>
      </w:r>
      <w:r>
        <w:rPr>
          <w:rFonts w:hint="eastAsia"/>
        </w:rPr>
        <w:t>×</w:t>
      </w:r>
      <w:r>
        <w:t>5%=0.377kg/d</w:t>
      </w:r>
    </w:p>
    <w:p>
      <w:pPr>
        <w:ind w:firstLine="480"/>
      </w:pPr>
      <w:r>
        <w:rPr>
          <w:rFonts w:hint="eastAsia"/>
        </w:rPr>
        <w:t>本环评要求建设单位对地下水监控计划设为每季度监测</w:t>
      </w:r>
      <w:r>
        <w:t>1</w:t>
      </w:r>
      <w:r>
        <w:rPr>
          <w:rFonts w:hint="eastAsia"/>
        </w:rPr>
        <w:t>次，则在此期间</w:t>
      </w:r>
      <w:r>
        <w:t>CODcr</w:t>
      </w:r>
      <w:r>
        <w:rPr>
          <w:rFonts w:hint="eastAsia"/>
        </w:rPr>
        <w:t>泄露量为</w:t>
      </w:r>
      <w:r>
        <w:t>2637.18kg</w:t>
      </w:r>
      <w:r>
        <w:rPr>
          <w:rFonts w:hint="eastAsia"/>
        </w:rPr>
        <w:t>，氨氮泄露量为</w:t>
      </w:r>
      <w:r>
        <w:t>33.9kg</w:t>
      </w:r>
      <w:r>
        <w:rPr>
          <w:rFonts w:hint="eastAsia"/>
        </w:rPr>
        <w:t>。</w:t>
      </w:r>
    </w:p>
    <w:p>
      <w:pPr>
        <w:ind w:firstLine="480"/>
      </w:pPr>
      <w:r>
        <w:rPr>
          <w:rFonts w:hint="eastAsia"/>
        </w:rPr>
        <w:fldChar w:fldCharType="begin"/>
      </w:r>
      <w:r>
        <w:instrText xml:space="preserve"> = 3 \* GB3 </w:instrText>
      </w:r>
      <w:r>
        <w:rPr>
          <w:rFonts w:hint="eastAsia"/>
        </w:rPr>
        <w:fldChar w:fldCharType="separate"/>
      </w:r>
      <w:r>
        <w:rPr>
          <w:rFonts w:hint="eastAsia"/>
        </w:rPr>
        <w:t>③</w:t>
      </w:r>
      <w:r>
        <w:rPr>
          <w:rFonts w:hint="eastAsia"/>
        </w:rPr>
        <w:fldChar w:fldCharType="end"/>
      </w:r>
      <w:r>
        <w:rPr>
          <w:rFonts w:hint="eastAsia"/>
        </w:rPr>
        <w:t>含水层的平均有效孔隙度</w:t>
      </w:r>
      <w:r>
        <w:t>ne</w:t>
      </w:r>
    </w:p>
    <w:p>
      <w:pPr>
        <w:ind w:firstLine="480"/>
      </w:pPr>
      <w:r>
        <w:rPr>
          <w:rFonts w:hint="eastAsia"/>
        </w:rPr>
        <w:t>评价区孔隙潜水含水层位于砂卵石层，砂卵石层上层为粉质粘土层，</w:t>
      </w:r>
      <w:r>
        <w:t>ne</w:t>
      </w:r>
      <w:r>
        <w:rPr>
          <w:rFonts w:hint="eastAsia"/>
        </w:rPr>
        <w:t>取经验值</w:t>
      </w:r>
      <w:r>
        <w:t>0.641</w:t>
      </w:r>
      <w:r>
        <w:rPr>
          <w:rFonts w:hint="eastAsia"/>
        </w:rPr>
        <w:t>。</w:t>
      </w:r>
    </w:p>
    <w:p>
      <w:pPr>
        <w:ind w:firstLine="480"/>
      </w:pPr>
      <w:r>
        <w:rPr>
          <w:rFonts w:hint="eastAsia"/>
        </w:rPr>
        <w:fldChar w:fldCharType="begin"/>
      </w:r>
      <w:r>
        <w:instrText xml:space="preserve"> = 4 \* GB3 </w:instrText>
      </w:r>
      <w:r>
        <w:rPr>
          <w:rFonts w:hint="eastAsia"/>
        </w:rPr>
        <w:fldChar w:fldCharType="separate"/>
      </w:r>
      <w:r>
        <w:rPr>
          <w:rFonts w:hint="eastAsia"/>
        </w:rPr>
        <w:t>④</w:t>
      </w:r>
      <w:r>
        <w:rPr>
          <w:rFonts w:hint="eastAsia"/>
        </w:rPr>
        <w:fldChar w:fldCharType="end"/>
      </w:r>
      <w:r>
        <w:rPr>
          <w:rFonts w:hint="eastAsia"/>
        </w:rPr>
        <w:t>水流速度</w:t>
      </w:r>
      <w:r>
        <w:t>u</w:t>
      </w:r>
    </w:p>
    <w:p>
      <w:pPr>
        <w:ind w:firstLine="480"/>
      </w:pPr>
      <w:r>
        <w:rPr>
          <w:rFonts w:hint="eastAsia"/>
        </w:rPr>
        <w:t>孔隙潜水含水层渗透系数</w:t>
      </w:r>
      <w:r>
        <w:t>4.76</w:t>
      </w:r>
      <w:r>
        <w:rPr>
          <w:rFonts w:hint="eastAsia"/>
        </w:rPr>
        <w:t>×</w:t>
      </w:r>
      <w:r>
        <w:t>10</w:t>
      </w:r>
      <w:r>
        <w:rPr>
          <w:vertAlign w:val="superscript"/>
        </w:rPr>
        <w:t>-5</w:t>
      </w:r>
      <w:r>
        <w:rPr>
          <w:rFonts w:hint="eastAsia"/>
        </w:rPr>
        <w:t>～</w:t>
      </w:r>
      <w:r>
        <w:t>7.21</w:t>
      </w:r>
      <w:r>
        <w:rPr>
          <w:rFonts w:hint="eastAsia"/>
        </w:rPr>
        <w:t>×</w:t>
      </w:r>
      <w:r>
        <w:t>10</w:t>
      </w:r>
      <w:r>
        <w:rPr>
          <w:vertAlign w:val="superscript"/>
        </w:rPr>
        <w:t>-5</w:t>
      </w:r>
      <w:r>
        <w:t>cm/s</w:t>
      </w:r>
      <w:r>
        <w:rPr>
          <w:rFonts w:hint="eastAsia"/>
        </w:rPr>
        <w:t>，取平均值</w:t>
      </w:r>
      <w:r>
        <w:t>5.99</w:t>
      </w:r>
      <w:r>
        <w:rPr>
          <w:rFonts w:hint="eastAsia"/>
        </w:rPr>
        <w:t>×</w:t>
      </w:r>
      <w:r>
        <w:t>10</w:t>
      </w:r>
      <w:r>
        <w:rPr>
          <w:vertAlign w:val="superscript"/>
        </w:rPr>
        <w:t>-5</w:t>
      </w:r>
      <w:r>
        <w:t>cm/s</w:t>
      </w:r>
      <w:r>
        <w:rPr>
          <w:rFonts w:hint="eastAsia"/>
        </w:rPr>
        <w:t>（</w:t>
      </w:r>
      <w:r>
        <w:t>0.0517m/d</w:t>
      </w:r>
      <w:r>
        <w:rPr>
          <w:rFonts w:hint="eastAsia"/>
        </w:rPr>
        <w:t>），地下水水力坡度根据本次地下水水位等值线取平均值为</w:t>
      </w:r>
      <w:r>
        <w:t>I=0.046</w:t>
      </w:r>
      <w:r>
        <w:rPr>
          <w:rFonts w:hint="eastAsia"/>
        </w:rPr>
        <w:t>，则地下水的实际渗透速度：</w:t>
      </w:r>
    </w:p>
    <w:p>
      <w:pPr>
        <w:ind w:firstLine="480"/>
      </w:pPr>
      <w:r>
        <w:t>V=KI/ne=0.0517</w:t>
      </w:r>
      <w:r>
        <w:rPr>
          <w:rFonts w:hint="eastAsia"/>
        </w:rPr>
        <w:t>×</w:t>
      </w:r>
      <w:r>
        <w:t>0.046/0.641=0.0037m/d</w:t>
      </w:r>
      <w:r>
        <w:rPr>
          <w:rFonts w:hint="eastAsia"/>
        </w:rPr>
        <w:t>。</w:t>
      </w:r>
    </w:p>
    <w:p>
      <w:pPr>
        <w:ind w:firstLine="480"/>
      </w:pPr>
      <w:r>
        <w:rPr>
          <w:rFonts w:hint="eastAsia"/>
        </w:rPr>
        <w:fldChar w:fldCharType="begin"/>
      </w:r>
      <w:r>
        <w:instrText xml:space="preserve"> = 5 \* GB3 </w:instrText>
      </w:r>
      <w:r>
        <w:rPr>
          <w:rFonts w:hint="eastAsia"/>
        </w:rPr>
        <w:fldChar w:fldCharType="separate"/>
      </w:r>
      <w:r>
        <w:rPr>
          <w:rFonts w:hint="eastAsia"/>
        </w:rPr>
        <w:t>⑤</w:t>
      </w:r>
      <w:r>
        <w:rPr>
          <w:rFonts w:hint="eastAsia"/>
        </w:rPr>
        <w:fldChar w:fldCharType="end"/>
      </w:r>
      <w:r>
        <w:rPr>
          <w:rFonts w:hint="eastAsia"/>
        </w:rPr>
        <w:t>纵向</w:t>
      </w:r>
      <w:r>
        <w:t>x</w:t>
      </w:r>
      <w:r>
        <w:rPr>
          <w:rFonts w:hint="eastAsia"/>
        </w:rPr>
        <w:t>方向的弥散系数</w:t>
      </w:r>
      <w:r>
        <w:t>DL</w:t>
      </w:r>
    </w:p>
    <w:p>
      <w:pPr>
        <w:ind w:firstLine="480"/>
      </w:pPr>
      <w:r>
        <w:rPr>
          <w:rFonts w:hint="eastAsia"/>
        </w:rPr>
        <w:t>参考</w:t>
      </w:r>
      <w:r>
        <w:t>Gelhar</w:t>
      </w:r>
      <w:r>
        <w:rPr>
          <w:rFonts w:hint="eastAsia"/>
        </w:rPr>
        <w:t>等人关于纵向弥散度与观测尺度关系的理论，根据本次场地的研究尺度，模型计算中纵向弥散度选用</w:t>
      </w:r>
      <w:r>
        <w:t>3.7m</w:t>
      </w:r>
      <w:r>
        <w:rPr>
          <w:rFonts w:hint="eastAsia"/>
        </w:rPr>
        <w:t>。</w:t>
      </w:r>
    </w:p>
    <w:p>
      <w:pPr>
        <w:ind w:firstLine="480"/>
      </w:pPr>
      <w:r>
        <w:rPr>
          <w:rFonts w:hint="eastAsia"/>
        </w:rPr>
        <w:t>由此估算评估区含水层中的纵向弥散系数：</w:t>
      </w:r>
    </w:p>
    <w:p>
      <w:pPr>
        <w:ind w:firstLine="480"/>
      </w:pPr>
      <w:r>
        <w:t>DL=</w:t>
      </w:r>
      <w:r>
        <w:rPr>
          <w:rFonts w:hint="eastAsia"/>
        </w:rPr>
        <w:t>α</w:t>
      </w:r>
      <w:r>
        <w:t>L</w:t>
      </w:r>
      <w:r>
        <w:rPr>
          <w:rFonts w:hint="eastAsia"/>
        </w:rPr>
        <w:t>×</w:t>
      </w:r>
      <w:r>
        <w:t>u=3.7m</w:t>
      </w:r>
      <w:r>
        <w:rPr>
          <w:rFonts w:hint="eastAsia"/>
        </w:rPr>
        <w:t>×</w:t>
      </w:r>
      <w:r>
        <w:t>0.0037m/d=0.01369m</w:t>
      </w:r>
      <w:r>
        <w:rPr>
          <w:vertAlign w:val="superscript"/>
        </w:rPr>
        <w:t>2</w:t>
      </w:r>
      <w:r>
        <w:t>/d</w:t>
      </w:r>
      <w:r>
        <w:rPr>
          <w:rFonts w:hint="eastAsia"/>
        </w:rPr>
        <w:t>。</w:t>
      </w:r>
    </w:p>
    <w:p>
      <w:pPr>
        <w:ind w:firstLine="480"/>
      </w:pPr>
      <w:r>
        <w:rPr>
          <w:rFonts w:hint="eastAsia"/>
        </w:rPr>
        <w:fldChar w:fldCharType="begin"/>
      </w:r>
      <w:r>
        <w:instrText xml:space="preserve"> = 6 \* GB3 </w:instrText>
      </w:r>
      <w:r>
        <w:rPr>
          <w:rFonts w:hint="eastAsia"/>
        </w:rPr>
        <w:fldChar w:fldCharType="separate"/>
      </w:r>
      <w:r>
        <w:rPr>
          <w:rFonts w:hint="eastAsia"/>
        </w:rPr>
        <w:t>⑥</w:t>
      </w:r>
      <w:r>
        <w:rPr>
          <w:rFonts w:hint="eastAsia"/>
        </w:rPr>
        <w:fldChar w:fldCharType="end"/>
      </w:r>
      <w:r>
        <w:rPr>
          <w:rFonts w:hint="eastAsia"/>
        </w:rPr>
        <w:t>横向</w:t>
      </w:r>
      <w:r>
        <w:t>y</w:t>
      </w:r>
      <w:r>
        <w:rPr>
          <w:rFonts w:hint="eastAsia"/>
        </w:rPr>
        <w:t>方向的弥散系数</w:t>
      </w:r>
      <w:r>
        <w:t>DT</w:t>
      </w:r>
    </w:p>
    <w:p>
      <w:pPr>
        <w:ind w:firstLine="480"/>
      </w:pPr>
      <w:r>
        <w:rPr>
          <w:rFonts w:hint="eastAsia"/>
        </w:rPr>
        <w:t>根据经验一般</w:t>
      </w:r>
      <w:r>
        <w:t>DT/DL=0.1</w:t>
      </w:r>
      <w:r>
        <w:rPr>
          <w:rFonts w:hint="eastAsia"/>
        </w:rPr>
        <w:t>，因此</w:t>
      </w:r>
      <w:r>
        <w:t>DT</w:t>
      </w:r>
      <w:r>
        <w:rPr>
          <w:rFonts w:hint="eastAsia"/>
        </w:rPr>
        <w:t>取为</w:t>
      </w:r>
      <w:r>
        <w:t>0.001369m</w:t>
      </w:r>
      <w:r>
        <w:rPr>
          <w:vertAlign w:val="superscript"/>
        </w:rPr>
        <w:t>2</w:t>
      </w:r>
      <w:r>
        <w:t>/d</w:t>
      </w:r>
      <w:r>
        <w:rPr>
          <w:rFonts w:hint="eastAsia"/>
        </w:rPr>
        <w:t>。</w:t>
      </w:r>
    </w:p>
    <w:p>
      <w:pPr>
        <w:ind w:firstLine="480"/>
      </w:pPr>
      <w:r>
        <w:rPr>
          <w:rFonts w:hint="eastAsia"/>
        </w:rPr>
        <w:t>各模型中参数取值汇总见表</w:t>
      </w:r>
      <w:r>
        <w:t>62-2</w:t>
      </w:r>
      <w:r>
        <w:rPr>
          <w:rFonts w:hint="eastAsia"/>
        </w:rPr>
        <w:t>。</w:t>
      </w:r>
    </w:p>
    <w:p>
      <w:pPr>
        <w:pStyle w:val="26"/>
      </w:pPr>
      <w:r>
        <w:rPr>
          <w:rFonts w:hint="eastAsia"/>
        </w:rPr>
        <w:t>表</w:t>
      </w:r>
      <w:r>
        <w:t xml:space="preserve">6.2-2  </w:t>
      </w:r>
      <w:r>
        <w:rPr>
          <w:rFonts w:hint="eastAsia"/>
        </w:rPr>
        <w:t>预测参数取值一览表</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311"/>
        <w:gridCol w:w="1147"/>
        <w:gridCol w:w="1474"/>
        <w:gridCol w:w="1474"/>
        <w:gridCol w:w="1801"/>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vAlign w:val="center"/>
          </w:tcPr>
          <w:p>
            <w:pPr>
              <w:pStyle w:val="26"/>
              <w:spacing w:line="240" w:lineRule="auto"/>
              <w:rPr>
                <w:kern w:val="2"/>
                <w:szCs w:val="21"/>
                <w:lang w:val="en-US" w:eastAsia="zh-CN"/>
              </w:rPr>
            </w:pPr>
            <w:r>
              <w:rPr>
                <w:rFonts w:hint="eastAsia"/>
                <w:kern w:val="2"/>
                <w:szCs w:val="21"/>
                <w:lang w:val="en-US" w:eastAsia="zh-CN"/>
              </w:rPr>
              <w:t>项目</w:t>
            </w:r>
          </w:p>
        </w:tc>
        <w:tc>
          <w:tcPr>
            <w:tcW w:w="1311" w:type="dxa"/>
            <w:vAlign w:val="center"/>
          </w:tcPr>
          <w:p>
            <w:pPr>
              <w:pStyle w:val="26"/>
              <w:spacing w:line="240" w:lineRule="auto"/>
              <w:rPr>
                <w:kern w:val="2"/>
                <w:szCs w:val="21"/>
                <w:lang w:val="en-US" w:eastAsia="zh-CN"/>
              </w:rPr>
            </w:pPr>
            <w:r>
              <w:rPr>
                <w:rFonts w:hint="eastAsia"/>
                <w:kern w:val="2"/>
                <w:szCs w:val="21"/>
                <w:lang w:val="en-US" w:eastAsia="zh-CN"/>
              </w:rPr>
              <w:t>渗透系数</w:t>
            </w:r>
            <w:r>
              <w:rPr>
                <w:kern w:val="2"/>
                <w:szCs w:val="21"/>
                <w:lang w:val="en-US" w:eastAsia="zh-CN"/>
              </w:rPr>
              <w:t>k</w:t>
            </w:r>
            <w:r>
              <w:rPr>
                <w:rFonts w:hint="eastAsia"/>
                <w:kern w:val="2"/>
                <w:szCs w:val="21"/>
                <w:lang w:val="en-US" w:eastAsia="zh-CN"/>
              </w:rPr>
              <w:t>（</w:t>
            </w:r>
            <w:r>
              <w:rPr>
                <w:kern w:val="2"/>
                <w:szCs w:val="21"/>
                <w:lang w:val="en-US" w:eastAsia="zh-CN"/>
              </w:rPr>
              <w:t>m/d</w:t>
            </w:r>
            <w:r>
              <w:rPr>
                <w:rFonts w:hint="eastAsia"/>
                <w:kern w:val="2"/>
                <w:szCs w:val="21"/>
                <w:lang w:val="en-US" w:eastAsia="zh-CN"/>
              </w:rPr>
              <w:t>）</w:t>
            </w:r>
          </w:p>
        </w:tc>
        <w:tc>
          <w:tcPr>
            <w:tcW w:w="1147" w:type="dxa"/>
            <w:vAlign w:val="center"/>
          </w:tcPr>
          <w:p>
            <w:pPr>
              <w:pStyle w:val="26"/>
              <w:spacing w:line="240" w:lineRule="auto"/>
              <w:rPr>
                <w:kern w:val="2"/>
                <w:szCs w:val="21"/>
                <w:lang w:val="en-US" w:eastAsia="zh-CN"/>
              </w:rPr>
            </w:pPr>
            <w:r>
              <w:rPr>
                <w:rFonts w:hint="eastAsia"/>
                <w:kern w:val="2"/>
                <w:szCs w:val="21"/>
                <w:lang w:val="en-US" w:eastAsia="zh-CN"/>
              </w:rPr>
              <w:t>水力坡度</w:t>
            </w:r>
            <w:r>
              <w:rPr>
                <w:kern w:val="2"/>
                <w:szCs w:val="21"/>
                <w:lang w:val="en-US" w:eastAsia="zh-CN"/>
              </w:rPr>
              <w:t>I</w:t>
            </w:r>
          </w:p>
        </w:tc>
        <w:tc>
          <w:tcPr>
            <w:tcW w:w="1474" w:type="dxa"/>
            <w:vAlign w:val="center"/>
          </w:tcPr>
          <w:p>
            <w:pPr>
              <w:pStyle w:val="26"/>
              <w:spacing w:line="240" w:lineRule="auto"/>
              <w:rPr>
                <w:kern w:val="2"/>
                <w:szCs w:val="21"/>
                <w:lang w:val="en-US" w:eastAsia="zh-CN"/>
              </w:rPr>
            </w:pPr>
            <w:r>
              <w:rPr>
                <w:rFonts w:hint="eastAsia"/>
                <w:kern w:val="2"/>
                <w:szCs w:val="21"/>
                <w:lang w:val="en-US" w:eastAsia="zh-CN"/>
              </w:rPr>
              <w:t>有效孔隙度</w:t>
            </w:r>
            <w:r>
              <w:rPr>
                <w:kern w:val="2"/>
                <w:szCs w:val="21"/>
                <w:lang w:val="en-US" w:eastAsia="zh-CN"/>
              </w:rPr>
              <w:t>ne</w:t>
            </w:r>
          </w:p>
        </w:tc>
        <w:tc>
          <w:tcPr>
            <w:tcW w:w="1474" w:type="dxa"/>
            <w:vAlign w:val="center"/>
          </w:tcPr>
          <w:p>
            <w:pPr>
              <w:pStyle w:val="26"/>
              <w:spacing w:line="240" w:lineRule="auto"/>
              <w:rPr>
                <w:kern w:val="2"/>
                <w:szCs w:val="21"/>
                <w:lang w:val="en-US" w:eastAsia="zh-CN"/>
              </w:rPr>
            </w:pPr>
            <w:r>
              <w:rPr>
                <w:rFonts w:hint="eastAsia"/>
                <w:kern w:val="2"/>
                <w:szCs w:val="21"/>
                <w:lang w:val="en-US" w:eastAsia="zh-CN"/>
              </w:rPr>
              <w:t>地下水流速</w:t>
            </w:r>
            <w:r>
              <w:rPr>
                <w:kern w:val="2"/>
                <w:szCs w:val="21"/>
                <w:lang w:val="en-US" w:eastAsia="zh-CN"/>
              </w:rPr>
              <w:t>u</w:t>
            </w:r>
            <w:r>
              <w:rPr>
                <w:rFonts w:hint="eastAsia"/>
                <w:kern w:val="2"/>
                <w:szCs w:val="21"/>
                <w:lang w:val="en-US" w:eastAsia="zh-CN"/>
              </w:rPr>
              <w:t>（</w:t>
            </w:r>
            <w:r>
              <w:rPr>
                <w:kern w:val="2"/>
                <w:szCs w:val="21"/>
                <w:lang w:val="en-US" w:eastAsia="zh-CN"/>
              </w:rPr>
              <w:t>m/d</w:t>
            </w:r>
            <w:r>
              <w:rPr>
                <w:rFonts w:hint="eastAsia"/>
                <w:kern w:val="2"/>
                <w:szCs w:val="21"/>
                <w:lang w:val="en-US" w:eastAsia="zh-CN"/>
              </w:rPr>
              <w:t>）</w:t>
            </w:r>
          </w:p>
        </w:tc>
        <w:tc>
          <w:tcPr>
            <w:tcW w:w="1801" w:type="dxa"/>
            <w:vAlign w:val="center"/>
          </w:tcPr>
          <w:p>
            <w:pPr>
              <w:pStyle w:val="26"/>
              <w:spacing w:line="240" w:lineRule="auto"/>
              <w:rPr>
                <w:kern w:val="2"/>
                <w:szCs w:val="21"/>
                <w:lang w:val="en-US" w:eastAsia="zh-CN"/>
              </w:rPr>
            </w:pPr>
            <w:r>
              <w:rPr>
                <w:rFonts w:hint="eastAsia"/>
                <w:kern w:val="2"/>
                <w:szCs w:val="21"/>
                <w:lang w:val="en-US" w:eastAsia="zh-CN"/>
              </w:rPr>
              <w:t>纵向弥散系数（</w:t>
            </w:r>
            <w:r>
              <w:rPr>
                <w:kern w:val="2"/>
                <w:szCs w:val="21"/>
                <w:lang w:val="en-US" w:eastAsia="zh-CN"/>
              </w:rPr>
              <w:t>m2/d</w:t>
            </w:r>
            <w:r>
              <w:rPr>
                <w:rFonts w:hint="eastAsia"/>
                <w:kern w:val="2"/>
                <w:szCs w:val="21"/>
                <w:lang w:val="en-US" w:eastAsia="zh-CN"/>
              </w:rPr>
              <w:t>）</w:t>
            </w:r>
          </w:p>
        </w:tc>
        <w:tc>
          <w:tcPr>
            <w:tcW w:w="1866" w:type="dxa"/>
            <w:vAlign w:val="center"/>
          </w:tcPr>
          <w:p>
            <w:pPr>
              <w:pStyle w:val="26"/>
              <w:spacing w:line="240" w:lineRule="auto"/>
              <w:rPr>
                <w:kern w:val="2"/>
                <w:szCs w:val="21"/>
                <w:lang w:val="en-US" w:eastAsia="zh-CN"/>
              </w:rPr>
            </w:pPr>
            <w:r>
              <w:rPr>
                <w:rFonts w:hint="eastAsia"/>
                <w:kern w:val="2"/>
                <w:szCs w:val="21"/>
                <w:lang w:val="en-US" w:eastAsia="zh-CN"/>
              </w:rPr>
              <w:t>横向弥散系数（</w:t>
            </w:r>
            <w:r>
              <w:rPr>
                <w:kern w:val="2"/>
                <w:szCs w:val="21"/>
                <w:lang w:val="en-US" w:eastAsia="zh-CN"/>
              </w:rPr>
              <w:t>m2/d</w:t>
            </w: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1" w:type="dxa"/>
            <w:vAlign w:val="center"/>
          </w:tcPr>
          <w:p>
            <w:pPr>
              <w:pStyle w:val="26"/>
              <w:spacing w:line="240" w:lineRule="auto"/>
              <w:rPr>
                <w:kern w:val="2"/>
                <w:szCs w:val="21"/>
                <w:lang w:val="en-US" w:eastAsia="zh-CN"/>
              </w:rPr>
            </w:pPr>
            <w:r>
              <w:rPr>
                <w:rFonts w:hint="eastAsia"/>
                <w:kern w:val="2"/>
                <w:szCs w:val="21"/>
                <w:lang w:val="en-US" w:eastAsia="zh-CN"/>
              </w:rPr>
              <w:t>取值</w:t>
            </w:r>
          </w:p>
        </w:tc>
        <w:tc>
          <w:tcPr>
            <w:tcW w:w="1311" w:type="dxa"/>
            <w:vAlign w:val="center"/>
          </w:tcPr>
          <w:p>
            <w:pPr>
              <w:pStyle w:val="26"/>
              <w:spacing w:line="240" w:lineRule="auto"/>
              <w:rPr>
                <w:kern w:val="2"/>
                <w:szCs w:val="21"/>
                <w:lang w:val="en-US" w:eastAsia="zh-CN"/>
              </w:rPr>
            </w:pPr>
            <w:r>
              <w:rPr>
                <w:kern w:val="2"/>
                <w:szCs w:val="21"/>
                <w:lang w:val="en-US" w:eastAsia="zh-CN"/>
              </w:rPr>
              <w:t>0.0517</w:t>
            </w:r>
          </w:p>
        </w:tc>
        <w:tc>
          <w:tcPr>
            <w:tcW w:w="1147" w:type="dxa"/>
            <w:vAlign w:val="center"/>
          </w:tcPr>
          <w:p>
            <w:pPr>
              <w:pStyle w:val="26"/>
              <w:spacing w:line="240" w:lineRule="auto"/>
              <w:rPr>
                <w:kern w:val="2"/>
                <w:szCs w:val="21"/>
                <w:lang w:val="en-US" w:eastAsia="zh-CN"/>
              </w:rPr>
            </w:pPr>
            <w:r>
              <w:rPr>
                <w:kern w:val="2"/>
                <w:szCs w:val="21"/>
                <w:lang w:val="en-US" w:eastAsia="zh-CN"/>
              </w:rPr>
              <w:t>0.046</w:t>
            </w:r>
          </w:p>
        </w:tc>
        <w:tc>
          <w:tcPr>
            <w:tcW w:w="1474" w:type="dxa"/>
            <w:vAlign w:val="center"/>
          </w:tcPr>
          <w:p>
            <w:pPr>
              <w:pStyle w:val="26"/>
              <w:spacing w:line="240" w:lineRule="auto"/>
              <w:rPr>
                <w:kern w:val="2"/>
                <w:szCs w:val="21"/>
                <w:lang w:val="en-US" w:eastAsia="zh-CN"/>
              </w:rPr>
            </w:pPr>
            <w:r>
              <w:rPr>
                <w:kern w:val="2"/>
                <w:szCs w:val="21"/>
                <w:lang w:val="en-US" w:eastAsia="zh-CN"/>
              </w:rPr>
              <w:t>0.641</w:t>
            </w:r>
          </w:p>
        </w:tc>
        <w:tc>
          <w:tcPr>
            <w:tcW w:w="1474" w:type="dxa"/>
            <w:vAlign w:val="center"/>
          </w:tcPr>
          <w:p>
            <w:pPr>
              <w:pStyle w:val="26"/>
              <w:spacing w:line="240" w:lineRule="auto"/>
              <w:rPr>
                <w:kern w:val="2"/>
                <w:szCs w:val="21"/>
                <w:lang w:val="en-US" w:eastAsia="zh-CN"/>
              </w:rPr>
            </w:pPr>
            <w:r>
              <w:rPr>
                <w:kern w:val="2"/>
                <w:szCs w:val="21"/>
                <w:lang w:val="en-US" w:eastAsia="zh-CN"/>
              </w:rPr>
              <w:t>0.0037</w:t>
            </w:r>
          </w:p>
        </w:tc>
        <w:tc>
          <w:tcPr>
            <w:tcW w:w="1801" w:type="dxa"/>
            <w:vAlign w:val="center"/>
          </w:tcPr>
          <w:p>
            <w:pPr>
              <w:pStyle w:val="26"/>
              <w:spacing w:line="240" w:lineRule="auto"/>
              <w:rPr>
                <w:kern w:val="2"/>
                <w:szCs w:val="21"/>
                <w:lang w:val="en-US" w:eastAsia="zh-CN"/>
              </w:rPr>
            </w:pPr>
            <w:r>
              <w:rPr>
                <w:kern w:val="2"/>
                <w:szCs w:val="21"/>
                <w:lang w:val="en-US" w:eastAsia="zh-CN"/>
              </w:rPr>
              <w:t>0.01369</w:t>
            </w:r>
          </w:p>
        </w:tc>
        <w:tc>
          <w:tcPr>
            <w:tcW w:w="1866" w:type="dxa"/>
            <w:vAlign w:val="center"/>
          </w:tcPr>
          <w:p>
            <w:pPr>
              <w:pStyle w:val="26"/>
              <w:spacing w:line="240" w:lineRule="auto"/>
              <w:rPr>
                <w:kern w:val="2"/>
                <w:szCs w:val="21"/>
                <w:lang w:val="en-US" w:eastAsia="zh-CN"/>
              </w:rPr>
            </w:pPr>
            <w:r>
              <w:rPr>
                <w:kern w:val="2"/>
                <w:szCs w:val="21"/>
                <w:lang w:val="en-US" w:eastAsia="zh-CN"/>
              </w:rPr>
              <w:t>0.001369</w:t>
            </w:r>
          </w:p>
        </w:tc>
      </w:tr>
    </w:tbl>
    <w:p>
      <w:pPr>
        <w:ind w:firstLine="480"/>
      </w:pPr>
      <w:r>
        <w:rPr>
          <w:rFonts w:hint="eastAsia"/>
        </w:rPr>
        <w:t>（</w:t>
      </w:r>
      <w:r>
        <w:t>3</w:t>
      </w:r>
      <w:r>
        <w:rPr>
          <w:rFonts w:hint="eastAsia"/>
        </w:rPr>
        <w:t>）预测内容及评价标准</w:t>
      </w:r>
    </w:p>
    <w:p>
      <w:pPr>
        <w:ind w:firstLine="480"/>
      </w:pPr>
      <w:r>
        <w:rPr>
          <w:rFonts w:hint="eastAsia"/>
        </w:rPr>
        <w:t>本次模拟预测，根据污染风险分析的情景设计，在选定优先控制污染物的基础上，分别对地下水污染物在不同时段的运移距离、超标范围进行模拟预测，并预测下游最近敏感点污染物的贡献值影响程度。</w:t>
      </w:r>
    </w:p>
    <w:p>
      <w:pPr>
        <w:ind w:firstLine="480"/>
      </w:pPr>
      <w:r>
        <w:rPr>
          <w:rFonts w:hint="eastAsia"/>
        </w:rPr>
        <w:t>项目建设期及服务期满后用水量及排水量都很小，对地下水流场及水质影响极弱，因此报告仅对生产运行期可能对地下水环境造成影响进行预测。</w:t>
      </w:r>
    </w:p>
    <w:p>
      <w:pPr>
        <w:ind w:firstLine="480"/>
      </w:pPr>
      <w:r>
        <w:rPr>
          <w:rFonts w:hint="eastAsia"/>
        </w:rPr>
        <w:t>本项目地下水水质标准执行《地下水水质标准》（</w:t>
      </w:r>
      <w:r>
        <w:t>GB/T14848</w:t>
      </w:r>
      <w:r>
        <w:rPr>
          <w:rFonts w:hint="eastAsia"/>
        </w:rPr>
        <w:t>－</w:t>
      </w:r>
      <w:r>
        <w:t>93</w:t>
      </w:r>
      <w:r>
        <w:rPr>
          <w:rFonts w:hint="eastAsia"/>
        </w:rPr>
        <w:t>）中的</w:t>
      </w:r>
      <w:r>
        <w:fldChar w:fldCharType="begin"/>
      </w:r>
      <w:r>
        <w:instrText xml:space="preserve"> = 3 \* ROMAN </w:instrText>
      </w:r>
      <w:r>
        <w:fldChar w:fldCharType="separate"/>
      </w:r>
      <w:r>
        <w:t>III</w:t>
      </w:r>
      <w:r>
        <w:fldChar w:fldCharType="end"/>
      </w:r>
      <w:r>
        <w:rPr>
          <w:rFonts w:hint="eastAsia"/>
        </w:rPr>
        <w:t>类标准，地下水影响评价时，将模型计算所得的浓度增量值和本底值进行叠加后，对照水质标准进行评价。其中预测计算时</w:t>
      </w:r>
      <w:r>
        <w:t>COD</w:t>
      </w:r>
      <w:r>
        <w:rPr>
          <w:rFonts w:hint="eastAsia"/>
        </w:rPr>
        <w:t>源强按</w:t>
      </w:r>
      <w:r>
        <w:t>CODcr</w:t>
      </w:r>
      <w:r>
        <w:rPr>
          <w:rFonts w:hint="eastAsia"/>
        </w:rPr>
        <w:t>计算，因《地下水水质标准》中无</w:t>
      </w:r>
      <w:r>
        <w:t>CODcr</w:t>
      </w:r>
      <w:r>
        <w:rPr>
          <w:rFonts w:hint="eastAsia"/>
        </w:rPr>
        <w:t>标准，因此评价时将</w:t>
      </w:r>
      <w:r>
        <w:t>CODcr</w:t>
      </w:r>
      <w:r>
        <w:rPr>
          <w:rFonts w:hint="eastAsia"/>
        </w:rPr>
        <w:t>转化为高锰酸盐指数进行评价。</w:t>
      </w:r>
    </w:p>
    <w:p>
      <w:pPr>
        <w:pStyle w:val="26"/>
      </w:pPr>
      <w:r>
        <w:rPr>
          <w:rFonts w:hint="eastAsia"/>
        </w:rPr>
        <w:t>表</w:t>
      </w:r>
      <w:r>
        <w:t xml:space="preserve">6.2-3  </w:t>
      </w:r>
      <w:r>
        <w:rPr>
          <w:rFonts w:hint="eastAsia"/>
        </w:rPr>
        <w:t>主要污染物标准值</w:t>
      </w:r>
    </w:p>
    <w:tbl>
      <w:tblPr>
        <w:tblStyle w:val="23"/>
        <w:tblW w:w="75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5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2074" w:type="dxa"/>
            <w:vAlign w:val="center"/>
          </w:tcPr>
          <w:p>
            <w:pPr>
              <w:pStyle w:val="25"/>
              <w:rPr>
                <w:kern w:val="2"/>
                <w:szCs w:val="21"/>
                <w:lang w:val="en-US" w:eastAsia="zh-CN"/>
              </w:rPr>
            </w:pPr>
            <w:r>
              <w:rPr>
                <w:rFonts w:hint="eastAsia"/>
                <w:kern w:val="2"/>
                <w:szCs w:val="21"/>
                <w:lang w:val="en-US" w:eastAsia="zh-CN"/>
              </w:rPr>
              <w:t>污染物</w:t>
            </w:r>
          </w:p>
        </w:tc>
        <w:tc>
          <w:tcPr>
            <w:tcW w:w="5473" w:type="dxa"/>
            <w:vAlign w:val="center"/>
          </w:tcPr>
          <w:p>
            <w:pPr>
              <w:pStyle w:val="25"/>
              <w:rPr>
                <w:kern w:val="2"/>
                <w:szCs w:val="21"/>
                <w:lang w:val="en-US" w:eastAsia="zh-CN"/>
              </w:rPr>
            </w:pPr>
            <w:r>
              <w:rPr>
                <w:rFonts w:hint="eastAsia"/>
                <w:kern w:val="2"/>
                <w:szCs w:val="21"/>
                <w:lang w:val="en-US" w:eastAsia="zh-CN"/>
              </w:rPr>
              <w:t>标准值（</w:t>
            </w:r>
            <w:r>
              <w:rPr>
                <w:kern w:val="2"/>
                <w:szCs w:val="21"/>
                <w:lang w:val="en-US" w:eastAsia="zh-CN"/>
              </w:rPr>
              <w:t>mg/l</w:t>
            </w: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jc w:val="center"/>
        </w:trPr>
        <w:tc>
          <w:tcPr>
            <w:tcW w:w="2074" w:type="dxa"/>
            <w:vAlign w:val="center"/>
          </w:tcPr>
          <w:p>
            <w:pPr>
              <w:pStyle w:val="25"/>
              <w:rPr>
                <w:kern w:val="2"/>
                <w:szCs w:val="21"/>
                <w:lang w:val="en-US" w:eastAsia="zh-CN"/>
              </w:rPr>
            </w:pPr>
            <w:r>
              <w:rPr>
                <w:rFonts w:hint="eastAsia"/>
                <w:kern w:val="2"/>
                <w:szCs w:val="21"/>
                <w:lang w:val="en-US" w:eastAsia="zh-CN"/>
              </w:rPr>
              <w:t>高锰酸盐指数</w:t>
            </w:r>
          </w:p>
        </w:tc>
        <w:tc>
          <w:tcPr>
            <w:tcW w:w="5473" w:type="dxa"/>
            <w:vAlign w:val="center"/>
          </w:tcPr>
          <w:p>
            <w:pPr>
              <w:pStyle w:val="25"/>
              <w:rPr>
                <w:kern w:val="2"/>
                <w:szCs w:val="21"/>
                <w:lang w:val="en-US" w:eastAsia="zh-CN"/>
              </w:rPr>
            </w:pPr>
            <w:r>
              <w:rPr>
                <w:kern w:val="2"/>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2074" w:type="dxa"/>
            <w:vAlign w:val="center"/>
          </w:tcPr>
          <w:p>
            <w:pPr>
              <w:pStyle w:val="25"/>
              <w:rPr>
                <w:kern w:val="2"/>
                <w:szCs w:val="21"/>
                <w:lang w:val="en-US" w:eastAsia="zh-CN"/>
              </w:rPr>
            </w:pPr>
            <w:r>
              <w:rPr>
                <w:rFonts w:hint="eastAsia"/>
                <w:kern w:val="2"/>
                <w:szCs w:val="21"/>
                <w:lang w:val="en-US" w:eastAsia="zh-CN"/>
              </w:rPr>
              <w:t>氨氮</w:t>
            </w:r>
          </w:p>
        </w:tc>
        <w:tc>
          <w:tcPr>
            <w:tcW w:w="5473" w:type="dxa"/>
            <w:vAlign w:val="center"/>
          </w:tcPr>
          <w:p>
            <w:pPr>
              <w:pStyle w:val="25"/>
              <w:rPr>
                <w:kern w:val="2"/>
                <w:szCs w:val="21"/>
                <w:lang w:val="en-US" w:eastAsia="zh-CN"/>
              </w:rPr>
            </w:pPr>
            <w:r>
              <w:rPr>
                <w:kern w:val="2"/>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7547" w:type="dxa"/>
            <w:gridSpan w:val="2"/>
            <w:vAlign w:val="center"/>
          </w:tcPr>
          <w:p>
            <w:pPr>
              <w:pStyle w:val="25"/>
              <w:rPr>
                <w:kern w:val="2"/>
                <w:szCs w:val="21"/>
                <w:lang w:val="en-US" w:eastAsia="zh-CN"/>
              </w:rPr>
            </w:pPr>
            <w:r>
              <w:rPr>
                <w:kern w:val="2"/>
                <w:szCs w:val="21"/>
                <w:lang w:val="en-US" w:eastAsia="zh-CN"/>
              </w:rPr>
              <w:t>COD</w:t>
            </w:r>
            <w:r>
              <w:rPr>
                <w:rFonts w:hint="eastAsia"/>
                <w:kern w:val="2"/>
                <w:szCs w:val="21"/>
                <w:lang w:val="en-US" w:eastAsia="zh-CN"/>
              </w:rPr>
              <w:t>：高锰酸盐指数＝</w:t>
            </w:r>
            <w:r>
              <w:rPr>
                <w:kern w:val="2"/>
                <w:szCs w:val="21"/>
                <w:lang w:val="en-US" w:eastAsia="zh-CN"/>
              </w:rPr>
              <w:t>4</w:t>
            </w:r>
          </w:p>
        </w:tc>
      </w:tr>
    </w:tbl>
    <w:p>
      <w:pPr>
        <w:ind w:firstLine="480"/>
      </w:pPr>
      <w:r>
        <w:rPr>
          <w:rFonts w:hint="eastAsia"/>
        </w:rPr>
        <w:t>（</w:t>
      </w:r>
      <w:r>
        <w:t>4</w:t>
      </w:r>
      <w:r>
        <w:rPr>
          <w:rFonts w:hint="eastAsia"/>
        </w:rPr>
        <w:t>）影响预测分析</w:t>
      </w:r>
    </w:p>
    <w:p>
      <w:pPr>
        <w:ind w:firstLine="480"/>
      </w:pPr>
      <w:r>
        <w:rPr>
          <w:rFonts w:hint="eastAsia"/>
        </w:rPr>
        <w:fldChar w:fldCharType="begin"/>
      </w:r>
      <w:r>
        <w:instrText xml:space="preserve"> = 1 \* GB3 </w:instrText>
      </w:r>
      <w:r>
        <w:rPr>
          <w:rFonts w:hint="eastAsia"/>
        </w:rPr>
        <w:fldChar w:fldCharType="separate"/>
      </w:r>
      <w:r>
        <w:rPr>
          <w:rFonts w:hint="eastAsia"/>
        </w:rPr>
        <w:t>①</w:t>
      </w:r>
      <w:r>
        <w:rPr>
          <w:rFonts w:hint="eastAsia"/>
        </w:rPr>
        <w:fldChar w:fldCharType="end"/>
      </w:r>
      <w:r>
        <w:rPr>
          <w:rFonts w:hint="eastAsia"/>
        </w:rPr>
        <w:t>下游监控井浓度变化分析</w:t>
      </w:r>
    </w:p>
    <w:p>
      <w:pPr>
        <w:ind w:firstLine="480"/>
      </w:pPr>
      <w:r>
        <w:rPr>
          <w:rFonts w:hint="eastAsia"/>
        </w:rPr>
        <w:t>本次考虑将厂区地下水监测井布设在距厂区污水处理站东北侧</w:t>
      </w:r>
      <w:r>
        <w:t>10m</w:t>
      </w:r>
      <w:r>
        <w:rPr>
          <w:rFonts w:hint="eastAsia"/>
        </w:rPr>
        <w:t>处。</w:t>
      </w:r>
    </w:p>
    <w:p>
      <w:pPr>
        <w:ind w:firstLine="480"/>
      </w:pPr>
      <w:r>
        <w:rPr>
          <w:rFonts w:hint="eastAsia"/>
        </w:rPr>
        <w:t>将确定的的参数代入预测模型，便可以求出含水层在任何时刻的污染物污染浓度的分布情况。污水处理厂泄露的高锰酸盐指数、氨氮浓度变化趋势如图</w:t>
      </w:r>
      <w:r>
        <w:t>6.2-1</w:t>
      </w:r>
      <w:r>
        <w:rPr>
          <w:rFonts w:hint="eastAsia"/>
        </w:rPr>
        <w:t>、图</w:t>
      </w:r>
      <w:r>
        <w:t>6.2-2</w:t>
      </w:r>
      <w:r>
        <w:rPr>
          <w:rFonts w:hint="eastAsia"/>
        </w:rPr>
        <w:t>所示。</w:t>
      </w:r>
    </w:p>
    <w:p>
      <w:pPr>
        <w:ind w:firstLine="0" w:firstLineChars="0"/>
        <w:jc w:val="center"/>
      </w:pPr>
      <w:r>
        <w:pict>
          <v:shape id="_x0000_i1038" o:spt="75" alt="说明: C:\Users\Administrator\AppData\Roaming\Tencent\Users\76649923\QQ\WinTemp\RichOle\982W)~4V}@T`C2}_%EEEMM2.png" type="#_x0000_t75" style="height:177.75pt;width:387.4pt;" filled="f" o:preferrelative="t" stroked="f" coordsize="21600,21600">
            <v:path/>
            <v:fill on="f" focussize="0,0"/>
            <v:stroke on="f"/>
            <v:imagedata r:id="rId37" o:title=""/>
            <o:lock v:ext="edit" aspectratio="t"/>
            <w10:wrap type="none"/>
            <w10:anchorlock/>
          </v:shape>
        </w:pict>
      </w:r>
    </w:p>
    <w:p>
      <w:pPr>
        <w:pStyle w:val="26"/>
        <w:rPr>
          <w:b/>
          <w:bCs/>
        </w:rPr>
      </w:pPr>
      <w:r>
        <w:rPr>
          <w:rFonts w:hint="eastAsia"/>
          <w:b/>
          <w:bCs/>
        </w:rPr>
        <w:t>图</w:t>
      </w:r>
      <w:r>
        <w:rPr>
          <w:b/>
          <w:bCs/>
        </w:rPr>
        <w:t xml:space="preserve">6.2-1 </w:t>
      </w:r>
      <w:r>
        <w:rPr>
          <w:rFonts w:hint="eastAsia"/>
          <w:b/>
          <w:bCs/>
        </w:rPr>
        <w:t>污水处理站调节池泄露后监控井处高锰酸盐指数浓度变化趋势图</w:t>
      </w:r>
    </w:p>
    <w:p>
      <w:pPr>
        <w:ind w:firstLine="0" w:firstLineChars="0"/>
        <w:jc w:val="center"/>
      </w:pPr>
      <w:r>
        <w:pict>
          <v:shape id="_x0000_i1039" o:spt="75" alt="说明: C:\Users\Administrator\AppData\Roaming\Tencent\Users\76649923\QQ\WinTemp\RichOle\UPH0QDK({59BR$B69J2)UB2.png" type="#_x0000_t75" style="height:188.35pt;width:384.2pt;" filled="f" o:preferrelative="t" stroked="f" coordsize="21600,21600">
            <v:path/>
            <v:fill on="f" focussize="0,0"/>
            <v:stroke on="f"/>
            <v:imagedata r:id="rId38" o:title=""/>
            <o:lock v:ext="edit" aspectratio="t"/>
            <w10:wrap type="none"/>
            <w10:anchorlock/>
          </v:shape>
        </w:pict>
      </w:r>
    </w:p>
    <w:p>
      <w:pPr>
        <w:pStyle w:val="26"/>
        <w:rPr>
          <w:b/>
          <w:bCs/>
        </w:rPr>
      </w:pPr>
      <w:r>
        <w:rPr>
          <w:rFonts w:hint="eastAsia"/>
          <w:b/>
          <w:bCs/>
        </w:rPr>
        <w:t>图</w:t>
      </w:r>
      <w:r>
        <w:rPr>
          <w:b/>
          <w:bCs/>
        </w:rPr>
        <w:t xml:space="preserve">6.2-2  </w:t>
      </w:r>
      <w:r>
        <w:rPr>
          <w:rFonts w:hint="eastAsia"/>
          <w:b/>
          <w:bCs/>
        </w:rPr>
        <w:t>污水处理站调节池泄露后监控井处氨氮浓度变化趋势图</w:t>
      </w:r>
    </w:p>
    <w:p>
      <w:pPr>
        <w:ind w:firstLine="480"/>
      </w:pPr>
      <w:r>
        <w:rPr>
          <w:rFonts w:hint="eastAsia"/>
        </w:rPr>
        <w:t>从图</w:t>
      </w:r>
      <w:r>
        <w:t>6.2-1</w:t>
      </w:r>
      <w:r>
        <w:rPr>
          <w:rFonts w:hint="eastAsia"/>
        </w:rPr>
        <w:t>、图</w:t>
      </w:r>
      <w:r>
        <w:t>6.2-2</w:t>
      </w:r>
      <w:r>
        <w:rPr>
          <w:rFonts w:hint="eastAsia"/>
        </w:rPr>
        <w:t>可以看出，本项目污水处理站池体泄露后下游</w:t>
      </w:r>
      <w:r>
        <w:t>10m</w:t>
      </w:r>
      <w:r>
        <w:rPr>
          <w:rFonts w:hint="eastAsia"/>
        </w:rPr>
        <w:t>监控井中，泄露高锰酸盐指数、氨氮浓度贡献值呈先缓慢上升后急速上升趋势，在渗漏第</w:t>
      </w:r>
      <w:r>
        <w:t>1880d</w:t>
      </w:r>
      <w:r>
        <w:rPr>
          <w:rFonts w:hint="eastAsia"/>
        </w:rPr>
        <w:t>后，监测井中高锰酸盐指数、氨氮贡献浓度达到最大值，分别为</w:t>
      </w:r>
      <w:r>
        <w:t>2162mg/L</w:t>
      </w:r>
      <w:r>
        <w:rPr>
          <w:rFonts w:hint="eastAsia"/>
        </w:rPr>
        <w:t>、</w:t>
      </w:r>
      <w:r>
        <w:t>77.1mg/L</w:t>
      </w:r>
      <w:r>
        <w:rPr>
          <w:rFonts w:hint="eastAsia"/>
        </w:rPr>
        <w:t>。</w:t>
      </w:r>
    </w:p>
    <w:p>
      <w:pPr>
        <w:ind w:firstLine="480"/>
      </w:pPr>
      <w:r>
        <w:rPr>
          <w:rFonts w:hint="eastAsia"/>
        </w:rPr>
        <w:t>因此，要求建设单位按照本报告提出的防渗措施及计划做好各废水处理池体和污泥处置系统的防渗措施，避免池体等破损泄露而造成地下水水质污染。</w:t>
      </w:r>
    </w:p>
    <w:p>
      <w:pPr>
        <w:ind w:firstLine="480"/>
      </w:pPr>
      <w:r>
        <w:rPr>
          <w:rFonts w:hint="eastAsia"/>
        </w:rPr>
        <w:t>②下游监控井浓度变化分析</w:t>
      </w:r>
    </w:p>
    <w:p>
      <w:pPr>
        <w:pStyle w:val="25"/>
        <w:rPr>
          <w:b/>
          <w:bCs/>
        </w:rPr>
      </w:pPr>
      <w:r>
        <w:rPr>
          <w:rFonts w:hint="eastAsia"/>
          <w:b/>
          <w:bCs/>
        </w:rPr>
        <w:t>表</w:t>
      </w:r>
      <w:r>
        <w:rPr>
          <w:b/>
          <w:bCs/>
        </w:rPr>
        <w:t xml:space="preserve">6.2-4   </w:t>
      </w:r>
      <w:r>
        <w:rPr>
          <w:rFonts w:hint="eastAsia"/>
          <w:b/>
          <w:bCs/>
        </w:rPr>
        <w:t>污染物高锰酸盐指数对地下水影响预测结果（</w:t>
      </w:r>
      <w:r>
        <w:rPr>
          <w:b/>
          <w:bCs/>
        </w:rPr>
        <w:t>mg/L</w:t>
      </w:r>
      <w:r>
        <w:rPr>
          <w:rFonts w:hint="eastAsia"/>
          <w:b/>
          <w:bCs/>
        </w:rPr>
        <w:t>）</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402"/>
        <w:gridCol w:w="1402"/>
        <w:gridCol w:w="1402"/>
        <w:gridCol w:w="1403"/>
        <w:gridCol w:w="1402"/>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441" w:type="dxa"/>
            <w:vMerge w:val="restart"/>
            <w:vAlign w:val="center"/>
          </w:tcPr>
          <w:p>
            <w:pPr>
              <w:pStyle w:val="25"/>
              <w:rPr>
                <w:kern w:val="2"/>
                <w:szCs w:val="21"/>
                <w:lang w:val="en-US" w:eastAsia="zh-CN"/>
              </w:rPr>
            </w:pPr>
            <w:r>
              <w:rPr>
                <w:rFonts w:hint="eastAsia"/>
                <w:kern w:val="2"/>
                <w:szCs w:val="21"/>
                <w:lang w:val="en-US" w:eastAsia="zh-CN"/>
              </w:rPr>
              <w:t>时间</w:t>
            </w:r>
            <w:r>
              <w:rPr>
                <w:kern w:val="2"/>
                <w:szCs w:val="21"/>
                <w:lang w:val="en-US" w:eastAsia="zh-CN"/>
              </w:rPr>
              <w:t>(day)</w:t>
            </w:r>
          </w:p>
        </w:tc>
        <w:tc>
          <w:tcPr>
            <w:tcW w:w="8413" w:type="dxa"/>
            <w:gridSpan w:val="6"/>
            <w:vAlign w:val="center"/>
          </w:tcPr>
          <w:p>
            <w:pPr>
              <w:pStyle w:val="25"/>
              <w:rPr>
                <w:kern w:val="2"/>
                <w:szCs w:val="21"/>
                <w:lang w:val="en-US" w:eastAsia="zh-CN"/>
              </w:rPr>
            </w:pPr>
            <w:r>
              <w:rPr>
                <w:rFonts w:hint="eastAsia"/>
                <w:kern w:val="2"/>
                <w:szCs w:val="21"/>
                <w:lang w:val="en-US" w:eastAsia="zh-CN"/>
              </w:rPr>
              <w:t>离渗漏点距离（</w:t>
            </w:r>
            <w:r>
              <w:rPr>
                <w:kern w:val="2"/>
                <w:szCs w:val="21"/>
                <w:lang w:val="en-US" w:eastAsia="zh-CN"/>
              </w:rPr>
              <w:t>m</w:t>
            </w: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1441" w:type="dxa"/>
            <w:vMerge w:val="continue"/>
            <w:vAlign w:val="center"/>
          </w:tcPr>
          <w:p>
            <w:pPr>
              <w:pStyle w:val="25"/>
              <w:rPr>
                <w:kern w:val="2"/>
                <w:szCs w:val="21"/>
                <w:lang w:val="en-US" w:eastAsia="zh-CN"/>
              </w:rPr>
            </w:pPr>
          </w:p>
        </w:tc>
        <w:tc>
          <w:tcPr>
            <w:tcW w:w="1402" w:type="dxa"/>
            <w:shd w:val="clear" w:color="000000" w:fill="C0C0C0"/>
            <w:vAlign w:val="center"/>
          </w:tcPr>
          <w:p>
            <w:pPr>
              <w:pStyle w:val="25"/>
              <w:rPr>
                <w:kern w:val="2"/>
                <w:szCs w:val="21"/>
                <w:lang w:val="en-US" w:eastAsia="zh-CN"/>
              </w:rPr>
            </w:pPr>
            <w:r>
              <w:rPr>
                <w:kern w:val="2"/>
                <w:szCs w:val="21"/>
                <w:lang w:val="en-US" w:eastAsia="zh-CN"/>
              </w:rPr>
              <w:t>5</w:t>
            </w:r>
          </w:p>
        </w:tc>
        <w:tc>
          <w:tcPr>
            <w:tcW w:w="1402" w:type="dxa"/>
            <w:shd w:val="clear" w:color="000000" w:fill="C0C0C0"/>
            <w:vAlign w:val="center"/>
          </w:tcPr>
          <w:p>
            <w:pPr>
              <w:pStyle w:val="25"/>
              <w:rPr>
                <w:kern w:val="2"/>
                <w:szCs w:val="21"/>
                <w:lang w:val="en-US" w:eastAsia="zh-CN"/>
              </w:rPr>
            </w:pPr>
            <w:r>
              <w:rPr>
                <w:kern w:val="2"/>
                <w:szCs w:val="21"/>
                <w:lang w:val="en-US" w:eastAsia="zh-CN"/>
              </w:rPr>
              <w:t>10</w:t>
            </w:r>
          </w:p>
        </w:tc>
        <w:tc>
          <w:tcPr>
            <w:tcW w:w="1402" w:type="dxa"/>
            <w:shd w:val="clear" w:color="000000" w:fill="C0C0C0"/>
            <w:vAlign w:val="center"/>
          </w:tcPr>
          <w:p>
            <w:pPr>
              <w:pStyle w:val="25"/>
              <w:rPr>
                <w:kern w:val="2"/>
                <w:szCs w:val="21"/>
                <w:lang w:val="en-US" w:eastAsia="zh-CN"/>
              </w:rPr>
            </w:pPr>
            <w:r>
              <w:rPr>
                <w:kern w:val="2"/>
                <w:szCs w:val="21"/>
                <w:lang w:val="en-US" w:eastAsia="zh-CN"/>
              </w:rPr>
              <w:t>15</w:t>
            </w:r>
          </w:p>
        </w:tc>
        <w:tc>
          <w:tcPr>
            <w:tcW w:w="1403" w:type="dxa"/>
            <w:shd w:val="clear" w:color="000000" w:fill="C0C0C0"/>
            <w:vAlign w:val="center"/>
          </w:tcPr>
          <w:p>
            <w:pPr>
              <w:pStyle w:val="25"/>
              <w:rPr>
                <w:kern w:val="2"/>
                <w:szCs w:val="21"/>
                <w:lang w:val="en-US" w:eastAsia="zh-CN"/>
              </w:rPr>
            </w:pPr>
            <w:r>
              <w:rPr>
                <w:kern w:val="2"/>
                <w:szCs w:val="21"/>
                <w:lang w:val="en-US" w:eastAsia="zh-CN"/>
              </w:rPr>
              <w:t>20</w:t>
            </w:r>
          </w:p>
        </w:tc>
        <w:tc>
          <w:tcPr>
            <w:tcW w:w="1402" w:type="dxa"/>
            <w:shd w:val="clear" w:color="000000" w:fill="C0C0C0"/>
            <w:vAlign w:val="center"/>
          </w:tcPr>
          <w:p>
            <w:pPr>
              <w:pStyle w:val="25"/>
              <w:rPr>
                <w:kern w:val="2"/>
                <w:szCs w:val="21"/>
                <w:lang w:val="en-US" w:eastAsia="zh-CN"/>
              </w:rPr>
            </w:pPr>
            <w:r>
              <w:rPr>
                <w:kern w:val="2"/>
                <w:szCs w:val="21"/>
                <w:lang w:val="en-US" w:eastAsia="zh-CN"/>
              </w:rPr>
              <w:t>25</w:t>
            </w:r>
          </w:p>
        </w:tc>
        <w:tc>
          <w:tcPr>
            <w:tcW w:w="1402" w:type="dxa"/>
            <w:shd w:val="clear" w:color="000000" w:fill="C0C0C0"/>
            <w:vAlign w:val="center"/>
          </w:tcPr>
          <w:p>
            <w:pPr>
              <w:pStyle w:val="25"/>
              <w:rPr>
                <w:kern w:val="2"/>
                <w:szCs w:val="21"/>
                <w:lang w:val="en-US" w:eastAsia="zh-CN"/>
              </w:rPr>
            </w:pPr>
            <w:r>
              <w:rPr>
                <w:kern w:val="2"/>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41" w:type="dxa"/>
            <w:shd w:val="clear" w:color="000000" w:fill="C0C0C0"/>
            <w:vAlign w:val="center"/>
          </w:tcPr>
          <w:p>
            <w:pPr>
              <w:pStyle w:val="25"/>
              <w:rPr>
                <w:kern w:val="2"/>
                <w:szCs w:val="21"/>
                <w:lang w:val="en-US" w:eastAsia="zh-CN"/>
              </w:rPr>
            </w:pPr>
            <w:r>
              <w:rPr>
                <w:kern w:val="2"/>
                <w:szCs w:val="21"/>
                <w:lang w:val="en-US" w:eastAsia="zh-CN"/>
              </w:rPr>
              <w:t>10</w:t>
            </w:r>
          </w:p>
        </w:tc>
        <w:tc>
          <w:tcPr>
            <w:tcW w:w="1402" w:type="dxa"/>
            <w:vAlign w:val="center"/>
          </w:tcPr>
          <w:p>
            <w:pPr>
              <w:pStyle w:val="25"/>
              <w:rPr>
                <w:kern w:val="2"/>
                <w:szCs w:val="21"/>
                <w:lang w:val="en-US" w:eastAsia="zh-CN"/>
              </w:rPr>
            </w:pPr>
            <w:r>
              <w:rPr>
                <w:kern w:val="2"/>
                <w:szCs w:val="21"/>
                <w:lang w:val="en-US" w:eastAsia="zh-CN"/>
              </w:rPr>
              <w:t>0</w:t>
            </w:r>
          </w:p>
        </w:tc>
        <w:tc>
          <w:tcPr>
            <w:tcW w:w="1402" w:type="dxa"/>
            <w:vAlign w:val="center"/>
          </w:tcPr>
          <w:p>
            <w:pPr>
              <w:pStyle w:val="25"/>
              <w:rPr>
                <w:kern w:val="2"/>
                <w:szCs w:val="21"/>
                <w:lang w:val="en-US" w:eastAsia="zh-CN"/>
              </w:rPr>
            </w:pPr>
            <w:r>
              <w:rPr>
                <w:kern w:val="2"/>
                <w:szCs w:val="21"/>
                <w:lang w:val="en-US" w:eastAsia="zh-CN"/>
              </w:rPr>
              <w:t>0</w:t>
            </w:r>
          </w:p>
        </w:tc>
        <w:tc>
          <w:tcPr>
            <w:tcW w:w="1402" w:type="dxa"/>
            <w:vAlign w:val="center"/>
          </w:tcPr>
          <w:p>
            <w:pPr>
              <w:pStyle w:val="25"/>
              <w:rPr>
                <w:kern w:val="2"/>
                <w:szCs w:val="21"/>
                <w:lang w:val="en-US" w:eastAsia="zh-CN"/>
              </w:rPr>
            </w:pPr>
            <w:r>
              <w:rPr>
                <w:kern w:val="2"/>
                <w:szCs w:val="21"/>
                <w:lang w:val="en-US" w:eastAsia="zh-CN"/>
              </w:rPr>
              <w:t>0</w:t>
            </w:r>
          </w:p>
        </w:tc>
        <w:tc>
          <w:tcPr>
            <w:tcW w:w="1403" w:type="dxa"/>
            <w:vAlign w:val="center"/>
          </w:tcPr>
          <w:p>
            <w:pPr>
              <w:pStyle w:val="25"/>
              <w:rPr>
                <w:kern w:val="2"/>
                <w:szCs w:val="21"/>
                <w:lang w:val="en-US" w:eastAsia="zh-CN"/>
              </w:rPr>
            </w:pPr>
            <w:r>
              <w:rPr>
                <w:kern w:val="2"/>
                <w:szCs w:val="21"/>
                <w:lang w:val="en-US" w:eastAsia="zh-CN"/>
              </w:rPr>
              <w:t>0</w:t>
            </w:r>
          </w:p>
        </w:tc>
        <w:tc>
          <w:tcPr>
            <w:tcW w:w="1402" w:type="dxa"/>
            <w:vAlign w:val="center"/>
          </w:tcPr>
          <w:p>
            <w:pPr>
              <w:pStyle w:val="25"/>
              <w:rPr>
                <w:kern w:val="2"/>
                <w:szCs w:val="21"/>
                <w:lang w:val="en-US" w:eastAsia="zh-CN"/>
              </w:rPr>
            </w:pPr>
            <w:r>
              <w:rPr>
                <w:kern w:val="2"/>
                <w:szCs w:val="21"/>
                <w:lang w:val="en-US" w:eastAsia="zh-CN"/>
              </w:rPr>
              <w:t>0</w:t>
            </w:r>
          </w:p>
        </w:tc>
        <w:tc>
          <w:tcPr>
            <w:tcW w:w="1402" w:type="dxa"/>
            <w:vAlign w:val="center"/>
          </w:tcPr>
          <w:p>
            <w:pPr>
              <w:pStyle w:val="25"/>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41" w:type="dxa"/>
            <w:shd w:val="clear" w:color="000000" w:fill="C0C0C0"/>
            <w:vAlign w:val="center"/>
          </w:tcPr>
          <w:p>
            <w:pPr>
              <w:pStyle w:val="25"/>
              <w:rPr>
                <w:kern w:val="2"/>
                <w:szCs w:val="21"/>
                <w:lang w:val="en-US" w:eastAsia="zh-CN"/>
              </w:rPr>
            </w:pPr>
            <w:r>
              <w:rPr>
                <w:kern w:val="2"/>
                <w:szCs w:val="21"/>
                <w:lang w:val="en-US" w:eastAsia="zh-CN"/>
              </w:rPr>
              <w:t>100</w:t>
            </w:r>
          </w:p>
        </w:tc>
        <w:tc>
          <w:tcPr>
            <w:tcW w:w="1402" w:type="dxa"/>
            <w:vAlign w:val="center"/>
          </w:tcPr>
          <w:p>
            <w:pPr>
              <w:pStyle w:val="25"/>
              <w:rPr>
                <w:kern w:val="2"/>
                <w:szCs w:val="21"/>
                <w:lang w:val="en-US" w:eastAsia="zh-CN"/>
              </w:rPr>
            </w:pPr>
            <w:r>
              <w:rPr>
                <w:kern w:val="2"/>
                <w:szCs w:val="21"/>
                <w:lang w:val="en-US" w:eastAsia="zh-CN"/>
              </w:rPr>
              <w:t>205</w:t>
            </w:r>
          </w:p>
        </w:tc>
        <w:tc>
          <w:tcPr>
            <w:tcW w:w="1402" w:type="dxa"/>
            <w:vAlign w:val="center"/>
          </w:tcPr>
          <w:p>
            <w:pPr>
              <w:pStyle w:val="25"/>
              <w:rPr>
                <w:kern w:val="2"/>
                <w:szCs w:val="21"/>
                <w:lang w:val="en-US" w:eastAsia="zh-CN"/>
              </w:rPr>
            </w:pPr>
            <w:r>
              <w:rPr>
                <w:kern w:val="2"/>
                <w:szCs w:val="21"/>
                <w:lang w:val="en-US" w:eastAsia="zh-CN"/>
              </w:rPr>
              <w:t>0</w:t>
            </w:r>
          </w:p>
        </w:tc>
        <w:tc>
          <w:tcPr>
            <w:tcW w:w="1402" w:type="dxa"/>
            <w:vAlign w:val="center"/>
          </w:tcPr>
          <w:p>
            <w:pPr>
              <w:pStyle w:val="25"/>
              <w:rPr>
                <w:kern w:val="2"/>
                <w:szCs w:val="21"/>
                <w:lang w:val="en-US" w:eastAsia="zh-CN"/>
              </w:rPr>
            </w:pPr>
            <w:r>
              <w:rPr>
                <w:kern w:val="2"/>
                <w:szCs w:val="21"/>
                <w:lang w:val="en-US" w:eastAsia="zh-CN"/>
              </w:rPr>
              <w:t>0</w:t>
            </w:r>
          </w:p>
        </w:tc>
        <w:tc>
          <w:tcPr>
            <w:tcW w:w="1403" w:type="dxa"/>
            <w:vAlign w:val="center"/>
          </w:tcPr>
          <w:p>
            <w:pPr>
              <w:pStyle w:val="25"/>
              <w:rPr>
                <w:kern w:val="2"/>
                <w:szCs w:val="21"/>
                <w:lang w:val="en-US" w:eastAsia="zh-CN"/>
              </w:rPr>
            </w:pPr>
            <w:r>
              <w:rPr>
                <w:kern w:val="2"/>
                <w:szCs w:val="21"/>
                <w:lang w:val="en-US" w:eastAsia="zh-CN"/>
              </w:rPr>
              <w:t>0</w:t>
            </w:r>
          </w:p>
        </w:tc>
        <w:tc>
          <w:tcPr>
            <w:tcW w:w="1402" w:type="dxa"/>
            <w:vAlign w:val="center"/>
          </w:tcPr>
          <w:p>
            <w:pPr>
              <w:pStyle w:val="25"/>
              <w:rPr>
                <w:kern w:val="2"/>
                <w:szCs w:val="21"/>
                <w:lang w:val="en-US" w:eastAsia="zh-CN"/>
              </w:rPr>
            </w:pPr>
            <w:r>
              <w:rPr>
                <w:kern w:val="2"/>
                <w:szCs w:val="21"/>
                <w:lang w:val="en-US" w:eastAsia="zh-CN"/>
              </w:rPr>
              <w:t>0</w:t>
            </w:r>
          </w:p>
        </w:tc>
        <w:tc>
          <w:tcPr>
            <w:tcW w:w="1402" w:type="dxa"/>
            <w:vAlign w:val="center"/>
          </w:tcPr>
          <w:p>
            <w:pPr>
              <w:pStyle w:val="25"/>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41" w:type="dxa"/>
            <w:shd w:val="clear" w:color="000000" w:fill="C0C0C0"/>
            <w:vAlign w:val="center"/>
          </w:tcPr>
          <w:p>
            <w:pPr>
              <w:pStyle w:val="25"/>
              <w:rPr>
                <w:kern w:val="2"/>
                <w:szCs w:val="21"/>
                <w:lang w:val="en-US" w:eastAsia="zh-CN"/>
              </w:rPr>
            </w:pPr>
            <w:r>
              <w:rPr>
                <w:kern w:val="2"/>
                <w:szCs w:val="21"/>
                <w:lang w:val="en-US" w:eastAsia="zh-CN"/>
              </w:rPr>
              <w:t>1000</w:t>
            </w:r>
          </w:p>
        </w:tc>
        <w:tc>
          <w:tcPr>
            <w:tcW w:w="1402" w:type="dxa"/>
            <w:vAlign w:val="center"/>
          </w:tcPr>
          <w:p>
            <w:pPr>
              <w:pStyle w:val="25"/>
              <w:rPr>
                <w:kern w:val="2"/>
                <w:szCs w:val="21"/>
                <w:lang w:val="en-US" w:eastAsia="zh-CN"/>
              </w:rPr>
            </w:pPr>
            <w:r>
              <w:rPr>
                <w:kern w:val="2"/>
                <w:szCs w:val="21"/>
                <w:lang w:val="en-US" w:eastAsia="zh-CN"/>
              </w:rPr>
              <w:t>3144</w:t>
            </w:r>
          </w:p>
        </w:tc>
        <w:tc>
          <w:tcPr>
            <w:tcW w:w="1402" w:type="dxa"/>
            <w:vAlign w:val="center"/>
          </w:tcPr>
          <w:p>
            <w:pPr>
              <w:pStyle w:val="25"/>
              <w:rPr>
                <w:kern w:val="2"/>
                <w:szCs w:val="21"/>
                <w:lang w:val="en-US" w:eastAsia="zh-CN"/>
              </w:rPr>
            </w:pPr>
            <w:r>
              <w:rPr>
                <w:kern w:val="2"/>
                <w:szCs w:val="21"/>
                <w:lang w:val="en-US" w:eastAsia="zh-CN"/>
              </w:rPr>
              <w:t>1571</w:t>
            </w:r>
          </w:p>
        </w:tc>
        <w:tc>
          <w:tcPr>
            <w:tcW w:w="1402" w:type="dxa"/>
            <w:vAlign w:val="center"/>
          </w:tcPr>
          <w:p>
            <w:pPr>
              <w:pStyle w:val="25"/>
              <w:rPr>
                <w:kern w:val="2"/>
                <w:szCs w:val="21"/>
                <w:lang w:val="en-US" w:eastAsia="zh-CN"/>
              </w:rPr>
            </w:pPr>
            <w:r>
              <w:rPr>
                <w:kern w:val="2"/>
                <w:szCs w:val="21"/>
                <w:lang w:val="en-US" w:eastAsia="zh-CN"/>
              </w:rPr>
              <w:t>315</w:t>
            </w:r>
          </w:p>
        </w:tc>
        <w:tc>
          <w:tcPr>
            <w:tcW w:w="1403" w:type="dxa"/>
            <w:vAlign w:val="center"/>
          </w:tcPr>
          <w:p>
            <w:pPr>
              <w:pStyle w:val="25"/>
              <w:rPr>
                <w:kern w:val="2"/>
                <w:szCs w:val="21"/>
                <w:lang w:val="en-US" w:eastAsia="zh-CN"/>
              </w:rPr>
            </w:pPr>
            <w:r>
              <w:rPr>
                <w:kern w:val="2"/>
                <w:szCs w:val="21"/>
                <w:lang w:val="en-US" w:eastAsia="zh-CN"/>
              </w:rPr>
              <w:t>25</w:t>
            </w:r>
          </w:p>
        </w:tc>
        <w:tc>
          <w:tcPr>
            <w:tcW w:w="1402" w:type="dxa"/>
            <w:vAlign w:val="center"/>
          </w:tcPr>
          <w:p>
            <w:pPr>
              <w:pStyle w:val="25"/>
              <w:rPr>
                <w:kern w:val="2"/>
                <w:szCs w:val="21"/>
                <w:lang w:val="en-US" w:eastAsia="zh-CN"/>
              </w:rPr>
            </w:pPr>
            <w:r>
              <w:rPr>
                <w:kern w:val="2"/>
                <w:szCs w:val="21"/>
                <w:lang w:val="en-US" w:eastAsia="zh-CN"/>
              </w:rPr>
              <w:t>0.8</w:t>
            </w:r>
          </w:p>
        </w:tc>
        <w:tc>
          <w:tcPr>
            <w:tcW w:w="1402" w:type="dxa"/>
            <w:vAlign w:val="center"/>
          </w:tcPr>
          <w:p>
            <w:pPr>
              <w:pStyle w:val="25"/>
              <w:rPr>
                <w:kern w:val="2"/>
                <w:szCs w:val="21"/>
                <w:lang w:val="en-US" w:eastAsia="zh-CN"/>
              </w:rPr>
            </w:pPr>
            <w:r>
              <w:rPr>
                <w:kern w:val="2"/>
                <w:szCs w:val="21"/>
                <w:lang w:val="en-US" w:eastAsia="zh-CN"/>
              </w:rPr>
              <w:t>0</w:t>
            </w:r>
          </w:p>
        </w:tc>
      </w:tr>
    </w:tbl>
    <w:p>
      <w:pPr>
        <w:pStyle w:val="25"/>
        <w:rPr>
          <w:b/>
          <w:bCs/>
        </w:rPr>
      </w:pPr>
      <w:r>
        <w:rPr>
          <w:rFonts w:hint="eastAsia"/>
          <w:b/>
          <w:bCs/>
        </w:rPr>
        <w:t>表</w:t>
      </w:r>
      <w:r>
        <w:rPr>
          <w:b/>
          <w:bCs/>
        </w:rPr>
        <w:t xml:space="preserve">6.2-5  </w:t>
      </w:r>
      <w:r>
        <w:rPr>
          <w:rFonts w:hint="eastAsia"/>
          <w:b/>
          <w:bCs/>
        </w:rPr>
        <w:t>污染物氨氮对地下水影响预测结果（</w:t>
      </w:r>
      <w:r>
        <w:rPr>
          <w:b/>
          <w:bCs/>
        </w:rPr>
        <w:t>mg/L</w:t>
      </w:r>
      <w:r>
        <w:rPr>
          <w:rFonts w:hint="eastAsia"/>
          <w:b/>
          <w:bCs/>
        </w:rPr>
        <w:t>）</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408"/>
        <w:gridCol w:w="1407"/>
        <w:gridCol w:w="1408"/>
        <w:gridCol w:w="1408"/>
        <w:gridCol w:w="1408"/>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408" w:type="dxa"/>
            <w:vMerge w:val="restart"/>
            <w:vAlign w:val="center"/>
          </w:tcPr>
          <w:p>
            <w:pPr>
              <w:pStyle w:val="25"/>
              <w:rPr>
                <w:kern w:val="2"/>
                <w:szCs w:val="21"/>
                <w:lang w:val="en-US" w:eastAsia="zh-CN"/>
              </w:rPr>
            </w:pPr>
            <w:r>
              <w:rPr>
                <w:rFonts w:hint="eastAsia"/>
                <w:kern w:val="2"/>
                <w:szCs w:val="21"/>
                <w:lang w:val="en-US" w:eastAsia="zh-CN"/>
              </w:rPr>
              <w:t>时间</w:t>
            </w:r>
            <w:r>
              <w:rPr>
                <w:kern w:val="2"/>
                <w:szCs w:val="21"/>
                <w:lang w:val="en-US" w:eastAsia="zh-CN"/>
              </w:rPr>
              <w:t>(day)</w:t>
            </w:r>
          </w:p>
        </w:tc>
        <w:tc>
          <w:tcPr>
            <w:tcW w:w="8446" w:type="dxa"/>
            <w:gridSpan w:val="6"/>
            <w:vAlign w:val="center"/>
          </w:tcPr>
          <w:p>
            <w:pPr>
              <w:pStyle w:val="25"/>
              <w:rPr>
                <w:kern w:val="2"/>
                <w:szCs w:val="21"/>
                <w:lang w:val="en-US" w:eastAsia="zh-CN"/>
              </w:rPr>
            </w:pPr>
            <w:r>
              <w:rPr>
                <w:rFonts w:hint="eastAsia"/>
                <w:kern w:val="2"/>
                <w:szCs w:val="21"/>
                <w:lang w:val="en-US" w:eastAsia="zh-CN"/>
              </w:rPr>
              <w:t>离渗漏点距离（</w:t>
            </w:r>
            <w:r>
              <w:rPr>
                <w:kern w:val="2"/>
                <w:szCs w:val="21"/>
                <w:lang w:val="en-US" w:eastAsia="zh-CN"/>
              </w:rPr>
              <w:t>m</w:t>
            </w: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08" w:type="dxa"/>
            <w:vMerge w:val="continue"/>
            <w:vAlign w:val="center"/>
          </w:tcPr>
          <w:p>
            <w:pPr>
              <w:pStyle w:val="25"/>
              <w:rPr>
                <w:kern w:val="2"/>
                <w:szCs w:val="21"/>
                <w:lang w:val="en-US" w:eastAsia="zh-CN"/>
              </w:rPr>
            </w:pPr>
          </w:p>
        </w:tc>
        <w:tc>
          <w:tcPr>
            <w:tcW w:w="1408" w:type="dxa"/>
            <w:shd w:val="clear" w:color="000000" w:fill="C0C0C0"/>
            <w:vAlign w:val="center"/>
          </w:tcPr>
          <w:p>
            <w:pPr>
              <w:pStyle w:val="25"/>
              <w:rPr>
                <w:kern w:val="2"/>
                <w:szCs w:val="21"/>
                <w:lang w:val="en-US" w:eastAsia="zh-CN"/>
              </w:rPr>
            </w:pPr>
            <w:r>
              <w:rPr>
                <w:kern w:val="2"/>
                <w:szCs w:val="21"/>
                <w:lang w:val="en-US" w:eastAsia="zh-CN"/>
              </w:rPr>
              <w:t>5</w:t>
            </w:r>
          </w:p>
        </w:tc>
        <w:tc>
          <w:tcPr>
            <w:tcW w:w="1407" w:type="dxa"/>
            <w:shd w:val="clear" w:color="000000" w:fill="C0C0C0"/>
            <w:vAlign w:val="center"/>
          </w:tcPr>
          <w:p>
            <w:pPr>
              <w:pStyle w:val="25"/>
              <w:rPr>
                <w:kern w:val="2"/>
                <w:szCs w:val="21"/>
                <w:lang w:val="en-US" w:eastAsia="zh-CN"/>
              </w:rPr>
            </w:pPr>
            <w:r>
              <w:rPr>
                <w:kern w:val="2"/>
                <w:szCs w:val="21"/>
                <w:lang w:val="en-US" w:eastAsia="zh-CN"/>
              </w:rPr>
              <w:t>10</w:t>
            </w:r>
          </w:p>
        </w:tc>
        <w:tc>
          <w:tcPr>
            <w:tcW w:w="1408" w:type="dxa"/>
            <w:shd w:val="clear" w:color="000000" w:fill="C0C0C0"/>
            <w:vAlign w:val="center"/>
          </w:tcPr>
          <w:p>
            <w:pPr>
              <w:pStyle w:val="25"/>
              <w:rPr>
                <w:kern w:val="2"/>
                <w:szCs w:val="21"/>
                <w:lang w:val="en-US" w:eastAsia="zh-CN"/>
              </w:rPr>
            </w:pPr>
            <w:r>
              <w:rPr>
                <w:kern w:val="2"/>
                <w:szCs w:val="21"/>
                <w:lang w:val="en-US" w:eastAsia="zh-CN"/>
              </w:rPr>
              <w:t>15</w:t>
            </w:r>
          </w:p>
        </w:tc>
        <w:tc>
          <w:tcPr>
            <w:tcW w:w="1408" w:type="dxa"/>
            <w:shd w:val="clear" w:color="000000" w:fill="C0C0C0"/>
            <w:vAlign w:val="center"/>
          </w:tcPr>
          <w:p>
            <w:pPr>
              <w:pStyle w:val="25"/>
              <w:rPr>
                <w:kern w:val="2"/>
                <w:szCs w:val="21"/>
                <w:lang w:val="en-US" w:eastAsia="zh-CN"/>
              </w:rPr>
            </w:pPr>
            <w:r>
              <w:rPr>
                <w:kern w:val="2"/>
                <w:szCs w:val="21"/>
                <w:lang w:val="en-US" w:eastAsia="zh-CN"/>
              </w:rPr>
              <w:t>20</w:t>
            </w:r>
          </w:p>
        </w:tc>
        <w:tc>
          <w:tcPr>
            <w:tcW w:w="1408" w:type="dxa"/>
            <w:shd w:val="clear" w:color="000000" w:fill="C0C0C0"/>
            <w:vAlign w:val="center"/>
          </w:tcPr>
          <w:p>
            <w:pPr>
              <w:pStyle w:val="25"/>
              <w:rPr>
                <w:kern w:val="2"/>
                <w:szCs w:val="21"/>
                <w:lang w:val="en-US" w:eastAsia="zh-CN"/>
              </w:rPr>
            </w:pPr>
            <w:r>
              <w:rPr>
                <w:kern w:val="2"/>
                <w:szCs w:val="21"/>
                <w:lang w:val="en-US" w:eastAsia="zh-CN"/>
              </w:rPr>
              <w:t>25</w:t>
            </w:r>
          </w:p>
        </w:tc>
        <w:tc>
          <w:tcPr>
            <w:tcW w:w="1407" w:type="dxa"/>
            <w:shd w:val="clear" w:color="000000" w:fill="C0C0C0"/>
            <w:vAlign w:val="center"/>
          </w:tcPr>
          <w:p>
            <w:pPr>
              <w:pStyle w:val="25"/>
              <w:rPr>
                <w:kern w:val="2"/>
                <w:szCs w:val="21"/>
                <w:lang w:val="en-US" w:eastAsia="zh-CN"/>
              </w:rPr>
            </w:pPr>
            <w:r>
              <w:rPr>
                <w:kern w:val="2"/>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08" w:type="dxa"/>
            <w:shd w:val="clear" w:color="000000" w:fill="C0C0C0"/>
            <w:vAlign w:val="center"/>
          </w:tcPr>
          <w:p>
            <w:pPr>
              <w:pStyle w:val="25"/>
              <w:rPr>
                <w:kern w:val="2"/>
                <w:szCs w:val="21"/>
                <w:lang w:val="en-US" w:eastAsia="zh-CN"/>
              </w:rPr>
            </w:pPr>
            <w:r>
              <w:rPr>
                <w:kern w:val="2"/>
                <w:szCs w:val="21"/>
                <w:lang w:val="en-US" w:eastAsia="zh-CN"/>
              </w:rPr>
              <w:t>10</w:t>
            </w:r>
          </w:p>
        </w:tc>
        <w:tc>
          <w:tcPr>
            <w:tcW w:w="1408" w:type="dxa"/>
            <w:vAlign w:val="center"/>
          </w:tcPr>
          <w:p>
            <w:pPr>
              <w:pStyle w:val="25"/>
              <w:rPr>
                <w:kern w:val="2"/>
                <w:szCs w:val="21"/>
                <w:lang w:val="en-US" w:eastAsia="zh-CN"/>
              </w:rPr>
            </w:pPr>
            <w:r>
              <w:rPr>
                <w:kern w:val="2"/>
                <w:szCs w:val="21"/>
                <w:lang w:val="en-US" w:eastAsia="zh-CN"/>
              </w:rPr>
              <w:t>0</w:t>
            </w:r>
          </w:p>
        </w:tc>
        <w:tc>
          <w:tcPr>
            <w:tcW w:w="1407" w:type="dxa"/>
            <w:vAlign w:val="center"/>
          </w:tcPr>
          <w:p>
            <w:pPr>
              <w:pStyle w:val="25"/>
              <w:rPr>
                <w:kern w:val="2"/>
                <w:szCs w:val="21"/>
                <w:lang w:val="en-US" w:eastAsia="zh-CN"/>
              </w:rPr>
            </w:pPr>
            <w:r>
              <w:rPr>
                <w:kern w:val="2"/>
                <w:szCs w:val="21"/>
                <w:lang w:val="en-US" w:eastAsia="zh-CN"/>
              </w:rPr>
              <w:t>0</w:t>
            </w:r>
          </w:p>
        </w:tc>
        <w:tc>
          <w:tcPr>
            <w:tcW w:w="1408" w:type="dxa"/>
            <w:vAlign w:val="center"/>
          </w:tcPr>
          <w:p>
            <w:pPr>
              <w:pStyle w:val="25"/>
              <w:rPr>
                <w:kern w:val="2"/>
                <w:szCs w:val="21"/>
                <w:lang w:val="en-US" w:eastAsia="zh-CN"/>
              </w:rPr>
            </w:pPr>
            <w:r>
              <w:rPr>
                <w:kern w:val="2"/>
                <w:szCs w:val="21"/>
                <w:lang w:val="en-US" w:eastAsia="zh-CN"/>
              </w:rPr>
              <w:t>0</w:t>
            </w:r>
          </w:p>
        </w:tc>
        <w:tc>
          <w:tcPr>
            <w:tcW w:w="1408" w:type="dxa"/>
            <w:vAlign w:val="center"/>
          </w:tcPr>
          <w:p>
            <w:pPr>
              <w:pStyle w:val="25"/>
              <w:rPr>
                <w:kern w:val="2"/>
                <w:szCs w:val="21"/>
                <w:lang w:val="en-US" w:eastAsia="zh-CN"/>
              </w:rPr>
            </w:pPr>
            <w:r>
              <w:rPr>
                <w:kern w:val="2"/>
                <w:szCs w:val="21"/>
                <w:lang w:val="en-US" w:eastAsia="zh-CN"/>
              </w:rPr>
              <w:t>0</w:t>
            </w:r>
          </w:p>
        </w:tc>
        <w:tc>
          <w:tcPr>
            <w:tcW w:w="1408" w:type="dxa"/>
            <w:vAlign w:val="center"/>
          </w:tcPr>
          <w:p>
            <w:pPr>
              <w:pStyle w:val="25"/>
              <w:rPr>
                <w:kern w:val="2"/>
                <w:szCs w:val="21"/>
                <w:lang w:val="en-US" w:eastAsia="zh-CN"/>
              </w:rPr>
            </w:pPr>
            <w:r>
              <w:rPr>
                <w:kern w:val="2"/>
                <w:szCs w:val="21"/>
                <w:lang w:val="en-US" w:eastAsia="zh-CN"/>
              </w:rPr>
              <w:t>0</w:t>
            </w:r>
          </w:p>
        </w:tc>
        <w:tc>
          <w:tcPr>
            <w:tcW w:w="1407" w:type="dxa"/>
            <w:vAlign w:val="center"/>
          </w:tcPr>
          <w:p>
            <w:pPr>
              <w:pStyle w:val="25"/>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08" w:type="dxa"/>
            <w:shd w:val="clear" w:color="000000" w:fill="C0C0C0"/>
            <w:vAlign w:val="center"/>
          </w:tcPr>
          <w:p>
            <w:pPr>
              <w:pStyle w:val="25"/>
              <w:rPr>
                <w:kern w:val="2"/>
                <w:szCs w:val="21"/>
                <w:lang w:val="en-US" w:eastAsia="zh-CN"/>
              </w:rPr>
            </w:pPr>
            <w:r>
              <w:rPr>
                <w:kern w:val="2"/>
                <w:szCs w:val="21"/>
                <w:lang w:val="en-US" w:eastAsia="zh-CN"/>
              </w:rPr>
              <w:t>100</w:t>
            </w:r>
          </w:p>
        </w:tc>
        <w:tc>
          <w:tcPr>
            <w:tcW w:w="1408" w:type="dxa"/>
            <w:vAlign w:val="center"/>
          </w:tcPr>
          <w:p>
            <w:pPr>
              <w:pStyle w:val="25"/>
              <w:rPr>
                <w:kern w:val="2"/>
                <w:szCs w:val="21"/>
                <w:lang w:val="en-US" w:eastAsia="zh-CN"/>
              </w:rPr>
            </w:pPr>
            <w:r>
              <w:rPr>
                <w:kern w:val="2"/>
                <w:szCs w:val="21"/>
                <w:lang w:val="en-US" w:eastAsia="zh-CN"/>
              </w:rPr>
              <w:t>7.3</w:t>
            </w:r>
          </w:p>
        </w:tc>
        <w:tc>
          <w:tcPr>
            <w:tcW w:w="1407" w:type="dxa"/>
            <w:vAlign w:val="center"/>
          </w:tcPr>
          <w:p>
            <w:pPr>
              <w:pStyle w:val="25"/>
              <w:rPr>
                <w:kern w:val="2"/>
                <w:szCs w:val="21"/>
                <w:lang w:val="en-US" w:eastAsia="zh-CN"/>
              </w:rPr>
            </w:pPr>
            <w:r>
              <w:rPr>
                <w:kern w:val="2"/>
                <w:szCs w:val="21"/>
                <w:lang w:val="en-US" w:eastAsia="zh-CN"/>
              </w:rPr>
              <w:t>0</w:t>
            </w:r>
          </w:p>
        </w:tc>
        <w:tc>
          <w:tcPr>
            <w:tcW w:w="1408" w:type="dxa"/>
            <w:vAlign w:val="center"/>
          </w:tcPr>
          <w:p>
            <w:pPr>
              <w:pStyle w:val="25"/>
              <w:rPr>
                <w:kern w:val="2"/>
                <w:szCs w:val="21"/>
                <w:lang w:val="en-US" w:eastAsia="zh-CN"/>
              </w:rPr>
            </w:pPr>
            <w:r>
              <w:rPr>
                <w:kern w:val="2"/>
                <w:szCs w:val="21"/>
                <w:lang w:val="en-US" w:eastAsia="zh-CN"/>
              </w:rPr>
              <w:t>0</w:t>
            </w:r>
          </w:p>
        </w:tc>
        <w:tc>
          <w:tcPr>
            <w:tcW w:w="1408" w:type="dxa"/>
            <w:vAlign w:val="center"/>
          </w:tcPr>
          <w:p>
            <w:pPr>
              <w:pStyle w:val="25"/>
              <w:rPr>
                <w:kern w:val="2"/>
                <w:szCs w:val="21"/>
                <w:lang w:val="en-US" w:eastAsia="zh-CN"/>
              </w:rPr>
            </w:pPr>
            <w:r>
              <w:rPr>
                <w:kern w:val="2"/>
                <w:szCs w:val="21"/>
                <w:lang w:val="en-US" w:eastAsia="zh-CN"/>
              </w:rPr>
              <w:t>0</w:t>
            </w:r>
          </w:p>
        </w:tc>
        <w:tc>
          <w:tcPr>
            <w:tcW w:w="1408" w:type="dxa"/>
            <w:vAlign w:val="center"/>
          </w:tcPr>
          <w:p>
            <w:pPr>
              <w:pStyle w:val="25"/>
              <w:rPr>
                <w:kern w:val="2"/>
                <w:szCs w:val="21"/>
                <w:lang w:val="en-US" w:eastAsia="zh-CN"/>
              </w:rPr>
            </w:pPr>
            <w:r>
              <w:rPr>
                <w:kern w:val="2"/>
                <w:szCs w:val="21"/>
                <w:lang w:val="en-US" w:eastAsia="zh-CN"/>
              </w:rPr>
              <w:t>0</w:t>
            </w:r>
          </w:p>
        </w:tc>
        <w:tc>
          <w:tcPr>
            <w:tcW w:w="1407" w:type="dxa"/>
            <w:vAlign w:val="center"/>
          </w:tcPr>
          <w:p>
            <w:pPr>
              <w:pStyle w:val="25"/>
              <w:rPr>
                <w:kern w:val="2"/>
                <w:szCs w:val="21"/>
                <w:lang w:val="en-US" w:eastAsia="zh-CN"/>
              </w:rPr>
            </w:pPr>
            <w:r>
              <w:rPr>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08" w:type="dxa"/>
            <w:shd w:val="clear" w:color="000000" w:fill="C0C0C0"/>
            <w:vAlign w:val="center"/>
          </w:tcPr>
          <w:p>
            <w:pPr>
              <w:pStyle w:val="25"/>
              <w:rPr>
                <w:kern w:val="2"/>
                <w:szCs w:val="21"/>
                <w:lang w:val="en-US" w:eastAsia="zh-CN"/>
              </w:rPr>
            </w:pPr>
            <w:r>
              <w:rPr>
                <w:kern w:val="2"/>
                <w:szCs w:val="21"/>
                <w:lang w:val="en-US" w:eastAsia="zh-CN"/>
              </w:rPr>
              <w:t>1000</w:t>
            </w:r>
          </w:p>
        </w:tc>
        <w:tc>
          <w:tcPr>
            <w:tcW w:w="1408" w:type="dxa"/>
            <w:vAlign w:val="center"/>
          </w:tcPr>
          <w:p>
            <w:pPr>
              <w:pStyle w:val="25"/>
              <w:rPr>
                <w:kern w:val="2"/>
                <w:szCs w:val="21"/>
                <w:lang w:val="en-US" w:eastAsia="zh-CN"/>
              </w:rPr>
            </w:pPr>
            <w:r>
              <w:rPr>
                <w:kern w:val="2"/>
                <w:szCs w:val="21"/>
                <w:lang w:val="en-US" w:eastAsia="zh-CN"/>
              </w:rPr>
              <w:t>112</w:t>
            </w:r>
          </w:p>
        </w:tc>
        <w:tc>
          <w:tcPr>
            <w:tcW w:w="1407" w:type="dxa"/>
            <w:vAlign w:val="center"/>
          </w:tcPr>
          <w:p>
            <w:pPr>
              <w:pStyle w:val="25"/>
              <w:rPr>
                <w:kern w:val="2"/>
                <w:szCs w:val="21"/>
                <w:lang w:val="en-US" w:eastAsia="zh-CN"/>
              </w:rPr>
            </w:pPr>
            <w:r>
              <w:rPr>
                <w:kern w:val="2"/>
                <w:szCs w:val="21"/>
                <w:lang w:val="en-US" w:eastAsia="zh-CN"/>
              </w:rPr>
              <w:t>56</w:t>
            </w:r>
          </w:p>
        </w:tc>
        <w:tc>
          <w:tcPr>
            <w:tcW w:w="1408" w:type="dxa"/>
            <w:vAlign w:val="center"/>
          </w:tcPr>
          <w:p>
            <w:pPr>
              <w:pStyle w:val="25"/>
              <w:rPr>
                <w:kern w:val="2"/>
                <w:szCs w:val="21"/>
                <w:lang w:val="en-US" w:eastAsia="zh-CN"/>
              </w:rPr>
            </w:pPr>
            <w:r>
              <w:rPr>
                <w:kern w:val="2"/>
                <w:szCs w:val="21"/>
                <w:lang w:val="en-US" w:eastAsia="zh-CN"/>
              </w:rPr>
              <w:t>11</w:t>
            </w:r>
          </w:p>
        </w:tc>
        <w:tc>
          <w:tcPr>
            <w:tcW w:w="1408" w:type="dxa"/>
            <w:vAlign w:val="center"/>
          </w:tcPr>
          <w:p>
            <w:pPr>
              <w:pStyle w:val="25"/>
              <w:rPr>
                <w:kern w:val="2"/>
                <w:szCs w:val="21"/>
                <w:lang w:val="en-US" w:eastAsia="zh-CN"/>
              </w:rPr>
            </w:pPr>
            <w:r>
              <w:rPr>
                <w:kern w:val="2"/>
                <w:szCs w:val="21"/>
                <w:lang w:val="en-US" w:eastAsia="zh-CN"/>
              </w:rPr>
              <w:t>0.9</w:t>
            </w:r>
          </w:p>
        </w:tc>
        <w:tc>
          <w:tcPr>
            <w:tcW w:w="1408" w:type="dxa"/>
            <w:vAlign w:val="center"/>
          </w:tcPr>
          <w:p>
            <w:pPr>
              <w:pStyle w:val="25"/>
              <w:rPr>
                <w:kern w:val="2"/>
                <w:szCs w:val="21"/>
                <w:lang w:val="en-US" w:eastAsia="zh-CN"/>
              </w:rPr>
            </w:pPr>
            <w:r>
              <w:rPr>
                <w:kern w:val="2"/>
                <w:szCs w:val="21"/>
                <w:lang w:val="en-US" w:eastAsia="zh-CN"/>
              </w:rPr>
              <w:t>0</w:t>
            </w:r>
          </w:p>
        </w:tc>
        <w:tc>
          <w:tcPr>
            <w:tcW w:w="1407" w:type="dxa"/>
            <w:vAlign w:val="center"/>
          </w:tcPr>
          <w:p>
            <w:pPr>
              <w:pStyle w:val="25"/>
              <w:rPr>
                <w:kern w:val="2"/>
                <w:szCs w:val="21"/>
                <w:lang w:val="en-US" w:eastAsia="zh-CN"/>
              </w:rPr>
            </w:pPr>
            <w:r>
              <w:rPr>
                <w:kern w:val="2"/>
                <w:szCs w:val="21"/>
                <w:lang w:val="en-US" w:eastAsia="zh-CN"/>
              </w:rPr>
              <w:t>0</w:t>
            </w:r>
          </w:p>
        </w:tc>
      </w:tr>
    </w:tbl>
    <w:p>
      <w:pPr>
        <w:ind w:firstLine="480"/>
      </w:pPr>
      <w:r>
        <w:rPr>
          <w:rFonts w:hint="eastAsia"/>
        </w:rPr>
        <w:t>（</w:t>
      </w:r>
      <w:r>
        <w:t>5</w:t>
      </w:r>
      <w:r>
        <w:rPr>
          <w:rFonts w:hint="eastAsia"/>
        </w:rPr>
        <w:t>）小结</w:t>
      </w:r>
    </w:p>
    <w:p>
      <w:pPr>
        <w:ind w:firstLine="480"/>
      </w:pPr>
      <w:r>
        <w:rPr>
          <w:rFonts w:hint="eastAsia"/>
        </w:rPr>
        <w:t>从项目场地水文地质条件分析，本项目潜水含水层岩土渗透性较差，地下水渗流速度极小，污染物不易扩散。根据预测结果可知，污染物扩散对地下水水质影响范围，随着时间扩大，但浓度减小。虽然对地下水的污染影响范围较小，仅局限在附近局部区域，但污染影响毕竟是存在的，且地下水一旦遭受污染，自清洁条件较差，污染具有长期性，建议业主首先要全面排查污水处理站现有建构筑物的防渗情况，确保污水处理设施安全正常运营，加强管理，确保不发生泄漏，其次加强对地下水监测井的观测，第三，如在发生意外泄露的情形下，要在泄露初期及时控制污染物向下游进行运移扩散，综合采取水动力控制、抽采或阻隔等方法，在污染物进一步运移扩散前将其控制、处理，避免对下游地下水造成污染影响。避免在项目运营过程中造成地下水污染。</w:t>
      </w:r>
    </w:p>
    <w:p>
      <w:pPr>
        <w:pStyle w:val="5"/>
      </w:pPr>
      <w:r>
        <w:rPr>
          <w:rFonts w:hint="eastAsia"/>
        </w:rPr>
        <w:t>技改后对地下水影响小结</w:t>
      </w:r>
    </w:p>
    <w:p>
      <w:pPr>
        <w:ind w:firstLine="480"/>
      </w:pPr>
      <w:r>
        <w:rPr>
          <w:rFonts w:hint="eastAsia"/>
        </w:rPr>
        <w:t>根据上述分析，技改后比技改前减少了废水对地下水环境污染的途径，对地下水影响减小；根据预测，污染物扩散对地下水水质影响范围较小，仅局限在附近局部区域。但地下水自净能力较差，污染具有长期性，因此，建议业主定期全面排查污水处理站、污水管网、固废暂存间等可能造成地下水污染的设施的防渗情况；定期对地下水进行检测。采取上述措施后，技改后项目对地下水环境影响较小。</w:t>
      </w:r>
    </w:p>
    <w:p>
      <w:pPr>
        <w:pStyle w:val="4"/>
      </w:pPr>
      <w:r>
        <w:rPr>
          <w:rFonts w:hint="eastAsia"/>
        </w:rPr>
        <w:t>大气环境影响评价分析</w:t>
      </w:r>
    </w:p>
    <w:p>
      <w:pPr>
        <w:pStyle w:val="5"/>
      </w:pPr>
      <w:r>
        <w:rPr>
          <w:rFonts w:hint="eastAsia"/>
        </w:rPr>
        <w:t>技改后项目环境影响预测与分析</w:t>
      </w:r>
    </w:p>
    <w:p>
      <w:pPr>
        <w:ind w:firstLine="480"/>
      </w:pPr>
      <w:r>
        <w:t>1</w:t>
      </w:r>
      <w:r>
        <w:rPr>
          <w:rFonts w:hint="eastAsia"/>
        </w:rPr>
        <w:t>、定型废气、醋酸影响预测</w:t>
      </w:r>
    </w:p>
    <w:p>
      <w:pPr>
        <w:ind w:firstLine="480"/>
      </w:pPr>
      <w:r>
        <w:rPr>
          <w:rFonts w:hint="eastAsia"/>
        </w:rPr>
        <w:t>本项目废气污染源主要为定型废气、醋酸，故确定颗粒物、</w:t>
      </w:r>
      <w:r>
        <w:rPr>
          <w:rFonts w:hint="eastAsia"/>
          <w:lang w:val="en-US" w:eastAsia="zh-CN"/>
        </w:rPr>
        <w:t>VOC</w:t>
      </w:r>
      <w:r>
        <w:rPr>
          <w:rFonts w:hint="eastAsia"/>
        </w:rPr>
        <w:t>、醋酸为预测因子。</w:t>
      </w:r>
    </w:p>
    <w:p>
      <w:pPr>
        <w:ind w:firstLine="480"/>
      </w:pPr>
      <w:r>
        <w:rPr>
          <w:rFonts w:hint="eastAsia"/>
        </w:rPr>
        <w:t>根据《环境影响评价技术导则大气环境》（</w:t>
      </w:r>
      <w:r>
        <w:t>HJ2.2-2008</w:t>
      </w:r>
      <w:r>
        <w:rPr>
          <w:rFonts w:hint="eastAsia"/>
        </w:rPr>
        <w:t>）中估算模式计算结果，本项目大气环境影响评价等级为三级。本次评价根据导则要求，采用估算模式预测项目颗粒物、非甲烷总烃、醋酸排放对周边大气环境影响。</w:t>
      </w:r>
    </w:p>
    <w:p>
      <w:pPr>
        <w:ind w:firstLine="480"/>
      </w:pPr>
      <w:r>
        <w:rPr>
          <w:rFonts w:hint="eastAsia"/>
        </w:rPr>
        <w:t>（一）气象资料统计</w:t>
      </w:r>
    </w:p>
    <w:p>
      <w:pPr>
        <w:ind w:firstLine="480"/>
      </w:pPr>
      <w:bookmarkStart w:id="36" w:name="_Ref237162563"/>
      <w:r>
        <w:rPr>
          <w:rFonts w:hint="eastAsia"/>
        </w:rPr>
        <w:t>岳阳市屈原管理区地处东亚季风气候区，具有中亚热带向北亚热带过渡性质，属湿润的大陆性季风气候。其主要特征是严寒期短，无霜期长；春温多变，秋寒偏旱；雨季明显，夏秋多旱；四季分明，季节性强，</w:t>
      </w:r>
      <w:r>
        <w:t>“</w:t>
      </w:r>
      <w:r>
        <w:rPr>
          <w:rFonts w:hint="eastAsia"/>
        </w:rPr>
        <w:t>湖陆风</w:t>
      </w:r>
      <w:r>
        <w:t>”</w:t>
      </w:r>
      <w:r>
        <w:rPr>
          <w:rFonts w:hint="eastAsia"/>
        </w:rPr>
        <w:t>盛行。因为岳阳市屈原管理区离汨罗气象观测站比较近，此气象站位于汨罗市劳动南路邬家山，与本项目地直线距离约</w:t>
      </w:r>
      <w:r>
        <w:t>19km</w:t>
      </w:r>
      <w:r>
        <w:rPr>
          <w:rFonts w:hint="eastAsia"/>
        </w:rPr>
        <w:t>（屈原管理区离岳阳市直线距离为</w:t>
      </w:r>
      <w:r>
        <w:t>60</w:t>
      </w:r>
      <w:r>
        <w:rPr>
          <w:rFonts w:hint="eastAsia"/>
        </w:rPr>
        <w:t>公里），所以可以参照汨罗市的天气资料，通过对该气象站近</w:t>
      </w:r>
      <w:r>
        <w:t>20</w:t>
      </w:r>
      <w:r>
        <w:rPr>
          <w:rFonts w:hint="eastAsia"/>
        </w:rPr>
        <w:t>年的气象观测资料的分析，其主要的气象要素的统计分析结果见下表</w:t>
      </w:r>
      <w:r>
        <w:t>6.2-6</w:t>
      </w:r>
      <w:r>
        <w:rPr>
          <w:rFonts w:hint="eastAsia"/>
        </w:rPr>
        <w:t>。</w:t>
      </w:r>
    </w:p>
    <w:p>
      <w:pPr>
        <w:pStyle w:val="25"/>
        <w:rPr>
          <w:b/>
          <w:bCs/>
        </w:rPr>
      </w:pPr>
      <w:r>
        <w:rPr>
          <w:rFonts w:hint="eastAsia"/>
          <w:b/>
          <w:bCs/>
        </w:rPr>
        <w:t>表</w:t>
      </w:r>
      <w:r>
        <w:rPr>
          <w:b/>
          <w:bCs/>
        </w:rPr>
        <w:t xml:space="preserve">6.2-6  </w:t>
      </w:r>
      <w:r>
        <w:rPr>
          <w:rFonts w:hint="eastAsia"/>
          <w:b/>
          <w:bCs/>
        </w:rPr>
        <w:t>项目地基本气象要素统计</w:t>
      </w:r>
    </w:p>
    <w:tbl>
      <w:tblPr>
        <w:tblStyle w:val="23"/>
        <w:tblW w:w="88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1"/>
        <w:gridCol w:w="2515"/>
        <w:gridCol w:w="2718"/>
        <w:gridCol w:w="26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981" w:type="dxa"/>
            <w:tcBorders>
              <w:top w:val="single" w:color="auto" w:sz="12" w:space="0"/>
            </w:tcBorders>
            <w:vAlign w:val="center"/>
          </w:tcPr>
          <w:p>
            <w:pPr>
              <w:pStyle w:val="25"/>
              <w:rPr>
                <w:kern w:val="2"/>
                <w:szCs w:val="21"/>
                <w:lang w:val="en-US" w:eastAsia="zh-CN"/>
              </w:rPr>
            </w:pPr>
            <w:r>
              <w:rPr>
                <w:rFonts w:hint="eastAsia"/>
                <w:kern w:val="2"/>
                <w:szCs w:val="21"/>
                <w:lang w:val="en-US" w:eastAsia="zh-CN"/>
              </w:rPr>
              <w:t>月份</w:t>
            </w:r>
          </w:p>
        </w:tc>
        <w:tc>
          <w:tcPr>
            <w:tcW w:w="2515" w:type="dxa"/>
            <w:tcBorders>
              <w:top w:val="single" w:color="auto" w:sz="12" w:space="0"/>
            </w:tcBorders>
            <w:vAlign w:val="center"/>
          </w:tcPr>
          <w:p>
            <w:pPr>
              <w:pStyle w:val="25"/>
              <w:rPr>
                <w:kern w:val="2"/>
                <w:szCs w:val="21"/>
                <w:lang w:val="en-US" w:eastAsia="zh-CN"/>
              </w:rPr>
            </w:pPr>
            <w:r>
              <w:rPr>
                <w:rFonts w:hint="eastAsia"/>
                <w:kern w:val="2"/>
                <w:szCs w:val="21"/>
                <w:lang w:val="en-US" w:eastAsia="zh-CN"/>
              </w:rPr>
              <w:t>平均气温（</w:t>
            </w:r>
            <w:r>
              <w:rPr>
                <w:rFonts w:hint="eastAsia" w:ascii="宋体" w:hAnsi="宋体" w:cs="宋体"/>
                <w:kern w:val="2"/>
                <w:szCs w:val="21"/>
                <w:lang w:val="en-US" w:eastAsia="zh-CN"/>
              </w:rPr>
              <w:t>℃</w:t>
            </w:r>
            <w:r>
              <w:rPr>
                <w:rFonts w:hint="eastAsia"/>
                <w:kern w:val="2"/>
                <w:szCs w:val="21"/>
                <w:lang w:val="en-US" w:eastAsia="zh-CN"/>
              </w:rPr>
              <w:t>）</w:t>
            </w:r>
          </w:p>
        </w:tc>
        <w:tc>
          <w:tcPr>
            <w:tcW w:w="2718" w:type="dxa"/>
            <w:tcBorders>
              <w:top w:val="single" w:color="auto" w:sz="12" w:space="0"/>
            </w:tcBorders>
            <w:vAlign w:val="center"/>
          </w:tcPr>
          <w:p>
            <w:pPr>
              <w:pStyle w:val="25"/>
              <w:rPr>
                <w:kern w:val="2"/>
                <w:szCs w:val="21"/>
                <w:lang w:val="en-US" w:eastAsia="zh-CN"/>
              </w:rPr>
            </w:pPr>
            <w:r>
              <w:rPr>
                <w:rFonts w:hint="eastAsia"/>
                <w:kern w:val="2"/>
                <w:szCs w:val="21"/>
                <w:lang w:val="en-US" w:eastAsia="zh-CN"/>
              </w:rPr>
              <w:t>平均降水（</w:t>
            </w:r>
            <w:r>
              <w:rPr>
                <w:kern w:val="2"/>
                <w:szCs w:val="21"/>
                <w:lang w:val="en-US" w:eastAsia="zh-CN"/>
              </w:rPr>
              <w:t>mm</w:t>
            </w:r>
            <w:r>
              <w:rPr>
                <w:rFonts w:hint="eastAsia"/>
                <w:kern w:val="2"/>
                <w:szCs w:val="21"/>
                <w:lang w:val="en-US" w:eastAsia="zh-CN"/>
              </w:rPr>
              <w:t>）</w:t>
            </w:r>
          </w:p>
        </w:tc>
        <w:tc>
          <w:tcPr>
            <w:tcW w:w="2668" w:type="dxa"/>
            <w:tcBorders>
              <w:top w:val="single" w:color="auto" w:sz="12" w:space="0"/>
            </w:tcBorders>
            <w:vAlign w:val="center"/>
          </w:tcPr>
          <w:p>
            <w:pPr>
              <w:pStyle w:val="25"/>
              <w:rPr>
                <w:kern w:val="2"/>
                <w:szCs w:val="21"/>
                <w:lang w:val="en-US" w:eastAsia="zh-CN"/>
              </w:rPr>
            </w:pPr>
            <w:r>
              <w:rPr>
                <w:rFonts w:hint="eastAsia"/>
                <w:kern w:val="2"/>
                <w:szCs w:val="21"/>
                <w:lang w:val="en-US" w:eastAsia="zh-CN"/>
              </w:rPr>
              <w:t>平均风速（</w:t>
            </w:r>
            <w:r>
              <w:rPr>
                <w:kern w:val="2"/>
                <w:szCs w:val="21"/>
                <w:lang w:val="en-US" w:eastAsia="zh-CN"/>
              </w:rPr>
              <w:t>m/s</w:t>
            </w:r>
            <w:r>
              <w:rPr>
                <w:rFonts w:hint="eastAsia"/>
                <w:kern w:val="2"/>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81" w:type="dxa"/>
            <w:vAlign w:val="center"/>
          </w:tcPr>
          <w:p>
            <w:pPr>
              <w:pStyle w:val="25"/>
              <w:rPr>
                <w:kern w:val="2"/>
                <w:szCs w:val="21"/>
                <w:lang w:val="en-US" w:eastAsia="zh-CN"/>
              </w:rPr>
            </w:pPr>
            <w:r>
              <w:rPr>
                <w:kern w:val="2"/>
                <w:szCs w:val="21"/>
                <w:lang w:val="en-US" w:eastAsia="zh-CN"/>
              </w:rPr>
              <w:t>1</w:t>
            </w:r>
          </w:p>
        </w:tc>
        <w:tc>
          <w:tcPr>
            <w:tcW w:w="2515" w:type="dxa"/>
            <w:vAlign w:val="center"/>
          </w:tcPr>
          <w:p>
            <w:pPr>
              <w:pStyle w:val="25"/>
              <w:rPr>
                <w:kern w:val="2"/>
                <w:szCs w:val="21"/>
                <w:lang w:val="en-US" w:eastAsia="zh-CN"/>
              </w:rPr>
            </w:pPr>
            <w:r>
              <w:rPr>
                <w:kern w:val="2"/>
                <w:szCs w:val="21"/>
                <w:lang w:val="en-US" w:eastAsia="zh-CN"/>
              </w:rPr>
              <w:t>4.9</w:t>
            </w:r>
          </w:p>
        </w:tc>
        <w:tc>
          <w:tcPr>
            <w:tcW w:w="2718" w:type="dxa"/>
            <w:vAlign w:val="center"/>
          </w:tcPr>
          <w:p>
            <w:pPr>
              <w:pStyle w:val="25"/>
              <w:rPr>
                <w:kern w:val="2"/>
                <w:szCs w:val="21"/>
                <w:lang w:val="en-US" w:eastAsia="zh-CN"/>
              </w:rPr>
            </w:pPr>
            <w:r>
              <w:rPr>
                <w:kern w:val="2"/>
                <w:szCs w:val="21"/>
                <w:lang w:val="en-US" w:eastAsia="zh-CN"/>
              </w:rPr>
              <w:t>100.9</w:t>
            </w:r>
          </w:p>
        </w:tc>
        <w:tc>
          <w:tcPr>
            <w:tcW w:w="2668" w:type="dxa"/>
            <w:vAlign w:val="center"/>
          </w:tcPr>
          <w:p>
            <w:pPr>
              <w:pStyle w:val="25"/>
              <w:rPr>
                <w:kern w:val="2"/>
                <w:szCs w:val="21"/>
                <w:lang w:val="en-US" w:eastAsia="zh-CN"/>
              </w:rPr>
            </w:pPr>
            <w:r>
              <w:rPr>
                <w:kern w:val="2"/>
                <w:szCs w:val="21"/>
                <w:lang w:val="en-US" w:eastAsia="zh-CN"/>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81" w:type="dxa"/>
            <w:vAlign w:val="center"/>
          </w:tcPr>
          <w:p>
            <w:pPr>
              <w:pStyle w:val="25"/>
              <w:rPr>
                <w:kern w:val="2"/>
                <w:szCs w:val="21"/>
                <w:lang w:val="en-US" w:eastAsia="zh-CN"/>
              </w:rPr>
            </w:pPr>
            <w:r>
              <w:rPr>
                <w:kern w:val="2"/>
                <w:szCs w:val="21"/>
                <w:lang w:val="en-US" w:eastAsia="zh-CN"/>
              </w:rPr>
              <w:t>2</w:t>
            </w:r>
          </w:p>
        </w:tc>
        <w:tc>
          <w:tcPr>
            <w:tcW w:w="2515" w:type="dxa"/>
            <w:vAlign w:val="center"/>
          </w:tcPr>
          <w:p>
            <w:pPr>
              <w:pStyle w:val="25"/>
              <w:rPr>
                <w:kern w:val="2"/>
                <w:szCs w:val="21"/>
                <w:lang w:val="en-US" w:eastAsia="zh-CN"/>
              </w:rPr>
            </w:pPr>
            <w:r>
              <w:rPr>
                <w:kern w:val="2"/>
                <w:szCs w:val="21"/>
                <w:lang w:val="en-US" w:eastAsia="zh-CN"/>
              </w:rPr>
              <w:t>11.5</w:t>
            </w:r>
          </w:p>
        </w:tc>
        <w:tc>
          <w:tcPr>
            <w:tcW w:w="2718" w:type="dxa"/>
            <w:vAlign w:val="center"/>
          </w:tcPr>
          <w:p>
            <w:pPr>
              <w:pStyle w:val="25"/>
              <w:rPr>
                <w:kern w:val="2"/>
                <w:szCs w:val="21"/>
                <w:lang w:val="en-US" w:eastAsia="zh-CN"/>
              </w:rPr>
            </w:pPr>
            <w:r>
              <w:rPr>
                <w:kern w:val="2"/>
                <w:szCs w:val="21"/>
                <w:lang w:val="en-US" w:eastAsia="zh-CN"/>
              </w:rPr>
              <w:t>75.9</w:t>
            </w:r>
          </w:p>
        </w:tc>
        <w:tc>
          <w:tcPr>
            <w:tcW w:w="2668" w:type="dxa"/>
            <w:vAlign w:val="center"/>
          </w:tcPr>
          <w:p>
            <w:pPr>
              <w:pStyle w:val="25"/>
              <w:rPr>
                <w:kern w:val="2"/>
                <w:szCs w:val="21"/>
                <w:lang w:val="en-US" w:eastAsia="zh-CN"/>
              </w:rPr>
            </w:pPr>
            <w:r>
              <w:rPr>
                <w:kern w:val="2"/>
                <w:szCs w:val="21"/>
                <w:lang w:val="en-US" w:eastAsia="zh-CN"/>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81" w:type="dxa"/>
            <w:vAlign w:val="center"/>
          </w:tcPr>
          <w:p>
            <w:pPr>
              <w:pStyle w:val="25"/>
              <w:rPr>
                <w:kern w:val="2"/>
                <w:szCs w:val="21"/>
                <w:lang w:val="en-US" w:eastAsia="zh-CN"/>
              </w:rPr>
            </w:pPr>
            <w:r>
              <w:rPr>
                <w:kern w:val="2"/>
                <w:szCs w:val="21"/>
                <w:lang w:val="en-US" w:eastAsia="zh-CN"/>
              </w:rPr>
              <w:t>3</w:t>
            </w:r>
          </w:p>
        </w:tc>
        <w:tc>
          <w:tcPr>
            <w:tcW w:w="2515" w:type="dxa"/>
            <w:vAlign w:val="center"/>
          </w:tcPr>
          <w:p>
            <w:pPr>
              <w:pStyle w:val="25"/>
              <w:rPr>
                <w:kern w:val="2"/>
                <w:szCs w:val="21"/>
                <w:lang w:val="en-US" w:eastAsia="zh-CN"/>
              </w:rPr>
            </w:pPr>
            <w:r>
              <w:rPr>
                <w:kern w:val="2"/>
                <w:szCs w:val="21"/>
                <w:lang w:val="en-US" w:eastAsia="zh-CN"/>
              </w:rPr>
              <w:t>12.7</w:t>
            </w:r>
          </w:p>
        </w:tc>
        <w:tc>
          <w:tcPr>
            <w:tcW w:w="2718" w:type="dxa"/>
            <w:vAlign w:val="center"/>
          </w:tcPr>
          <w:p>
            <w:pPr>
              <w:pStyle w:val="25"/>
              <w:rPr>
                <w:kern w:val="2"/>
                <w:szCs w:val="21"/>
                <w:lang w:val="en-US" w:eastAsia="zh-CN"/>
              </w:rPr>
            </w:pPr>
            <w:r>
              <w:rPr>
                <w:kern w:val="2"/>
                <w:szCs w:val="21"/>
                <w:lang w:val="en-US" w:eastAsia="zh-CN"/>
              </w:rPr>
              <w:t>138.3</w:t>
            </w:r>
          </w:p>
        </w:tc>
        <w:tc>
          <w:tcPr>
            <w:tcW w:w="2668" w:type="dxa"/>
            <w:vAlign w:val="center"/>
          </w:tcPr>
          <w:p>
            <w:pPr>
              <w:pStyle w:val="25"/>
              <w:rPr>
                <w:kern w:val="2"/>
                <w:szCs w:val="21"/>
                <w:lang w:val="en-US" w:eastAsia="zh-CN"/>
              </w:rPr>
            </w:pPr>
            <w:r>
              <w:rPr>
                <w:kern w:val="2"/>
                <w:szCs w:val="21"/>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81" w:type="dxa"/>
            <w:vAlign w:val="center"/>
          </w:tcPr>
          <w:p>
            <w:pPr>
              <w:pStyle w:val="25"/>
              <w:rPr>
                <w:kern w:val="2"/>
                <w:szCs w:val="21"/>
                <w:lang w:val="en-US" w:eastAsia="zh-CN"/>
              </w:rPr>
            </w:pPr>
            <w:r>
              <w:rPr>
                <w:kern w:val="2"/>
                <w:szCs w:val="21"/>
                <w:lang w:val="en-US" w:eastAsia="zh-CN"/>
              </w:rPr>
              <w:t>4</w:t>
            </w:r>
          </w:p>
        </w:tc>
        <w:tc>
          <w:tcPr>
            <w:tcW w:w="2515" w:type="dxa"/>
            <w:vAlign w:val="center"/>
          </w:tcPr>
          <w:p>
            <w:pPr>
              <w:pStyle w:val="25"/>
              <w:rPr>
                <w:kern w:val="2"/>
                <w:szCs w:val="21"/>
                <w:lang w:val="en-US" w:eastAsia="zh-CN"/>
              </w:rPr>
            </w:pPr>
            <w:r>
              <w:rPr>
                <w:kern w:val="2"/>
                <w:szCs w:val="21"/>
                <w:lang w:val="en-US" w:eastAsia="zh-CN"/>
              </w:rPr>
              <w:t>18.0</w:t>
            </w:r>
          </w:p>
        </w:tc>
        <w:tc>
          <w:tcPr>
            <w:tcW w:w="2718" w:type="dxa"/>
            <w:vAlign w:val="center"/>
          </w:tcPr>
          <w:p>
            <w:pPr>
              <w:pStyle w:val="25"/>
              <w:rPr>
                <w:kern w:val="2"/>
                <w:szCs w:val="21"/>
                <w:lang w:val="en-US" w:eastAsia="zh-CN"/>
              </w:rPr>
            </w:pPr>
            <w:r>
              <w:rPr>
                <w:kern w:val="2"/>
                <w:szCs w:val="21"/>
                <w:lang w:val="en-US" w:eastAsia="zh-CN"/>
              </w:rPr>
              <w:t>106.7</w:t>
            </w:r>
          </w:p>
        </w:tc>
        <w:tc>
          <w:tcPr>
            <w:tcW w:w="2668" w:type="dxa"/>
            <w:vAlign w:val="center"/>
          </w:tcPr>
          <w:p>
            <w:pPr>
              <w:pStyle w:val="25"/>
              <w:rPr>
                <w:kern w:val="2"/>
                <w:szCs w:val="21"/>
                <w:lang w:val="en-US" w:eastAsia="zh-CN"/>
              </w:rPr>
            </w:pPr>
            <w:r>
              <w:rPr>
                <w:kern w:val="2"/>
                <w:szCs w:val="21"/>
                <w:lang w:val="en-US" w:eastAsia="zh-CN"/>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81" w:type="dxa"/>
            <w:vAlign w:val="center"/>
          </w:tcPr>
          <w:p>
            <w:pPr>
              <w:pStyle w:val="25"/>
              <w:rPr>
                <w:kern w:val="2"/>
                <w:szCs w:val="21"/>
                <w:lang w:val="en-US" w:eastAsia="zh-CN"/>
              </w:rPr>
            </w:pPr>
            <w:r>
              <w:rPr>
                <w:kern w:val="2"/>
                <w:szCs w:val="21"/>
                <w:lang w:val="en-US" w:eastAsia="zh-CN"/>
              </w:rPr>
              <w:t>5</w:t>
            </w:r>
          </w:p>
        </w:tc>
        <w:tc>
          <w:tcPr>
            <w:tcW w:w="2515" w:type="dxa"/>
            <w:vAlign w:val="center"/>
          </w:tcPr>
          <w:p>
            <w:pPr>
              <w:pStyle w:val="25"/>
              <w:rPr>
                <w:kern w:val="2"/>
                <w:szCs w:val="21"/>
                <w:lang w:val="en-US" w:eastAsia="zh-CN"/>
              </w:rPr>
            </w:pPr>
            <w:r>
              <w:rPr>
                <w:kern w:val="2"/>
                <w:szCs w:val="21"/>
                <w:lang w:val="en-US" w:eastAsia="zh-CN"/>
              </w:rPr>
              <w:t>25.4</w:t>
            </w:r>
          </w:p>
        </w:tc>
        <w:tc>
          <w:tcPr>
            <w:tcW w:w="2718" w:type="dxa"/>
            <w:vAlign w:val="center"/>
          </w:tcPr>
          <w:p>
            <w:pPr>
              <w:pStyle w:val="25"/>
              <w:rPr>
                <w:kern w:val="2"/>
                <w:szCs w:val="21"/>
                <w:lang w:val="en-US" w:eastAsia="zh-CN"/>
              </w:rPr>
            </w:pPr>
            <w:r>
              <w:rPr>
                <w:kern w:val="2"/>
                <w:szCs w:val="21"/>
                <w:lang w:val="en-US" w:eastAsia="zh-CN"/>
              </w:rPr>
              <w:t>139.7</w:t>
            </w:r>
          </w:p>
        </w:tc>
        <w:tc>
          <w:tcPr>
            <w:tcW w:w="2668" w:type="dxa"/>
            <w:vAlign w:val="center"/>
          </w:tcPr>
          <w:p>
            <w:pPr>
              <w:pStyle w:val="25"/>
              <w:rPr>
                <w:kern w:val="2"/>
                <w:szCs w:val="21"/>
                <w:lang w:val="en-US" w:eastAsia="zh-CN"/>
              </w:rPr>
            </w:pPr>
            <w:r>
              <w:rPr>
                <w:kern w:val="2"/>
                <w:szCs w:val="21"/>
                <w:lang w:val="en-US" w:eastAsia="zh-CN"/>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81" w:type="dxa"/>
            <w:vAlign w:val="center"/>
          </w:tcPr>
          <w:p>
            <w:pPr>
              <w:pStyle w:val="25"/>
              <w:rPr>
                <w:kern w:val="2"/>
                <w:szCs w:val="21"/>
                <w:lang w:val="en-US" w:eastAsia="zh-CN"/>
              </w:rPr>
            </w:pPr>
            <w:r>
              <w:rPr>
                <w:kern w:val="2"/>
                <w:szCs w:val="21"/>
                <w:lang w:val="en-US" w:eastAsia="zh-CN"/>
              </w:rPr>
              <w:t>6</w:t>
            </w:r>
          </w:p>
        </w:tc>
        <w:tc>
          <w:tcPr>
            <w:tcW w:w="2515" w:type="dxa"/>
            <w:vAlign w:val="center"/>
          </w:tcPr>
          <w:p>
            <w:pPr>
              <w:pStyle w:val="25"/>
              <w:rPr>
                <w:kern w:val="2"/>
                <w:szCs w:val="21"/>
                <w:lang w:val="en-US" w:eastAsia="zh-CN"/>
              </w:rPr>
            </w:pPr>
            <w:r>
              <w:rPr>
                <w:kern w:val="2"/>
                <w:szCs w:val="21"/>
                <w:lang w:val="en-US" w:eastAsia="zh-CN"/>
              </w:rPr>
              <w:t>26.4</w:t>
            </w:r>
          </w:p>
        </w:tc>
        <w:tc>
          <w:tcPr>
            <w:tcW w:w="2718" w:type="dxa"/>
            <w:vAlign w:val="center"/>
          </w:tcPr>
          <w:p>
            <w:pPr>
              <w:pStyle w:val="25"/>
              <w:rPr>
                <w:kern w:val="2"/>
                <w:szCs w:val="21"/>
                <w:lang w:val="en-US" w:eastAsia="zh-CN"/>
              </w:rPr>
            </w:pPr>
            <w:r>
              <w:rPr>
                <w:kern w:val="2"/>
                <w:szCs w:val="21"/>
                <w:lang w:val="en-US" w:eastAsia="zh-CN"/>
              </w:rPr>
              <w:t>229.8</w:t>
            </w:r>
          </w:p>
        </w:tc>
        <w:tc>
          <w:tcPr>
            <w:tcW w:w="2668" w:type="dxa"/>
            <w:vAlign w:val="center"/>
          </w:tcPr>
          <w:p>
            <w:pPr>
              <w:pStyle w:val="25"/>
              <w:rPr>
                <w:kern w:val="2"/>
                <w:szCs w:val="21"/>
                <w:lang w:val="en-US" w:eastAsia="zh-CN"/>
              </w:rPr>
            </w:pPr>
            <w:r>
              <w:rPr>
                <w:kern w:val="2"/>
                <w:szCs w:val="21"/>
                <w:lang w:val="en-US" w:eastAsia="zh-CN"/>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81" w:type="dxa"/>
            <w:vAlign w:val="center"/>
          </w:tcPr>
          <w:p>
            <w:pPr>
              <w:pStyle w:val="25"/>
              <w:rPr>
                <w:kern w:val="2"/>
                <w:szCs w:val="21"/>
                <w:lang w:val="en-US" w:eastAsia="zh-CN"/>
              </w:rPr>
            </w:pPr>
            <w:r>
              <w:rPr>
                <w:kern w:val="2"/>
                <w:szCs w:val="21"/>
                <w:lang w:val="en-US" w:eastAsia="zh-CN"/>
              </w:rPr>
              <w:t>7</w:t>
            </w:r>
          </w:p>
        </w:tc>
        <w:tc>
          <w:tcPr>
            <w:tcW w:w="2515" w:type="dxa"/>
            <w:vAlign w:val="center"/>
          </w:tcPr>
          <w:p>
            <w:pPr>
              <w:pStyle w:val="25"/>
              <w:rPr>
                <w:kern w:val="2"/>
                <w:szCs w:val="21"/>
                <w:lang w:val="en-US" w:eastAsia="zh-CN"/>
              </w:rPr>
            </w:pPr>
            <w:r>
              <w:rPr>
                <w:kern w:val="2"/>
                <w:szCs w:val="21"/>
                <w:lang w:val="en-US" w:eastAsia="zh-CN"/>
              </w:rPr>
              <w:t>30.0</w:t>
            </w:r>
          </w:p>
        </w:tc>
        <w:tc>
          <w:tcPr>
            <w:tcW w:w="2718" w:type="dxa"/>
            <w:vAlign w:val="center"/>
          </w:tcPr>
          <w:p>
            <w:pPr>
              <w:pStyle w:val="25"/>
              <w:rPr>
                <w:kern w:val="2"/>
                <w:szCs w:val="21"/>
                <w:lang w:val="en-US" w:eastAsia="zh-CN"/>
              </w:rPr>
            </w:pPr>
            <w:r>
              <w:rPr>
                <w:kern w:val="2"/>
                <w:szCs w:val="21"/>
                <w:lang w:val="en-US" w:eastAsia="zh-CN"/>
              </w:rPr>
              <w:t>217.9</w:t>
            </w:r>
          </w:p>
        </w:tc>
        <w:tc>
          <w:tcPr>
            <w:tcW w:w="2668" w:type="dxa"/>
            <w:vAlign w:val="center"/>
          </w:tcPr>
          <w:p>
            <w:pPr>
              <w:pStyle w:val="25"/>
              <w:rPr>
                <w:kern w:val="2"/>
                <w:szCs w:val="21"/>
                <w:lang w:val="en-US" w:eastAsia="zh-CN"/>
              </w:rPr>
            </w:pPr>
            <w:r>
              <w:rPr>
                <w:kern w:val="2"/>
                <w:szCs w:val="21"/>
                <w:lang w:val="en-US" w:eastAsia="zh-CN"/>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81" w:type="dxa"/>
            <w:vAlign w:val="center"/>
          </w:tcPr>
          <w:p>
            <w:pPr>
              <w:pStyle w:val="25"/>
              <w:rPr>
                <w:kern w:val="2"/>
                <w:szCs w:val="21"/>
                <w:lang w:val="en-US" w:eastAsia="zh-CN"/>
              </w:rPr>
            </w:pPr>
            <w:r>
              <w:rPr>
                <w:kern w:val="2"/>
                <w:szCs w:val="21"/>
                <w:lang w:val="en-US" w:eastAsia="zh-CN"/>
              </w:rPr>
              <w:t>8</w:t>
            </w:r>
          </w:p>
        </w:tc>
        <w:tc>
          <w:tcPr>
            <w:tcW w:w="2515" w:type="dxa"/>
            <w:vAlign w:val="center"/>
          </w:tcPr>
          <w:p>
            <w:pPr>
              <w:pStyle w:val="25"/>
              <w:rPr>
                <w:kern w:val="2"/>
                <w:szCs w:val="21"/>
                <w:lang w:val="en-US" w:eastAsia="zh-CN"/>
              </w:rPr>
            </w:pPr>
            <w:r>
              <w:rPr>
                <w:kern w:val="2"/>
                <w:szCs w:val="21"/>
                <w:lang w:val="en-US" w:eastAsia="zh-CN"/>
              </w:rPr>
              <w:t>29.2</w:t>
            </w:r>
          </w:p>
        </w:tc>
        <w:tc>
          <w:tcPr>
            <w:tcW w:w="2718" w:type="dxa"/>
            <w:vAlign w:val="center"/>
          </w:tcPr>
          <w:p>
            <w:pPr>
              <w:pStyle w:val="25"/>
              <w:rPr>
                <w:kern w:val="2"/>
                <w:szCs w:val="21"/>
                <w:lang w:val="en-US" w:eastAsia="zh-CN"/>
              </w:rPr>
            </w:pPr>
            <w:r>
              <w:rPr>
                <w:kern w:val="2"/>
                <w:szCs w:val="21"/>
                <w:lang w:val="en-US" w:eastAsia="zh-CN"/>
              </w:rPr>
              <w:t>202.4</w:t>
            </w:r>
          </w:p>
        </w:tc>
        <w:tc>
          <w:tcPr>
            <w:tcW w:w="2668" w:type="dxa"/>
            <w:vAlign w:val="center"/>
          </w:tcPr>
          <w:p>
            <w:pPr>
              <w:pStyle w:val="25"/>
              <w:rPr>
                <w:kern w:val="2"/>
                <w:szCs w:val="21"/>
                <w:lang w:val="en-US" w:eastAsia="zh-CN"/>
              </w:rPr>
            </w:pPr>
            <w:r>
              <w:rPr>
                <w:kern w:val="2"/>
                <w:szCs w:val="21"/>
                <w:lang w:val="en-US" w:eastAsia="zh-CN"/>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81" w:type="dxa"/>
            <w:vAlign w:val="center"/>
          </w:tcPr>
          <w:p>
            <w:pPr>
              <w:pStyle w:val="25"/>
              <w:rPr>
                <w:kern w:val="2"/>
                <w:szCs w:val="21"/>
                <w:lang w:val="en-US" w:eastAsia="zh-CN"/>
              </w:rPr>
            </w:pPr>
            <w:r>
              <w:rPr>
                <w:kern w:val="2"/>
                <w:szCs w:val="21"/>
                <w:lang w:val="en-US" w:eastAsia="zh-CN"/>
              </w:rPr>
              <w:t>9</w:t>
            </w:r>
          </w:p>
        </w:tc>
        <w:tc>
          <w:tcPr>
            <w:tcW w:w="2515" w:type="dxa"/>
            <w:vAlign w:val="center"/>
          </w:tcPr>
          <w:p>
            <w:pPr>
              <w:pStyle w:val="25"/>
              <w:rPr>
                <w:kern w:val="2"/>
                <w:szCs w:val="21"/>
                <w:lang w:val="en-US" w:eastAsia="zh-CN"/>
              </w:rPr>
            </w:pPr>
            <w:r>
              <w:rPr>
                <w:kern w:val="2"/>
                <w:szCs w:val="21"/>
                <w:lang w:val="en-US" w:eastAsia="zh-CN"/>
              </w:rPr>
              <w:t>23.5</w:t>
            </w:r>
          </w:p>
        </w:tc>
        <w:tc>
          <w:tcPr>
            <w:tcW w:w="2718" w:type="dxa"/>
            <w:vAlign w:val="center"/>
          </w:tcPr>
          <w:p>
            <w:pPr>
              <w:pStyle w:val="25"/>
              <w:rPr>
                <w:kern w:val="2"/>
                <w:szCs w:val="21"/>
                <w:lang w:val="en-US" w:eastAsia="zh-CN"/>
              </w:rPr>
            </w:pPr>
            <w:r>
              <w:rPr>
                <w:kern w:val="2"/>
                <w:szCs w:val="21"/>
                <w:lang w:val="en-US" w:eastAsia="zh-CN"/>
              </w:rPr>
              <w:t>102.3</w:t>
            </w:r>
          </w:p>
        </w:tc>
        <w:tc>
          <w:tcPr>
            <w:tcW w:w="2668" w:type="dxa"/>
            <w:vAlign w:val="center"/>
          </w:tcPr>
          <w:p>
            <w:pPr>
              <w:pStyle w:val="25"/>
              <w:rPr>
                <w:kern w:val="2"/>
                <w:szCs w:val="21"/>
                <w:lang w:val="en-US" w:eastAsia="zh-CN"/>
              </w:rPr>
            </w:pPr>
            <w:r>
              <w:rPr>
                <w:kern w:val="2"/>
                <w:szCs w:val="21"/>
                <w:lang w:val="en-US" w:eastAsia="zh-CN"/>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81" w:type="dxa"/>
            <w:vAlign w:val="center"/>
          </w:tcPr>
          <w:p>
            <w:pPr>
              <w:pStyle w:val="25"/>
              <w:rPr>
                <w:kern w:val="2"/>
                <w:szCs w:val="21"/>
                <w:lang w:val="en-US" w:eastAsia="zh-CN"/>
              </w:rPr>
            </w:pPr>
            <w:r>
              <w:rPr>
                <w:kern w:val="2"/>
                <w:szCs w:val="21"/>
                <w:lang w:val="en-US" w:eastAsia="zh-CN"/>
              </w:rPr>
              <w:t>10</w:t>
            </w:r>
          </w:p>
        </w:tc>
        <w:tc>
          <w:tcPr>
            <w:tcW w:w="2515" w:type="dxa"/>
            <w:vAlign w:val="center"/>
          </w:tcPr>
          <w:p>
            <w:pPr>
              <w:pStyle w:val="25"/>
              <w:rPr>
                <w:kern w:val="2"/>
                <w:szCs w:val="21"/>
                <w:lang w:val="en-US" w:eastAsia="zh-CN"/>
              </w:rPr>
            </w:pPr>
            <w:r>
              <w:rPr>
                <w:kern w:val="2"/>
                <w:szCs w:val="21"/>
                <w:lang w:val="en-US" w:eastAsia="zh-CN"/>
              </w:rPr>
              <w:t>19</w:t>
            </w:r>
          </w:p>
        </w:tc>
        <w:tc>
          <w:tcPr>
            <w:tcW w:w="2718" w:type="dxa"/>
            <w:vAlign w:val="center"/>
          </w:tcPr>
          <w:p>
            <w:pPr>
              <w:pStyle w:val="25"/>
              <w:rPr>
                <w:kern w:val="2"/>
                <w:szCs w:val="21"/>
                <w:lang w:val="en-US" w:eastAsia="zh-CN"/>
              </w:rPr>
            </w:pPr>
            <w:r>
              <w:rPr>
                <w:kern w:val="2"/>
                <w:szCs w:val="21"/>
                <w:lang w:val="en-US" w:eastAsia="zh-CN"/>
              </w:rPr>
              <w:t>30.8</w:t>
            </w:r>
          </w:p>
        </w:tc>
        <w:tc>
          <w:tcPr>
            <w:tcW w:w="2668" w:type="dxa"/>
            <w:vAlign w:val="center"/>
          </w:tcPr>
          <w:p>
            <w:pPr>
              <w:pStyle w:val="25"/>
              <w:rPr>
                <w:kern w:val="2"/>
                <w:szCs w:val="21"/>
                <w:lang w:val="en-US" w:eastAsia="zh-CN"/>
              </w:rPr>
            </w:pPr>
            <w:r>
              <w:rPr>
                <w:kern w:val="2"/>
                <w:szCs w:val="21"/>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81" w:type="dxa"/>
            <w:vAlign w:val="center"/>
          </w:tcPr>
          <w:p>
            <w:pPr>
              <w:pStyle w:val="25"/>
              <w:rPr>
                <w:kern w:val="2"/>
                <w:szCs w:val="21"/>
                <w:lang w:val="en-US" w:eastAsia="zh-CN"/>
              </w:rPr>
            </w:pPr>
            <w:r>
              <w:rPr>
                <w:kern w:val="2"/>
                <w:szCs w:val="21"/>
                <w:lang w:val="en-US" w:eastAsia="zh-CN"/>
              </w:rPr>
              <w:t>11</w:t>
            </w:r>
          </w:p>
        </w:tc>
        <w:tc>
          <w:tcPr>
            <w:tcW w:w="2515" w:type="dxa"/>
            <w:vAlign w:val="center"/>
          </w:tcPr>
          <w:p>
            <w:pPr>
              <w:pStyle w:val="25"/>
              <w:rPr>
                <w:kern w:val="2"/>
                <w:szCs w:val="21"/>
                <w:lang w:val="en-US" w:eastAsia="zh-CN"/>
              </w:rPr>
            </w:pPr>
            <w:r>
              <w:rPr>
                <w:kern w:val="2"/>
                <w:szCs w:val="21"/>
                <w:lang w:val="en-US" w:eastAsia="zh-CN"/>
              </w:rPr>
              <w:t>12</w:t>
            </w:r>
          </w:p>
        </w:tc>
        <w:tc>
          <w:tcPr>
            <w:tcW w:w="2718" w:type="dxa"/>
            <w:vAlign w:val="center"/>
          </w:tcPr>
          <w:p>
            <w:pPr>
              <w:pStyle w:val="25"/>
              <w:rPr>
                <w:kern w:val="2"/>
                <w:szCs w:val="21"/>
                <w:lang w:val="en-US" w:eastAsia="zh-CN"/>
              </w:rPr>
            </w:pPr>
            <w:r>
              <w:rPr>
                <w:kern w:val="2"/>
                <w:szCs w:val="21"/>
                <w:lang w:val="en-US" w:eastAsia="zh-CN"/>
              </w:rPr>
              <w:t>39.3</w:t>
            </w:r>
          </w:p>
        </w:tc>
        <w:tc>
          <w:tcPr>
            <w:tcW w:w="2668" w:type="dxa"/>
            <w:vAlign w:val="center"/>
          </w:tcPr>
          <w:p>
            <w:pPr>
              <w:pStyle w:val="25"/>
              <w:rPr>
                <w:kern w:val="2"/>
                <w:szCs w:val="21"/>
                <w:lang w:val="en-US" w:eastAsia="zh-CN"/>
              </w:rPr>
            </w:pPr>
            <w:r>
              <w:rPr>
                <w:kern w:val="2"/>
                <w:szCs w:val="21"/>
                <w:lang w:val="en-US" w:eastAsia="zh-CN"/>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81" w:type="dxa"/>
            <w:vAlign w:val="center"/>
          </w:tcPr>
          <w:p>
            <w:pPr>
              <w:pStyle w:val="25"/>
              <w:rPr>
                <w:kern w:val="2"/>
                <w:szCs w:val="21"/>
                <w:lang w:val="en-US" w:eastAsia="zh-CN"/>
              </w:rPr>
            </w:pPr>
            <w:r>
              <w:rPr>
                <w:kern w:val="2"/>
                <w:szCs w:val="21"/>
                <w:lang w:val="en-US" w:eastAsia="zh-CN"/>
              </w:rPr>
              <w:t>12</w:t>
            </w:r>
          </w:p>
        </w:tc>
        <w:tc>
          <w:tcPr>
            <w:tcW w:w="2515" w:type="dxa"/>
            <w:vAlign w:val="center"/>
          </w:tcPr>
          <w:p>
            <w:pPr>
              <w:pStyle w:val="25"/>
              <w:rPr>
                <w:kern w:val="2"/>
                <w:szCs w:val="21"/>
                <w:lang w:val="en-US" w:eastAsia="zh-CN"/>
              </w:rPr>
            </w:pPr>
            <w:r>
              <w:rPr>
                <w:kern w:val="2"/>
                <w:szCs w:val="21"/>
                <w:lang w:val="en-US" w:eastAsia="zh-CN"/>
              </w:rPr>
              <w:t>8.0</w:t>
            </w:r>
          </w:p>
        </w:tc>
        <w:tc>
          <w:tcPr>
            <w:tcW w:w="2718" w:type="dxa"/>
            <w:vAlign w:val="center"/>
          </w:tcPr>
          <w:p>
            <w:pPr>
              <w:pStyle w:val="25"/>
              <w:rPr>
                <w:kern w:val="2"/>
                <w:szCs w:val="21"/>
                <w:lang w:val="en-US" w:eastAsia="zh-CN"/>
              </w:rPr>
            </w:pPr>
            <w:r>
              <w:rPr>
                <w:kern w:val="2"/>
                <w:szCs w:val="21"/>
                <w:lang w:val="en-US" w:eastAsia="zh-CN"/>
              </w:rPr>
              <w:t>66.8</w:t>
            </w:r>
          </w:p>
        </w:tc>
        <w:tc>
          <w:tcPr>
            <w:tcW w:w="2668" w:type="dxa"/>
            <w:vAlign w:val="center"/>
          </w:tcPr>
          <w:p>
            <w:pPr>
              <w:pStyle w:val="25"/>
              <w:rPr>
                <w:kern w:val="2"/>
                <w:szCs w:val="21"/>
                <w:lang w:val="en-US" w:eastAsia="zh-CN"/>
              </w:rPr>
            </w:pPr>
            <w:r>
              <w:rPr>
                <w:kern w:val="2"/>
                <w:szCs w:val="21"/>
                <w:lang w:val="en-US" w:eastAsia="zh-CN"/>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81" w:type="dxa"/>
            <w:tcBorders>
              <w:bottom w:val="single" w:color="auto" w:sz="12" w:space="0"/>
            </w:tcBorders>
            <w:vAlign w:val="center"/>
          </w:tcPr>
          <w:p>
            <w:pPr>
              <w:pStyle w:val="25"/>
              <w:rPr>
                <w:kern w:val="2"/>
                <w:szCs w:val="21"/>
                <w:lang w:val="en-US" w:eastAsia="zh-CN"/>
              </w:rPr>
            </w:pPr>
            <w:r>
              <w:rPr>
                <w:rFonts w:hint="eastAsia"/>
                <w:kern w:val="2"/>
                <w:szCs w:val="21"/>
                <w:lang w:val="en-US" w:eastAsia="zh-CN"/>
              </w:rPr>
              <w:t>全年</w:t>
            </w:r>
          </w:p>
        </w:tc>
        <w:tc>
          <w:tcPr>
            <w:tcW w:w="2515" w:type="dxa"/>
            <w:tcBorders>
              <w:bottom w:val="single" w:color="auto" w:sz="12" w:space="0"/>
            </w:tcBorders>
            <w:vAlign w:val="center"/>
          </w:tcPr>
          <w:p>
            <w:pPr>
              <w:pStyle w:val="25"/>
              <w:rPr>
                <w:kern w:val="2"/>
                <w:szCs w:val="21"/>
                <w:lang w:val="en-US" w:eastAsia="zh-CN"/>
              </w:rPr>
            </w:pPr>
            <w:r>
              <w:rPr>
                <w:kern w:val="2"/>
                <w:szCs w:val="21"/>
                <w:lang w:val="en-US" w:eastAsia="zh-CN"/>
              </w:rPr>
              <w:t>18.4</w:t>
            </w:r>
          </w:p>
        </w:tc>
        <w:tc>
          <w:tcPr>
            <w:tcW w:w="2718" w:type="dxa"/>
            <w:tcBorders>
              <w:bottom w:val="single" w:color="auto" w:sz="12" w:space="0"/>
            </w:tcBorders>
            <w:vAlign w:val="center"/>
          </w:tcPr>
          <w:p>
            <w:pPr>
              <w:pStyle w:val="25"/>
              <w:rPr>
                <w:kern w:val="2"/>
                <w:szCs w:val="21"/>
                <w:lang w:val="en-US" w:eastAsia="zh-CN"/>
              </w:rPr>
            </w:pPr>
            <w:r>
              <w:rPr>
                <w:kern w:val="2"/>
                <w:szCs w:val="21"/>
                <w:lang w:val="en-US" w:eastAsia="zh-CN"/>
              </w:rPr>
              <w:t>1450.8</w:t>
            </w:r>
          </w:p>
        </w:tc>
        <w:tc>
          <w:tcPr>
            <w:tcW w:w="2668" w:type="dxa"/>
            <w:tcBorders>
              <w:bottom w:val="single" w:color="auto" w:sz="12" w:space="0"/>
            </w:tcBorders>
            <w:vAlign w:val="center"/>
          </w:tcPr>
          <w:p>
            <w:pPr>
              <w:pStyle w:val="25"/>
              <w:rPr>
                <w:kern w:val="2"/>
                <w:szCs w:val="21"/>
                <w:lang w:val="en-US" w:eastAsia="zh-CN"/>
              </w:rPr>
            </w:pPr>
            <w:r>
              <w:rPr>
                <w:kern w:val="2"/>
                <w:szCs w:val="21"/>
                <w:lang w:val="en-US" w:eastAsia="zh-CN"/>
              </w:rPr>
              <w:t>1.8</w:t>
            </w:r>
          </w:p>
        </w:tc>
      </w:tr>
    </w:tbl>
    <w:p>
      <w:pPr>
        <w:ind w:firstLine="480"/>
      </w:pPr>
      <w:r>
        <w:rPr>
          <w:rFonts w:hint="eastAsia"/>
        </w:rPr>
        <w:t>气温：年平均气温</w:t>
      </w:r>
      <w:r>
        <w:t>18.4</w:t>
      </w:r>
      <w:r>
        <w:rPr>
          <w:rFonts w:hint="eastAsia" w:ascii="宋体" w:hAnsi="宋体" w:cs="宋体"/>
        </w:rPr>
        <w:t>℃</w:t>
      </w:r>
      <w:r>
        <w:rPr>
          <w:rFonts w:hint="eastAsia"/>
        </w:rPr>
        <w:t>，最冷月为</w:t>
      </w:r>
      <w:r>
        <w:t>1</w:t>
      </w:r>
      <w:r>
        <w:rPr>
          <w:rFonts w:hint="eastAsia"/>
        </w:rPr>
        <w:t>月份，月平均气温</w:t>
      </w:r>
      <w:r>
        <w:t>4.9</w:t>
      </w:r>
      <w:r>
        <w:rPr>
          <w:rFonts w:hint="eastAsia" w:ascii="宋体" w:hAnsi="宋体" w:cs="宋体"/>
        </w:rPr>
        <w:t>℃</w:t>
      </w:r>
      <w:r>
        <w:rPr>
          <w:rFonts w:hint="eastAsia"/>
        </w:rPr>
        <w:t>，最热月为</w:t>
      </w:r>
      <w:r>
        <w:t>7</w:t>
      </w:r>
      <w:r>
        <w:rPr>
          <w:rFonts w:hint="eastAsia"/>
        </w:rPr>
        <w:t>月份，月平均气温</w:t>
      </w:r>
      <w:r>
        <w:t>30.0</w:t>
      </w:r>
      <w:r>
        <w:rPr>
          <w:rFonts w:hint="eastAsia" w:ascii="宋体" w:hAnsi="宋体" w:cs="宋体"/>
        </w:rPr>
        <w:t>℃</w:t>
      </w:r>
      <w:r>
        <w:rPr>
          <w:rFonts w:hint="eastAsia"/>
        </w:rPr>
        <w:t>；月平均气温曲线图见图</w:t>
      </w:r>
      <w:r>
        <w:t>6.2-3</w:t>
      </w:r>
      <w:r>
        <w:rPr>
          <w:rFonts w:hint="eastAsia"/>
        </w:rPr>
        <w:t>。</w:t>
      </w:r>
    </w:p>
    <w:p>
      <w:pPr>
        <w:ind w:firstLine="480"/>
      </w:pPr>
      <w:r>
        <w:rPr>
          <w:rFonts w:hint="eastAsia"/>
        </w:rPr>
        <w:t>降水量：年平均降水量</w:t>
      </w:r>
      <w:r>
        <w:t>1450.8mm</w:t>
      </w:r>
      <w:r>
        <w:rPr>
          <w:rFonts w:hint="eastAsia"/>
        </w:rPr>
        <w:t>，最大暴雨量</w:t>
      </w:r>
      <w:r>
        <w:t>30mm/h</w:t>
      </w:r>
      <w:r>
        <w:rPr>
          <w:rFonts w:hint="eastAsia"/>
        </w:rPr>
        <w:t>；降水分布不均匀，降水量主要集中在春、夏、秋三个季节，尤其以夏季降水量为最大，超过年总降水量的</w:t>
      </w:r>
      <w:r>
        <w:t>1/3</w:t>
      </w:r>
      <w:r>
        <w:rPr>
          <w:rFonts w:hint="eastAsia"/>
        </w:rPr>
        <w:t>；年均降雪日数为</w:t>
      </w:r>
      <w:r>
        <w:t>10.5d</w:t>
      </w:r>
      <w:r>
        <w:rPr>
          <w:rFonts w:hint="eastAsia"/>
        </w:rPr>
        <w:t>，积雪厚度最大为</w:t>
      </w:r>
      <w:r>
        <w:t>10cm</w:t>
      </w:r>
      <w:r>
        <w:rPr>
          <w:rFonts w:hint="eastAsia"/>
        </w:rPr>
        <w:t>；</w:t>
      </w:r>
    </w:p>
    <w:p>
      <w:pPr>
        <w:ind w:firstLine="480"/>
      </w:pPr>
      <w:r>
        <w:rPr>
          <w:rFonts w:hint="eastAsia"/>
        </w:rPr>
        <w:t>风向：全年盛行风向为北风，以北风和西北风为最多，各占累计年风向的</w:t>
      </w:r>
      <w:r>
        <w:t>12</w:t>
      </w:r>
      <w:r>
        <w:rPr>
          <w:rFonts w:hint="eastAsia"/>
        </w:rPr>
        <w:t>％；其次是偏南风（</w:t>
      </w:r>
      <w:r>
        <w:t>6</w:t>
      </w:r>
      <w:r>
        <w:rPr>
          <w:rFonts w:hint="eastAsia"/>
        </w:rPr>
        <w:t>、</w:t>
      </w:r>
      <w:r>
        <w:t>7</w:t>
      </w:r>
      <w:r>
        <w:rPr>
          <w:rFonts w:hint="eastAsia"/>
        </w:rPr>
        <w:t>月）。静风多出现在夜间，占累计年风向的</w:t>
      </w:r>
      <w:r>
        <w:t>15</w:t>
      </w:r>
      <w:r>
        <w:rPr>
          <w:rFonts w:hint="eastAsia"/>
        </w:rPr>
        <w:t>％；全年风频玫瑰图见图</w:t>
      </w:r>
      <w:r>
        <w:t>7.2-3</w:t>
      </w:r>
      <w:r>
        <w:rPr>
          <w:rFonts w:hint="eastAsia"/>
        </w:rPr>
        <w:t>。</w:t>
      </w:r>
    </w:p>
    <w:p>
      <w:pPr>
        <w:ind w:firstLine="480"/>
      </w:pPr>
      <w:r>
        <w:rPr>
          <w:rFonts w:hint="eastAsia"/>
        </w:rPr>
        <w:t>风速：年平均风速</w:t>
      </w:r>
      <w:r>
        <w:t>1.8m/s</w:t>
      </w:r>
      <w:r>
        <w:rPr>
          <w:rFonts w:hint="eastAsia"/>
        </w:rPr>
        <w:t>，常年主导风向为东南风；冬季主导风向为北北西风、北风；夏季主导风向为东南南风；月平均风速曲线图见图</w:t>
      </w:r>
      <w:r>
        <w:t>6.2-4</w:t>
      </w:r>
      <w:r>
        <w:rPr>
          <w:rFonts w:hint="eastAsia"/>
        </w:rPr>
        <w:t>。</w:t>
      </w:r>
    </w:p>
    <w:p>
      <w:pPr>
        <w:ind w:firstLine="480"/>
      </w:pPr>
      <w:r>
        <w:rPr>
          <w:rFonts w:hint="eastAsia"/>
        </w:rPr>
        <w:t>其它：年平均霜日数</w:t>
      </w:r>
      <w:r>
        <w:t>24.8</w:t>
      </w:r>
      <w:r>
        <w:rPr>
          <w:rFonts w:hint="eastAsia"/>
        </w:rPr>
        <w:t>天，年均湿度为</w:t>
      </w:r>
      <w:r>
        <w:t>81%</w:t>
      </w:r>
      <w:r>
        <w:rPr>
          <w:rFonts w:hint="eastAsia"/>
        </w:rPr>
        <w:t>，年均蒸发量为</w:t>
      </w:r>
      <w:r>
        <w:t>1727.9mm</w:t>
      </w:r>
      <w:r>
        <w:rPr>
          <w:rFonts w:hint="eastAsia"/>
        </w:rPr>
        <w:t>。</w:t>
      </w:r>
    </w:p>
    <w:p>
      <w:pPr>
        <w:ind w:firstLine="480"/>
      </w:pPr>
      <w:r>
        <w:pict>
          <v:shape id="Picture 16" o:spid="_x0000_s1026" o:spt="75" type="#_x0000_t75" style="position:absolute;left:0pt;margin-left:15.2pt;margin-top:-1.2pt;height:121.4pt;width:405.75pt;z-index:1024;mso-width-relative:page;mso-height-relative:page;" filled="f" o:preferrelative="t" stroked="f" coordsize="21600,21600">
            <v:path/>
            <v:fill on="f" focussize="0,0"/>
            <v:stroke on="f" joinstyle="miter"/>
            <v:imagedata r:id="rId39" croptop="3257f" cropbottom="4979f" o:title=""/>
            <o:lock v:ext="edit" aspectratio="t"/>
          </v:shape>
        </w:pict>
      </w:r>
    </w:p>
    <w:p>
      <w:pPr>
        <w:ind w:firstLine="422"/>
        <w:jc w:val="center"/>
        <w:rPr>
          <w:b/>
          <w:sz w:val="21"/>
          <w:szCs w:val="21"/>
        </w:rPr>
      </w:pPr>
      <w:r>
        <w:rPr>
          <w:rFonts w:hint="eastAsia"/>
          <w:b/>
          <w:sz w:val="21"/>
          <w:szCs w:val="21"/>
        </w:rPr>
        <w:t>图</w:t>
      </w:r>
      <w:r>
        <w:rPr>
          <w:b/>
          <w:sz w:val="21"/>
          <w:szCs w:val="21"/>
        </w:rPr>
        <w:t xml:space="preserve">6.2-1  </w:t>
      </w:r>
      <w:r>
        <w:rPr>
          <w:rFonts w:hint="eastAsia"/>
          <w:b/>
          <w:sz w:val="21"/>
          <w:szCs w:val="21"/>
        </w:rPr>
        <w:t>月平均气温变化曲线图</w:t>
      </w:r>
    </w:p>
    <w:p>
      <w:pPr>
        <w:ind w:firstLine="482"/>
        <w:jc w:val="center"/>
        <w:rPr>
          <w:b/>
        </w:rPr>
      </w:pPr>
      <w:r>
        <w:rPr>
          <w:rFonts w:hint="eastAsia"/>
          <w:b/>
        </w:rPr>
        <w:t>图</w:t>
      </w:r>
      <w:r>
        <w:rPr>
          <w:b/>
        </w:rPr>
        <w:t xml:space="preserve">7.2-1   </w:t>
      </w:r>
      <w:r>
        <w:rPr>
          <w:rFonts w:hint="eastAsia"/>
          <w:b/>
        </w:rPr>
        <w:t>月平均气温曲线图</w:t>
      </w:r>
    </w:p>
    <w:p>
      <w:pPr>
        <w:ind w:firstLine="422"/>
        <w:jc w:val="center"/>
        <w:rPr>
          <w:b/>
          <w:sz w:val="21"/>
          <w:szCs w:val="21"/>
        </w:rPr>
      </w:pPr>
    </w:p>
    <w:p>
      <w:pPr>
        <w:ind w:left="0" w:leftChars="0" w:firstLine="0" w:firstLineChars="0"/>
        <w:jc w:val="both"/>
        <w:rPr>
          <w:b/>
          <w:sz w:val="21"/>
          <w:szCs w:val="21"/>
        </w:rPr>
      </w:pPr>
    </w:p>
    <w:p>
      <w:pPr>
        <w:pStyle w:val="26"/>
        <w:rPr>
          <w:b/>
          <w:sz w:val="21"/>
          <w:szCs w:val="21"/>
        </w:rPr>
      </w:pPr>
      <w:r>
        <w:rPr>
          <w:rFonts w:hint="eastAsia"/>
          <w:b/>
          <w:bCs/>
        </w:rPr>
        <w:t>图</w:t>
      </w:r>
      <w:r>
        <w:rPr>
          <w:b/>
          <w:bCs/>
        </w:rPr>
        <w:t xml:space="preserve">6.2-3  </w:t>
      </w:r>
      <w:r>
        <w:rPr>
          <w:rFonts w:hint="eastAsia"/>
          <w:b/>
          <w:bCs/>
        </w:rPr>
        <w:t>月平均气温变化曲线图</w:t>
      </w:r>
    </w:p>
    <w:p>
      <w:pPr>
        <w:ind w:firstLine="480"/>
      </w:pPr>
      <w:r>
        <w:pict>
          <v:shape id="Picture 17" o:spid="_x0000_s1027" o:spt="75" type="#_x0000_t75" style="position:absolute;left:0pt;margin-left:14.25pt;margin-top:4.5pt;height:137pt;width:402pt;z-index:1024;mso-width-relative:page;mso-height-relative:page;" filled="f" o:preferrelative="t" stroked="f" coordsize="21600,21600">
            <v:path/>
            <v:fill on="f" focussize="0,0"/>
            <v:stroke on="f" joinstyle="miter"/>
            <v:imagedata r:id="rId40" croptop="3436f" cropbottom="3987f" o:title=""/>
            <o:lock v:ext="edit" aspectratio="t"/>
          </v:shape>
        </w:pict>
      </w:r>
    </w:p>
    <w:p>
      <w:pPr>
        <w:ind w:firstLine="480"/>
      </w:pPr>
    </w:p>
    <w:p>
      <w:pPr>
        <w:ind w:firstLine="480"/>
      </w:pPr>
    </w:p>
    <w:p>
      <w:pPr>
        <w:ind w:firstLine="480"/>
      </w:pPr>
    </w:p>
    <w:p>
      <w:pPr>
        <w:ind w:firstLine="480"/>
      </w:pPr>
    </w:p>
    <w:p>
      <w:pPr>
        <w:pStyle w:val="26"/>
        <w:rPr>
          <w:b/>
          <w:bCs/>
        </w:rPr>
      </w:pPr>
    </w:p>
    <w:p>
      <w:pPr>
        <w:pStyle w:val="26"/>
        <w:rPr>
          <w:b/>
          <w:bCs/>
        </w:rPr>
      </w:pPr>
      <w:r>
        <w:rPr>
          <w:rFonts w:hint="eastAsia"/>
          <w:b/>
          <w:bCs/>
        </w:rPr>
        <w:t>图</w:t>
      </w:r>
      <w:r>
        <w:rPr>
          <w:b/>
          <w:bCs/>
        </w:rPr>
        <w:t xml:space="preserve">6.2-4  </w:t>
      </w:r>
      <w:r>
        <w:rPr>
          <w:rFonts w:hint="eastAsia"/>
          <w:b/>
          <w:bCs/>
        </w:rPr>
        <w:t>月平均风速变化曲线图</w:t>
      </w:r>
    </w:p>
    <w:p>
      <w:pPr>
        <w:tabs>
          <w:tab w:val="left" w:pos="1860"/>
        </w:tabs>
        <w:ind w:firstLine="0" w:firstLineChars="0"/>
        <w:rPr>
          <w:kern w:val="0"/>
        </w:rPr>
      </w:pPr>
    </w:p>
    <w:p>
      <w:pPr>
        <w:tabs>
          <w:tab w:val="left" w:pos="1860"/>
        </w:tabs>
        <w:ind w:firstLine="0" w:firstLineChars="0"/>
        <w:rPr>
          <w:kern w:val="0"/>
        </w:rPr>
      </w:pPr>
      <w:r>
        <w:pict>
          <v:shape id="Picture 18" o:spid="_x0000_s1028" o:spt="75" type="#_x0000_t75" style="position:absolute;left:0pt;margin-left:45.3pt;margin-top:15.65pt;height:310.4pt;width:341.25pt;z-index:1024;mso-width-relative:page;mso-height-relative:page;" filled="f" o:preferrelative="t" stroked="f" coordsize="21600,21600">
            <v:path/>
            <v:fill on="f" focussize="0,0"/>
            <v:stroke on="f" joinstyle="miter"/>
            <v:imagedata r:id="rId41" cropbottom="652f" o:title="HID]14O8QO40Y)1}T2V1UIW"/>
            <o:lock v:ext="edit" aspectratio="t"/>
          </v:shape>
        </w:pict>
      </w:r>
    </w:p>
    <w:p>
      <w:pPr>
        <w:ind w:firstLine="480"/>
      </w:pPr>
    </w:p>
    <w:p>
      <w:pPr>
        <w:widowControl/>
        <w:spacing w:line="240" w:lineRule="auto"/>
        <w:ind w:firstLine="480"/>
        <w:jc w:val="left"/>
        <w:rPr>
          <w:kern w:val="0"/>
        </w:rPr>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jc w:val="center"/>
      </w:pPr>
    </w:p>
    <w:p>
      <w:pPr>
        <w:ind w:firstLine="480"/>
        <w:jc w:val="center"/>
      </w:pPr>
    </w:p>
    <w:p>
      <w:pPr>
        <w:ind w:firstLine="480"/>
        <w:jc w:val="center"/>
      </w:pPr>
    </w:p>
    <w:p>
      <w:pPr>
        <w:ind w:firstLine="480"/>
        <w:jc w:val="center"/>
      </w:pPr>
    </w:p>
    <w:p>
      <w:pPr>
        <w:ind w:firstLine="480"/>
        <w:jc w:val="center"/>
      </w:pPr>
    </w:p>
    <w:p>
      <w:pPr>
        <w:ind w:firstLine="480"/>
        <w:jc w:val="center"/>
      </w:pPr>
      <w:r>
        <w:pict>
          <v:shape id="Picture 19" o:spid="_x0000_s1029" o:spt="75" type="#_x0000_t75" style="position:absolute;left:0pt;margin-left:118.45pt;margin-top:20pt;height:174.35pt;width:207pt;z-index:1024;mso-width-relative:page;mso-height-relative:page;" filled="f" o:preferrelative="t" stroked="f" coordsize="21600,21600">
            <v:path/>
            <v:fill on="f" focussize="0,0"/>
            <v:stroke on="f" joinstyle="miter"/>
            <v:imagedata r:id="rId42" cropleft="5533f" croptop="4289f" cropright="3565f" o:title="WPUTGF[L@X@CEKG@NEJ8(K9"/>
            <o:lock v:ext="edit" aspectratio="t"/>
          </v:shape>
        </w:pict>
      </w:r>
    </w:p>
    <w:p>
      <w:pPr>
        <w:ind w:firstLine="480"/>
        <w:jc w:val="center"/>
      </w:pPr>
    </w:p>
    <w:p>
      <w:pPr>
        <w:ind w:firstLine="480"/>
        <w:jc w:val="center"/>
      </w:pPr>
    </w:p>
    <w:p>
      <w:pPr>
        <w:ind w:firstLine="480"/>
        <w:jc w:val="center"/>
      </w:pPr>
    </w:p>
    <w:p>
      <w:pPr>
        <w:ind w:firstLine="480"/>
        <w:jc w:val="center"/>
      </w:pPr>
    </w:p>
    <w:p>
      <w:pPr>
        <w:ind w:firstLine="482"/>
        <w:jc w:val="center"/>
        <w:rPr>
          <w:b/>
        </w:rPr>
      </w:pPr>
    </w:p>
    <w:p>
      <w:pPr>
        <w:ind w:firstLine="482"/>
        <w:jc w:val="center"/>
        <w:rPr>
          <w:b/>
        </w:rPr>
      </w:pPr>
    </w:p>
    <w:p>
      <w:pPr>
        <w:ind w:firstLine="482"/>
        <w:jc w:val="center"/>
        <w:rPr>
          <w:b/>
        </w:rPr>
      </w:pPr>
    </w:p>
    <w:p>
      <w:pPr>
        <w:pStyle w:val="25"/>
        <w:rPr>
          <w:b/>
          <w:bCs/>
        </w:rPr>
      </w:pPr>
    </w:p>
    <w:p>
      <w:pPr>
        <w:pStyle w:val="25"/>
      </w:pPr>
      <w:r>
        <w:rPr>
          <w:rFonts w:hint="eastAsia"/>
          <w:b/>
          <w:bCs/>
        </w:rPr>
        <w:t>图</w:t>
      </w:r>
      <w:r>
        <w:rPr>
          <w:b/>
          <w:bCs/>
        </w:rPr>
        <w:t xml:space="preserve">6.2-5 </w:t>
      </w:r>
      <w:r>
        <w:rPr>
          <w:rFonts w:hint="eastAsia"/>
          <w:b/>
          <w:bCs/>
        </w:rPr>
        <w:t>汨罗市全年风玫瑰图</w:t>
      </w:r>
      <w:bookmarkEnd w:id="36"/>
    </w:p>
    <w:p>
      <w:pPr>
        <w:ind w:firstLine="480"/>
      </w:pPr>
    </w:p>
    <w:p>
      <w:pPr>
        <w:ind w:firstLine="480"/>
      </w:pPr>
      <w:r>
        <w:rPr>
          <w:rFonts w:hint="eastAsia"/>
        </w:rPr>
        <w:t>（二）预测与评价结果</w:t>
      </w:r>
    </w:p>
    <w:p>
      <w:pPr>
        <w:ind w:firstLine="480"/>
      </w:pPr>
      <w:r>
        <w:rPr>
          <w:rFonts w:hint="eastAsia"/>
        </w:rPr>
        <w:t>⑴预测参数</w:t>
      </w:r>
    </w:p>
    <w:p>
      <w:pPr>
        <w:ind w:firstLine="480"/>
      </w:pPr>
      <w:r>
        <w:rPr>
          <w:rFonts w:hint="eastAsia"/>
        </w:rPr>
        <w:t>本次预测评价采用估算模式预测技改后定型废气排放的颗粒物、TVOC，醋酸最大落地浓度，参数选取见表</w:t>
      </w:r>
      <w:r>
        <w:t>6.2-7</w:t>
      </w:r>
      <w:r>
        <w:rPr>
          <w:rFonts w:hint="eastAsia"/>
        </w:rPr>
        <w:t>。</w:t>
      </w:r>
    </w:p>
    <w:p>
      <w:pPr>
        <w:pStyle w:val="25"/>
        <w:rPr>
          <w:b/>
          <w:bCs/>
        </w:rPr>
      </w:pPr>
      <w:r>
        <w:rPr>
          <w:rFonts w:hint="eastAsia"/>
          <w:b/>
          <w:bCs/>
        </w:rPr>
        <w:t>表</w:t>
      </w:r>
      <w:r>
        <w:rPr>
          <w:b/>
          <w:bCs/>
        </w:rPr>
        <w:t xml:space="preserve">6.2-7   </w:t>
      </w:r>
      <w:r>
        <w:rPr>
          <w:rFonts w:hint="eastAsia"/>
          <w:b/>
          <w:bCs/>
        </w:rPr>
        <w:t>点源参数调查清单</w:t>
      </w:r>
    </w:p>
    <w:tbl>
      <w:tblPr>
        <w:tblStyle w:val="23"/>
        <w:tblW w:w="9718" w:type="dxa"/>
        <w:jc w:val="center"/>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704"/>
        <w:gridCol w:w="885"/>
        <w:gridCol w:w="851"/>
        <w:gridCol w:w="850"/>
        <w:gridCol w:w="851"/>
        <w:gridCol w:w="850"/>
        <w:gridCol w:w="851"/>
        <w:gridCol w:w="850"/>
        <w:gridCol w:w="988"/>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719" w:type="dxa"/>
            <w:vAlign w:val="center"/>
          </w:tcPr>
          <w:p>
            <w:pPr>
              <w:pStyle w:val="25"/>
              <w:rPr>
                <w:kern w:val="2"/>
                <w:szCs w:val="21"/>
                <w:lang w:val="en-US" w:eastAsia="zh-CN"/>
              </w:rPr>
            </w:pPr>
          </w:p>
        </w:tc>
        <w:tc>
          <w:tcPr>
            <w:tcW w:w="704" w:type="dxa"/>
            <w:vAlign w:val="center"/>
          </w:tcPr>
          <w:p>
            <w:pPr>
              <w:pStyle w:val="25"/>
              <w:rPr>
                <w:kern w:val="2"/>
                <w:szCs w:val="21"/>
                <w:lang w:val="en-US" w:eastAsia="zh-CN"/>
              </w:rPr>
            </w:pPr>
            <w:r>
              <w:rPr>
                <w:rFonts w:hint="eastAsia"/>
                <w:kern w:val="2"/>
                <w:szCs w:val="21"/>
                <w:lang w:val="en-US" w:eastAsia="zh-CN"/>
              </w:rPr>
              <w:t>点源</w:t>
            </w:r>
          </w:p>
          <w:p>
            <w:pPr>
              <w:pStyle w:val="25"/>
              <w:rPr>
                <w:kern w:val="2"/>
                <w:szCs w:val="21"/>
                <w:lang w:val="en-US" w:eastAsia="zh-CN"/>
              </w:rPr>
            </w:pPr>
            <w:r>
              <w:rPr>
                <w:rFonts w:hint="eastAsia"/>
                <w:kern w:val="2"/>
                <w:szCs w:val="21"/>
                <w:lang w:val="en-US" w:eastAsia="zh-CN"/>
              </w:rPr>
              <w:t>编号</w:t>
            </w:r>
          </w:p>
        </w:tc>
        <w:tc>
          <w:tcPr>
            <w:tcW w:w="885" w:type="dxa"/>
            <w:vAlign w:val="center"/>
          </w:tcPr>
          <w:p>
            <w:pPr>
              <w:pStyle w:val="25"/>
              <w:rPr>
                <w:kern w:val="2"/>
                <w:szCs w:val="21"/>
                <w:lang w:val="en-US" w:eastAsia="zh-CN"/>
              </w:rPr>
            </w:pPr>
            <w:r>
              <w:rPr>
                <w:rFonts w:hint="eastAsia"/>
                <w:kern w:val="2"/>
                <w:szCs w:val="21"/>
                <w:lang w:val="en-US" w:eastAsia="zh-CN"/>
              </w:rPr>
              <w:t>点源</w:t>
            </w:r>
          </w:p>
          <w:p>
            <w:pPr>
              <w:pStyle w:val="25"/>
              <w:rPr>
                <w:kern w:val="2"/>
                <w:szCs w:val="21"/>
                <w:lang w:val="en-US" w:eastAsia="zh-CN"/>
              </w:rPr>
            </w:pPr>
            <w:r>
              <w:rPr>
                <w:rFonts w:hint="eastAsia"/>
                <w:kern w:val="2"/>
                <w:szCs w:val="21"/>
                <w:lang w:val="en-US" w:eastAsia="zh-CN"/>
              </w:rPr>
              <w:t>名称</w:t>
            </w:r>
          </w:p>
        </w:tc>
        <w:tc>
          <w:tcPr>
            <w:tcW w:w="851" w:type="dxa"/>
            <w:vAlign w:val="center"/>
          </w:tcPr>
          <w:p>
            <w:pPr>
              <w:pStyle w:val="25"/>
              <w:rPr>
                <w:kern w:val="2"/>
                <w:szCs w:val="21"/>
                <w:lang w:val="en-US" w:eastAsia="zh-CN"/>
              </w:rPr>
            </w:pPr>
            <w:r>
              <w:rPr>
                <w:rFonts w:hint="eastAsia"/>
                <w:kern w:val="2"/>
                <w:szCs w:val="21"/>
                <w:lang w:val="en-US" w:eastAsia="zh-CN"/>
              </w:rPr>
              <w:t>排气筒高度</w:t>
            </w:r>
          </w:p>
        </w:tc>
        <w:tc>
          <w:tcPr>
            <w:tcW w:w="850" w:type="dxa"/>
            <w:vAlign w:val="center"/>
          </w:tcPr>
          <w:p>
            <w:pPr>
              <w:pStyle w:val="25"/>
              <w:rPr>
                <w:kern w:val="2"/>
                <w:szCs w:val="21"/>
                <w:lang w:val="en-US" w:eastAsia="zh-CN"/>
              </w:rPr>
            </w:pPr>
            <w:r>
              <w:rPr>
                <w:rFonts w:hint="eastAsia"/>
                <w:kern w:val="2"/>
                <w:szCs w:val="21"/>
                <w:lang w:val="en-US" w:eastAsia="zh-CN"/>
              </w:rPr>
              <w:t>排气筒内径</w:t>
            </w:r>
          </w:p>
        </w:tc>
        <w:tc>
          <w:tcPr>
            <w:tcW w:w="851" w:type="dxa"/>
            <w:vAlign w:val="center"/>
          </w:tcPr>
          <w:p>
            <w:pPr>
              <w:pStyle w:val="25"/>
              <w:rPr>
                <w:kern w:val="2"/>
                <w:szCs w:val="21"/>
                <w:lang w:val="en-US" w:eastAsia="zh-CN"/>
              </w:rPr>
            </w:pPr>
            <w:r>
              <w:rPr>
                <w:rFonts w:hint="eastAsia"/>
                <w:kern w:val="2"/>
                <w:szCs w:val="21"/>
                <w:lang w:val="en-US" w:eastAsia="zh-CN"/>
              </w:rPr>
              <w:t>烟气出口速度</w:t>
            </w:r>
          </w:p>
        </w:tc>
        <w:tc>
          <w:tcPr>
            <w:tcW w:w="850" w:type="dxa"/>
            <w:vAlign w:val="center"/>
          </w:tcPr>
          <w:p>
            <w:pPr>
              <w:pStyle w:val="25"/>
              <w:rPr>
                <w:kern w:val="2"/>
                <w:szCs w:val="21"/>
                <w:lang w:val="en-US" w:eastAsia="zh-CN"/>
              </w:rPr>
            </w:pPr>
            <w:r>
              <w:rPr>
                <w:rFonts w:hint="eastAsia"/>
                <w:kern w:val="2"/>
                <w:szCs w:val="21"/>
                <w:lang w:val="en-US" w:eastAsia="zh-CN"/>
              </w:rPr>
              <w:t>烟气出口温度</w:t>
            </w:r>
          </w:p>
        </w:tc>
        <w:tc>
          <w:tcPr>
            <w:tcW w:w="851" w:type="dxa"/>
            <w:vAlign w:val="center"/>
          </w:tcPr>
          <w:p>
            <w:pPr>
              <w:pStyle w:val="25"/>
              <w:rPr>
                <w:kern w:val="2"/>
                <w:szCs w:val="21"/>
                <w:lang w:val="en-US" w:eastAsia="zh-CN"/>
              </w:rPr>
            </w:pPr>
            <w:r>
              <w:rPr>
                <w:rFonts w:hint="eastAsia"/>
                <w:kern w:val="2"/>
                <w:szCs w:val="21"/>
                <w:lang w:val="en-US" w:eastAsia="zh-CN"/>
              </w:rPr>
              <w:t>年排放小时数</w:t>
            </w:r>
          </w:p>
        </w:tc>
        <w:tc>
          <w:tcPr>
            <w:tcW w:w="850" w:type="dxa"/>
            <w:vAlign w:val="center"/>
          </w:tcPr>
          <w:p>
            <w:pPr>
              <w:pStyle w:val="25"/>
              <w:rPr>
                <w:kern w:val="2"/>
                <w:szCs w:val="21"/>
                <w:lang w:val="en-US" w:eastAsia="zh-CN"/>
              </w:rPr>
            </w:pPr>
            <w:r>
              <w:rPr>
                <w:rFonts w:hint="eastAsia"/>
                <w:kern w:val="2"/>
                <w:szCs w:val="21"/>
                <w:lang w:val="en-US" w:eastAsia="zh-CN"/>
              </w:rPr>
              <w:t>排放</w:t>
            </w:r>
          </w:p>
          <w:p>
            <w:pPr>
              <w:pStyle w:val="25"/>
              <w:rPr>
                <w:kern w:val="2"/>
                <w:szCs w:val="21"/>
                <w:lang w:val="en-US" w:eastAsia="zh-CN"/>
              </w:rPr>
            </w:pPr>
            <w:r>
              <w:rPr>
                <w:rFonts w:hint="eastAsia"/>
                <w:kern w:val="2"/>
                <w:szCs w:val="21"/>
                <w:lang w:val="en-US" w:eastAsia="zh-CN"/>
              </w:rPr>
              <w:t>工况</w:t>
            </w:r>
          </w:p>
        </w:tc>
        <w:tc>
          <w:tcPr>
            <w:tcW w:w="2307" w:type="dxa"/>
            <w:gridSpan w:val="2"/>
            <w:vAlign w:val="center"/>
          </w:tcPr>
          <w:p>
            <w:pPr>
              <w:pStyle w:val="25"/>
              <w:rPr>
                <w:kern w:val="2"/>
                <w:szCs w:val="21"/>
                <w:lang w:val="en-US" w:eastAsia="zh-CN"/>
              </w:rPr>
            </w:pPr>
            <w:r>
              <w:rPr>
                <w:rFonts w:hint="eastAsia"/>
                <w:kern w:val="2"/>
                <w:szCs w:val="21"/>
                <w:lang w:val="en-US" w:eastAsia="zh-CN"/>
              </w:rPr>
              <w:t>评价因子源强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719" w:type="dxa"/>
            <w:vAlign w:val="center"/>
          </w:tcPr>
          <w:p>
            <w:pPr>
              <w:pStyle w:val="25"/>
              <w:rPr>
                <w:kern w:val="2"/>
                <w:szCs w:val="21"/>
                <w:lang w:val="en-US" w:eastAsia="zh-CN"/>
              </w:rPr>
            </w:pPr>
            <w:r>
              <w:rPr>
                <w:rFonts w:hint="eastAsia"/>
                <w:kern w:val="2"/>
                <w:szCs w:val="21"/>
                <w:lang w:val="en-US" w:eastAsia="zh-CN"/>
              </w:rPr>
              <w:t>符号</w:t>
            </w:r>
          </w:p>
        </w:tc>
        <w:tc>
          <w:tcPr>
            <w:tcW w:w="704" w:type="dxa"/>
            <w:vAlign w:val="center"/>
          </w:tcPr>
          <w:p>
            <w:pPr>
              <w:pStyle w:val="25"/>
              <w:rPr>
                <w:kern w:val="2"/>
                <w:szCs w:val="21"/>
                <w:lang w:val="en-US" w:eastAsia="zh-CN"/>
              </w:rPr>
            </w:pPr>
          </w:p>
        </w:tc>
        <w:tc>
          <w:tcPr>
            <w:tcW w:w="885" w:type="dxa"/>
            <w:vAlign w:val="center"/>
          </w:tcPr>
          <w:p>
            <w:pPr>
              <w:pStyle w:val="25"/>
              <w:rPr>
                <w:kern w:val="2"/>
                <w:szCs w:val="21"/>
                <w:lang w:val="en-US" w:eastAsia="zh-CN"/>
              </w:rPr>
            </w:pPr>
          </w:p>
        </w:tc>
        <w:tc>
          <w:tcPr>
            <w:tcW w:w="851" w:type="dxa"/>
            <w:vAlign w:val="center"/>
          </w:tcPr>
          <w:p>
            <w:pPr>
              <w:pStyle w:val="25"/>
              <w:rPr>
                <w:kern w:val="2"/>
                <w:szCs w:val="21"/>
                <w:lang w:val="en-US" w:eastAsia="zh-CN"/>
              </w:rPr>
            </w:pPr>
            <w:r>
              <w:rPr>
                <w:kern w:val="2"/>
                <w:szCs w:val="21"/>
                <w:lang w:val="en-US" w:eastAsia="zh-CN"/>
              </w:rPr>
              <w:t>H</w:t>
            </w:r>
          </w:p>
        </w:tc>
        <w:tc>
          <w:tcPr>
            <w:tcW w:w="850" w:type="dxa"/>
            <w:vAlign w:val="center"/>
          </w:tcPr>
          <w:p>
            <w:pPr>
              <w:pStyle w:val="25"/>
              <w:rPr>
                <w:kern w:val="2"/>
                <w:szCs w:val="21"/>
                <w:lang w:val="en-US" w:eastAsia="zh-CN"/>
              </w:rPr>
            </w:pPr>
            <w:r>
              <w:rPr>
                <w:kern w:val="2"/>
                <w:szCs w:val="21"/>
                <w:lang w:val="en-US" w:eastAsia="zh-CN"/>
              </w:rPr>
              <w:t>D</w:t>
            </w:r>
          </w:p>
        </w:tc>
        <w:tc>
          <w:tcPr>
            <w:tcW w:w="851" w:type="dxa"/>
            <w:vAlign w:val="center"/>
          </w:tcPr>
          <w:p>
            <w:pPr>
              <w:pStyle w:val="25"/>
              <w:rPr>
                <w:kern w:val="2"/>
                <w:szCs w:val="21"/>
                <w:lang w:val="en-US" w:eastAsia="zh-CN"/>
              </w:rPr>
            </w:pPr>
            <w:r>
              <w:rPr>
                <w:kern w:val="2"/>
                <w:szCs w:val="21"/>
                <w:lang w:val="en-US" w:eastAsia="zh-CN"/>
              </w:rPr>
              <w:t>V</w:t>
            </w:r>
          </w:p>
        </w:tc>
        <w:tc>
          <w:tcPr>
            <w:tcW w:w="850" w:type="dxa"/>
            <w:vAlign w:val="center"/>
          </w:tcPr>
          <w:p>
            <w:pPr>
              <w:pStyle w:val="25"/>
              <w:rPr>
                <w:kern w:val="2"/>
                <w:szCs w:val="21"/>
                <w:lang w:val="en-US" w:eastAsia="zh-CN"/>
              </w:rPr>
            </w:pPr>
            <w:r>
              <w:rPr>
                <w:kern w:val="2"/>
                <w:szCs w:val="21"/>
                <w:lang w:val="en-US" w:eastAsia="zh-CN"/>
              </w:rPr>
              <w:t>T</w:t>
            </w:r>
          </w:p>
        </w:tc>
        <w:tc>
          <w:tcPr>
            <w:tcW w:w="851" w:type="dxa"/>
            <w:vAlign w:val="center"/>
          </w:tcPr>
          <w:p>
            <w:pPr>
              <w:pStyle w:val="25"/>
              <w:rPr>
                <w:kern w:val="2"/>
                <w:szCs w:val="21"/>
                <w:lang w:val="en-US" w:eastAsia="zh-CN"/>
              </w:rPr>
            </w:pPr>
            <w:r>
              <w:rPr>
                <w:kern w:val="2"/>
                <w:szCs w:val="21"/>
                <w:lang w:val="en-US" w:eastAsia="zh-CN"/>
              </w:rPr>
              <w:t>Hr</w:t>
            </w:r>
          </w:p>
        </w:tc>
        <w:tc>
          <w:tcPr>
            <w:tcW w:w="850" w:type="dxa"/>
            <w:vMerge w:val="restart"/>
            <w:vAlign w:val="center"/>
          </w:tcPr>
          <w:p>
            <w:pPr>
              <w:pStyle w:val="25"/>
              <w:rPr>
                <w:kern w:val="2"/>
                <w:szCs w:val="21"/>
                <w:lang w:val="en-US" w:eastAsia="zh-CN"/>
              </w:rPr>
            </w:pPr>
          </w:p>
        </w:tc>
        <w:tc>
          <w:tcPr>
            <w:tcW w:w="988" w:type="dxa"/>
            <w:vAlign w:val="center"/>
          </w:tcPr>
          <w:p>
            <w:pPr>
              <w:pStyle w:val="25"/>
              <w:rPr>
                <w:kern w:val="2"/>
                <w:szCs w:val="21"/>
                <w:lang w:val="en-US" w:eastAsia="zh-CN"/>
              </w:rPr>
            </w:pPr>
            <w:r>
              <w:rPr>
                <w:rFonts w:hint="eastAsia"/>
                <w:kern w:val="2"/>
                <w:szCs w:val="21"/>
                <w:lang w:val="en-US" w:eastAsia="zh-CN"/>
              </w:rPr>
              <w:t>颗粒物</w:t>
            </w:r>
          </w:p>
        </w:tc>
        <w:tc>
          <w:tcPr>
            <w:tcW w:w="1319" w:type="dxa"/>
            <w:vAlign w:val="center"/>
          </w:tcPr>
          <w:p>
            <w:pPr>
              <w:pStyle w:val="25"/>
              <w:rPr>
                <w:kern w:val="2"/>
                <w:szCs w:val="21"/>
                <w:lang w:val="en-US" w:eastAsia="zh-CN"/>
              </w:rPr>
            </w:pPr>
            <w:r>
              <w:rPr>
                <w:rFonts w:hint="eastAsia"/>
                <w:kern w:val="2"/>
                <w:szCs w:val="21"/>
                <w:lang w:val="en-US" w:eastAsia="zh-CN"/>
              </w:rPr>
              <w:t>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719" w:type="dxa"/>
          </w:tcPr>
          <w:p>
            <w:pPr>
              <w:pStyle w:val="25"/>
              <w:rPr>
                <w:kern w:val="2"/>
                <w:szCs w:val="21"/>
                <w:lang w:val="en-US" w:eastAsia="zh-CN"/>
              </w:rPr>
            </w:pPr>
            <w:r>
              <w:rPr>
                <w:rFonts w:hint="eastAsia"/>
                <w:kern w:val="2"/>
                <w:szCs w:val="21"/>
                <w:lang w:val="en-US" w:eastAsia="zh-CN"/>
              </w:rPr>
              <w:t>单位</w:t>
            </w:r>
          </w:p>
        </w:tc>
        <w:tc>
          <w:tcPr>
            <w:tcW w:w="704" w:type="dxa"/>
          </w:tcPr>
          <w:p>
            <w:pPr>
              <w:pStyle w:val="25"/>
              <w:rPr>
                <w:kern w:val="2"/>
                <w:szCs w:val="21"/>
                <w:lang w:val="en-US" w:eastAsia="zh-CN"/>
              </w:rPr>
            </w:pPr>
          </w:p>
        </w:tc>
        <w:tc>
          <w:tcPr>
            <w:tcW w:w="885" w:type="dxa"/>
          </w:tcPr>
          <w:p>
            <w:pPr>
              <w:pStyle w:val="25"/>
              <w:rPr>
                <w:kern w:val="2"/>
                <w:szCs w:val="21"/>
                <w:lang w:val="en-US" w:eastAsia="zh-CN"/>
              </w:rPr>
            </w:pPr>
          </w:p>
        </w:tc>
        <w:tc>
          <w:tcPr>
            <w:tcW w:w="851" w:type="dxa"/>
          </w:tcPr>
          <w:p>
            <w:pPr>
              <w:pStyle w:val="25"/>
              <w:rPr>
                <w:kern w:val="2"/>
                <w:szCs w:val="21"/>
                <w:lang w:val="en-US" w:eastAsia="zh-CN"/>
              </w:rPr>
            </w:pPr>
            <w:r>
              <w:rPr>
                <w:kern w:val="2"/>
                <w:szCs w:val="21"/>
                <w:lang w:val="en-US" w:eastAsia="zh-CN"/>
              </w:rPr>
              <w:t>m</w:t>
            </w:r>
          </w:p>
        </w:tc>
        <w:tc>
          <w:tcPr>
            <w:tcW w:w="850" w:type="dxa"/>
          </w:tcPr>
          <w:p>
            <w:pPr>
              <w:pStyle w:val="25"/>
              <w:rPr>
                <w:kern w:val="2"/>
                <w:szCs w:val="21"/>
                <w:lang w:val="en-US" w:eastAsia="zh-CN"/>
              </w:rPr>
            </w:pPr>
            <w:r>
              <w:rPr>
                <w:kern w:val="2"/>
                <w:szCs w:val="21"/>
                <w:lang w:val="en-US" w:eastAsia="zh-CN"/>
              </w:rPr>
              <w:t>m</w:t>
            </w:r>
          </w:p>
        </w:tc>
        <w:tc>
          <w:tcPr>
            <w:tcW w:w="851" w:type="dxa"/>
          </w:tcPr>
          <w:p>
            <w:pPr>
              <w:pStyle w:val="25"/>
              <w:rPr>
                <w:kern w:val="2"/>
                <w:szCs w:val="21"/>
                <w:lang w:val="en-US" w:eastAsia="zh-CN"/>
              </w:rPr>
            </w:pPr>
            <w:r>
              <w:rPr>
                <w:kern w:val="2"/>
                <w:szCs w:val="21"/>
                <w:lang w:val="en-US" w:eastAsia="zh-CN"/>
              </w:rPr>
              <w:t>m/s</w:t>
            </w:r>
          </w:p>
        </w:tc>
        <w:tc>
          <w:tcPr>
            <w:tcW w:w="850" w:type="dxa"/>
          </w:tcPr>
          <w:p>
            <w:pPr>
              <w:pStyle w:val="25"/>
              <w:rPr>
                <w:kern w:val="2"/>
                <w:szCs w:val="21"/>
                <w:lang w:val="en-US" w:eastAsia="zh-CN"/>
              </w:rPr>
            </w:pPr>
            <w:r>
              <w:rPr>
                <w:kern w:val="2"/>
                <w:szCs w:val="21"/>
                <w:lang w:val="en-US" w:eastAsia="zh-CN"/>
              </w:rPr>
              <w:t>K</w:t>
            </w:r>
          </w:p>
        </w:tc>
        <w:tc>
          <w:tcPr>
            <w:tcW w:w="851" w:type="dxa"/>
          </w:tcPr>
          <w:p>
            <w:pPr>
              <w:pStyle w:val="25"/>
              <w:rPr>
                <w:kern w:val="2"/>
                <w:szCs w:val="21"/>
                <w:lang w:val="en-US" w:eastAsia="zh-CN"/>
              </w:rPr>
            </w:pPr>
            <w:r>
              <w:rPr>
                <w:kern w:val="2"/>
                <w:szCs w:val="21"/>
                <w:lang w:val="en-US" w:eastAsia="zh-CN"/>
              </w:rPr>
              <w:t>h</w:t>
            </w:r>
          </w:p>
        </w:tc>
        <w:tc>
          <w:tcPr>
            <w:tcW w:w="850" w:type="dxa"/>
            <w:vMerge w:val="continue"/>
          </w:tcPr>
          <w:p>
            <w:pPr>
              <w:pStyle w:val="25"/>
              <w:rPr>
                <w:kern w:val="2"/>
                <w:szCs w:val="21"/>
                <w:lang w:val="en-US" w:eastAsia="zh-CN"/>
              </w:rPr>
            </w:pPr>
          </w:p>
        </w:tc>
        <w:tc>
          <w:tcPr>
            <w:tcW w:w="988" w:type="dxa"/>
          </w:tcPr>
          <w:p>
            <w:pPr>
              <w:pStyle w:val="25"/>
              <w:rPr>
                <w:kern w:val="2"/>
                <w:szCs w:val="21"/>
                <w:lang w:val="en-US" w:eastAsia="zh-CN"/>
              </w:rPr>
            </w:pPr>
            <w:r>
              <w:rPr>
                <w:kern w:val="2"/>
                <w:szCs w:val="21"/>
                <w:lang w:val="en-US" w:eastAsia="zh-CN"/>
              </w:rPr>
              <w:t>g/s</w:t>
            </w:r>
          </w:p>
        </w:tc>
        <w:tc>
          <w:tcPr>
            <w:tcW w:w="1319" w:type="dxa"/>
          </w:tcPr>
          <w:p>
            <w:pPr>
              <w:pStyle w:val="25"/>
              <w:rPr>
                <w:kern w:val="2"/>
                <w:szCs w:val="21"/>
                <w:lang w:val="en-US" w:eastAsia="zh-CN"/>
              </w:rPr>
            </w:pPr>
            <w:r>
              <w:rPr>
                <w:kern w:val="2"/>
                <w:szCs w:val="21"/>
                <w:lang w:val="en-US" w:eastAsia="zh-CN"/>
              </w:rPr>
              <w:t>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719" w:type="dxa"/>
            <w:vMerge w:val="restart"/>
            <w:vAlign w:val="center"/>
          </w:tcPr>
          <w:p>
            <w:pPr>
              <w:pStyle w:val="25"/>
              <w:rPr>
                <w:kern w:val="2"/>
                <w:szCs w:val="21"/>
                <w:lang w:val="en-US" w:eastAsia="zh-CN"/>
              </w:rPr>
            </w:pPr>
            <w:r>
              <w:rPr>
                <w:rFonts w:hint="eastAsia"/>
                <w:kern w:val="2"/>
                <w:szCs w:val="21"/>
                <w:lang w:val="en-US" w:eastAsia="zh-CN"/>
              </w:rPr>
              <w:t>数据</w:t>
            </w:r>
          </w:p>
        </w:tc>
        <w:tc>
          <w:tcPr>
            <w:tcW w:w="704" w:type="dxa"/>
            <w:vAlign w:val="center"/>
          </w:tcPr>
          <w:p>
            <w:pPr>
              <w:pStyle w:val="25"/>
              <w:rPr>
                <w:kern w:val="2"/>
                <w:szCs w:val="21"/>
                <w:lang w:val="en-US" w:eastAsia="zh-CN"/>
              </w:rPr>
            </w:pPr>
            <w:r>
              <w:rPr>
                <w:kern w:val="2"/>
                <w:szCs w:val="21"/>
                <w:lang w:val="en-US" w:eastAsia="zh-CN"/>
              </w:rPr>
              <w:t>1</w:t>
            </w:r>
          </w:p>
        </w:tc>
        <w:tc>
          <w:tcPr>
            <w:tcW w:w="885" w:type="dxa"/>
            <w:vMerge w:val="restart"/>
            <w:vAlign w:val="center"/>
          </w:tcPr>
          <w:p>
            <w:pPr>
              <w:pStyle w:val="25"/>
              <w:rPr>
                <w:kern w:val="2"/>
                <w:szCs w:val="21"/>
                <w:lang w:val="en-US" w:eastAsia="zh-CN"/>
              </w:rPr>
            </w:pPr>
            <w:r>
              <w:rPr>
                <w:rFonts w:hint="eastAsia"/>
                <w:kern w:val="2"/>
                <w:szCs w:val="21"/>
                <w:lang w:val="en-US" w:eastAsia="zh-CN"/>
              </w:rPr>
              <w:t>定型废气排气筒</w:t>
            </w:r>
          </w:p>
        </w:tc>
        <w:tc>
          <w:tcPr>
            <w:tcW w:w="851" w:type="dxa"/>
            <w:vMerge w:val="restart"/>
            <w:vAlign w:val="center"/>
          </w:tcPr>
          <w:p>
            <w:pPr>
              <w:pStyle w:val="25"/>
              <w:rPr>
                <w:kern w:val="2"/>
                <w:szCs w:val="21"/>
                <w:lang w:val="en-US" w:eastAsia="zh-CN"/>
              </w:rPr>
            </w:pPr>
            <w:r>
              <w:rPr>
                <w:kern w:val="2"/>
                <w:szCs w:val="21"/>
                <w:lang w:val="en-US" w:eastAsia="zh-CN"/>
              </w:rPr>
              <w:t>20</w:t>
            </w:r>
          </w:p>
        </w:tc>
        <w:tc>
          <w:tcPr>
            <w:tcW w:w="850" w:type="dxa"/>
            <w:vMerge w:val="restart"/>
            <w:vAlign w:val="center"/>
          </w:tcPr>
          <w:p>
            <w:pPr>
              <w:pStyle w:val="25"/>
              <w:rPr>
                <w:kern w:val="2"/>
                <w:szCs w:val="21"/>
                <w:lang w:val="en-US" w:eastAsia="zh-CN"/>
              </w:rPr>
            </w:pPr>
            <w:r>
              <w:rPr>
                <w:kern w:val="2"/>
                <w:szCs w:val="21"/>
                <w:lang w:val="en-US" w:eastAsia="zh-CN"/>
              </w:rPr>
              <w:t>1.4</w:t>
            </w:r>
          </w:p>
        </w:tc>
        <w:tc>
          <w:tcPr>
            <w:tcW w:w="851" w:type="dxa"/>
            <w:vMerge w:val="restart"/>
            <w:vAlign w:val="center"/>
          </w:tcPr>
          <w:p>
            <w:pPr>
              <w:pStyle w:val="25"/>
              <w:rPr>
                <w:kern w:val="2"/>
                <w:szCs w:val="21"/>
                <w:lang w:val="en-US" w:eastAsia="zh-CN"/>
              </w:rPr>
            </w:pPr>
            <w:r>
              <w:rPr>
                <w:kern w:val="2"/>
                <w:szCs w:val="21"/>
                <w:lang w:val="en-US" w:eastAsia="zh-CN"/>
              </w:rPr>
              <w:t>16</w:t>
            </w:r>
          </w:p>
        </w:tc>
        <w:tc>
          <w:tcPr>
            <w:tcW w:w="850" w:type="dxa"/>
            <w:vAlign w:val="center"/>
          </w:tcPr>
          <w:p>
            <w:pPr>
              <w:pStyle w:val="25"/>
              <w:rPr>
                <w:kern w:val="2"/>
                <w:szCs w:val="21"/>
                <w:lang w:val="en-US" w:eastAsia="zh-CN"/>
              </w:rPr>
            </w:pPr>
            <w:r>
              <w:rPr>
                <w:kern w:val="2"/>
                <w:szCs w:val="21"/>
                <w:lang w:val="en-US" w:eastAsia="zh-CN"/>
              </w:rPr>
              <w:t>333</w:t>
            </w:r>
          </w:p>
        </w:tc>
        <w:tc>
          <w:tcPr>
            <w:tcW w:w="851" w:type="dxa"/>
            <w:vMerge w:val="restart"/>
            <w:vAlign w:val="center"/>
          </w:tcPr>
          <w:p>
            <w:pPr>
              <w:pStyle w:val="25"/>
              <w:rPr>
                <w:kern w:val="2"/>
                <w:szCs w:val="21"/>
                <w:lang w:val="en-US" w:eastAsia="zh-CN"/>
              </w:rPr>
            </w:pPr>
            <w:r>
              <w:rPr>
                <w:kern w:val="2"/>
                <w:szCs w:val="21"/>
                <w:lang w:val="en-US" w:eastAsia="zh-CN"/>
              </w:rPr>
              <w:t>3600</w:t>
            </w:r>
          </w:p>
        </w:tc>
        <w:tc>
          <w:tcPr>
            <w:tcW w:w="850" w:type="dxa"/>
            <w:vAlign w:val="center"/>
          </w:tcPr>
          <w:p>
            <w:pPr>
              <w:pStyle w:val="25"/>
              <w:rPr>
                <w:kern w:val="2"/>
                <w:szCs w:val="21"/>
                <w:lang w:val="en-US" w:eastAsia="zh-CN"/>
              </w:rPr>
            </w:pPr>
            <w:r>
              <w:rPr>
                <w:rFonts w:hint="eastAsia"/>
                <w:kern w:val="2"/>
                <w:szCs w:val="21"/>
                <w:lang w:val="en-US" w:eastAsia="zh-CN"/>
              </w:rPr>
              <w:t>正常</w:t>
            </w:r>
          </w:p>
        </w:tc>
        <w:tc>
          <w:tcPr>
            <w:tcW w:w="988" w:type="dxa"/>
            <w:vAlign w:val="center"/>
          </w:tcPr>
          <w:p>
            <w:pPr>
              <w:pStyle w:val="25"/>
              <w:rPr>
                <w:kern w:val="2"/>
                <w:szCs w:val="21"/>
                <w:lang w:val="en-US" w:eastAsia="zh-CN"/>
              </w:rPr>
            </w:pPr>
            <w:r>
              <w:rPr>
                <w:kern w:val="2"/>
                <w:szCs w:val="21"/>
                <w:lang w:val="en-US" w:eastAsia="zh-CN"/>
              </w:rPr>
              <w:t>0.125</w:t>
            </w:r>
          </w:p>
        </w:tc>
        <w:tc>
          <w:tcPr>
            <w:tcW w:w="1319" w:type="dxa"/>
            <w:vAlign w:val="center"/>
          </w:tcPr>
          <w:p>
            <w:pPr>
              <w:pStyle w:val="25"/>
              <w:rPr>
                <w:kern w:val="2"/>
                <w:szCs w:val="21"/>
                <w:lang w:val="en-US" w:eastAsia="zh-CN"/>
              </w:rPr>
            </w:pPr>
            <w:r>
              <w:rPr>
                <w:kern w:val="2"/>
                <w:szCs w:val="21"/>
                <w:lang w:val="en-US" w:eastAsia="zh-CN"/>
              </w:rPr>
              <w:t>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719" w:type="dxa"/>
            <w:vMerge w:val="continue"/>
            <w:vAlign w:val="center"/>
          </w:tcPr>
          <w:p>
            <w:pPr>
              <w:pStyle w:val="25"/>
              <w:rPr>
                <w:kern w:val="2"/>
                <w:szCs w:val="21"/>
                <w:lang w:val="en-US" w:eastAsia="zh-CN"/>
              </w:rPr>
            </w:pPr>
          </w:p>
        </w:tc>
        <w:tc>
          <w:tcPr>
            <w:tcW w:w="704" w:type="dxa"/>
            <w:vAlign w:val="center"/>
          </w:tcPr>
          <w:p>
            <w:pPr>
              <w:pStyle w:val="25"/>
              <w:rPr>
                <w:kern w:val="2"/>
                <w:szCs w:val="21"/>
                <w:lang w:val="en-US" w:eastAsia="zh-CN"/>
              </w:rPr>
            </w:pPr>
            <w:r>
              <w:rPr>
                <w:kern w:val="2"/>
                <w:szCs w:val="21"/>
                <w:lang w:val="en-US" w:eastAsia="zh-CN"/>
              </w:rPr>
              <w:t>2</w:t>
            </w:r>
          </w:p>
        </w:tc>
        <w:tc>
          <w:tcPr>
            <w:tcW w:w="885" w:type="dxa"/>
            <w:vMerge w:val="continue"/>
            <w:vAlign w:val="center"/>
          </w:tcPr>
          <w:p>
            <w:pPr>
              <w:pStyle w:val="25"/>
              <w:rPr>
                <w:kern w:val="2"/>
                <w:szCs w:val="21"/>
                <w:lang w:val="en-US" w:eastAsia="zh-CN"/>
              </w:rPr>
            </w:pPr>
          </w:p>
        </w:tc>
        <w:tc>
          <w:tcPr>
            <w:tcW w:w="851" w:type="dxa"/>
            <w:vMerge w:val="continue"/>
            <w:vAlign w:val="center"/>
          </w:tcPr>
          <w:p>
            <w:pPr>
              <w:pStyle w:val="25"/>
              <w:rPr>
                <w:kern w:val="2"/>
                <w:szCs w:val="21"/>
                <w:lang w:val="en-US" w:eastAsia="zh-CN"/>
              </w:rPr>
            </w:pPr>
          </w:p>
        </w:tc>
        <w:tc>
          <w:tcPr>
            <w:tcW w:w="850" w:type="dxa"/>
            <w:vMerge w:val="continue"/>
            <w:vAlign w:val="center"/>
          </w:tcPr>
          <w:p>
            <w:pPr>
              <w:pStyle w:val="25"/>
              <w:rPr>
                <w:kern w:val="2"/>
                <w:szCs w:val="21"/>
                <w:lang w:val="en-US" w:eastAsia="zh-CN"/>
              </w:rPr>
            </w:pPr>
          </w:p>
        </w:tc>
        <w:tc>
          <w:tcPr>
            <w:tcW w:w="851" w:type="dxa"/>
            <w:vMerge w:val="continue"/>
            <w:vAlign w:val="center"/>
          </w:tcPr>
          <w:p>
            <w:pPr>
              <w:pStyle w:val="25"/>
              <w:rPr>
                <w:kern w:val="2"/>
                <w:szCs w:val="21"/>
                <w:lang w:val="en-US" w:eastAsia="zh-CN"/>
              </w:rPr>
            </w:pPr>
          </w:p>
        </w:tc>
        <w:tc>
          <w:tcPr>
            <w:tcW w:w="850" w:type="dxa"/>
            <w:vAlign w:val="center"/>
          </w:tcPr>
          <w:p>
            <w:pPr>
              <w:pStyle w:val="25"/>
              <w:rPr>
                <w:kern w:val="2"/>
                <w:szCs w:val="21"/>
                <w:lang w:val="en-US" w:eastAsia="zh-CN"/>
              </w:rPr>
            </w:pPr>
            <w:r>
              <w:rPr>
                <w:kern w:val="2"/>
                <w:szCs w:val="21"/>
                <w:lang w:val="en-US" w:eastAsia="zh-CN"/>
              </w:rPr>
              <w:t>363</w:t>
            </w:r>
          </w:p>
        </w:tc>
        <w:tc>
          <w:tcPr>
            <w:tcW w:w="851" w:type="dxa"/>
            <w:vMerge w:val="continue"/>
            <w:vAlign w:val="center"/>
          </w:tcPr>
          <w:p>
            <w:pPr>
              <w:pStyle w:val="25"/>
              <w:rPr>
                <w:kern w:val="2"/>
                <w:szCs w:val="21"/>
                <w:lang w:val="en-US" w:eastAsia="zh-CN"/>
              </w:rPr>
            </w:pPr>
          </w:p>
        </w:tc>
        <w:tc>
          <w:tcPr>
            <w:tcW w:w="850" w:type="dxa"/>
            <w:vAlign w:val="center"/>
          </w:tcPr>
          <w:p>
            <w:pPr>
              <w:pStyle w:val="25"/>
              <w:rPr>
                <w:kern w:val="2"/>
                <w:szCs w:val="21"/>
                <w:lang w:val="en-US" w:eastAsia="zh-CN"/>
              </w:rPr>
            </w:pPr>
            <w:r>
              <w:rPr>
                <w:rFonts w:hint="eastAsia"/>
                <w:kern w:val="2"/>
                <w:szCs w:val="21"/>
                <w:lang w:val="en-US" w:eastAsia="zh-CN"/>
              </w:rPr>
              <w:t>非正常</w:t>
            </w:r>
          </w:p>
        </w:tc>
        <w:tc>
          <w:tcPr>
            <w:tcW w:w="988" w:type="dxa"/>
            <w:vAlign w:val="center"/>
          </w:tcPr>
          <w:p>
            <w:pPr>
              <w:pStyle w:val="25"/>
              <w:rPr>
                <w:kern w:val="2"/>
                <w:szCs w:val="21"/>
                <w:lang w:val="en-US" w:eastAsia="zh-CN"/>
              </w:rPr>
            </w:pPr>
            <w:r>
              <w:rPr>
                <w:kern w:val="2"/>
                <w:szCs w:val="21"/>
                <w:lang w:val="en-US" w:eastAsia="zh-CN"/>
              </w:rPr>
              <w:t>0.833</w:t>
            </w:r>
          </w:p>
        </w:tc>
        <w:tc>
          <w:tcPr>
            <w:tcW w:w="1319" w:type="dxa"/>
            <w:vAlign w:val="center"/>
          </w:tcPr>
          <w:p>
            <w:pPr>
              <w:pStyle w:val="25"/>
              <w:rPr>
                <w:kern w:val="2"/>
                <w:szCs w:val="21"/>
                <w:lang w:val="en-US" w:eastAsia="zh-CN"/>
              </w:rPr>
            </w:pPr>
            <w:r>
              <w:rPr>
                <w:kern w:val="2"/>
                <w:szCs w:val="21"/>
                <w:lang w:val="en-US" w:eastAsia="zh-CN"/>
              </w:rPr>
              <w:t>0.625</w:t>
            </w:r>
          </w:p>
        </w:tc>
      </w:tr>
    </w:tbl>
    <w:p>
      <w:pPr>
        <w:ind w:firstLine="480"/>
      </w:pPr>
      <w:r>
        <w:rPr>
          <w:rFonts w:hint="eastAsia"/>
        </w:rPr>
        <w:t>注：非正常工况指定型机废气处理装置出现故障，废气不经处理直接排放。</w:t>
      </w:r>
    </w:p>
    <w:p>
      <w:pPr>
        <w:pStyle w:val="25"/>
        <w:rPr>
          <w:b/>
          <w:bCs/>
        </w:rPr>
      </w:pPr>
      <w:r>
        <w:rPr>
          <w:rFonts w:hint="eastAsia"/>
          <w:b/>
          <w:bCs/>
        </w:rPr>
        <w:t>表</w:t>
      </w:r>
      <w:r>
        <w:rPr>
          <w:b/>
          <w:bCs/>
        </w:rPr>
        <w:t xml:space="preserve">6.2-8   </w:t>
      </w:r>
      <w:r>
        <w:rPr>
          <w:rFonts w:hint="eastAsia"/>
          <w:b/>
          <w:bCs/>
        </w:rPr>
        <w:t>矩形面源参数调查清单</w:t>
      </w:r>
    </w:p>
    <w:tbl>
      <w:tblPr>
        <w:tblStyle w:val="23"/>
        <w:tblpPr w:leftFromText="180" w:rightFromText="180" w:vertAnchor="text" w:tblpXSpec="center" w:tblpY="1"/>
        <w:tblOverlap w:val="never"/>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056"/>
        <w:gridCol w:w="878"/>
        <w:gridCol w:w="878"/>
        <w:gridCol w:w="879"/>
        <w:gridCol w:w="878"/>
        <w:gridCol w:w="879"/>
        <w:gridCol w:w="878"/>
        <w:gridCol w:w="909"/>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781" w:type="dxa"/>
            <w:vAlign w:val="center"/>
          </w:tcPr>
          <w:p>
            <w:pPr>
              <w:pStyle w:val="25"/>
              <w:rPr>
                <w:kern w:val="2"/>
                <w:szCs w:val="21"/>
                <w:lang w:val="en-US" w:eastAsia="zh-CN"/>
              </w:rPr>
            </w:pPr>
          </w:p>
        </w:tc>
        <w:tc>
          <w:tcPr>
            <w:tcW w:w="1056" w:type="dxa"/>
            <w:vAlign w:val="center"/>
          </w:tcPr>
          <w:p>
            <w:pPr>
              <w:pStyle w:val="25"/>
              <w:rPr>
                <w:kern w:val="2"/>
                <w:szCs w:val="21"/>
                <w:lang w:val="en-US" w:eastAsia="zh-CN"/>
              </w:rPr>
            </w:pPr>
            <w:r>
              <w:rPr>
                <w:rFonts w:hint="eastAsia"/>
                <w:kern w:val="2"/>
                <w:szCs w:val="21"/>
                <w:lang w:val="en-US" w:eastAsia="zh-CN"/>
              </w:rPr>
              <w:t>面源</w:t>
            </w:r>
          </w:p>
          <w:p>
            <w:pPr>
              <w:pStyle w:val="25"/>
              <w:rPr>
                <w:kern w:val="2"/>
                <w:szCs w:val="21"/>
                <w:lang w:val="en-US" w:eastAsia="zh-CN"/>
              </w:rPr>
            </w:pPr>
            <w:r>
              <w:rPr>
                <w:rFonts w:hint="eastAsia"/>
                <w:kern w:val="2"/>
                <w:szCs w:val="21"/>
                <w:lang w:val="en-US" w:eastAsia="zh-CN"/>
              </w:rPr>
              <w:t>名称</w:t>
            </w:r>
          </w:p>
        </w:tc>
        <w:tc>
          <w:tcPr>
            <w:tcW w:w="878" w:type="dxa"/>
            <w:vAlign w:val="center"/>
          </w:tcPr>
          <w:p>
            <w:pPr>
              <w:pStyle w:val="25"/>
              <w:rPr>
                <w:kern w:val="2"/>
                <w:szCs w:val="21"/>
                <w:lang w:val="en-US" w:eastAsia="zh-CN"/>
              </w:rPr>
            </w:pPr>
            <w:r>
              <w:rPr>
                <w:rFonts w:hint="eastAsia"/>
                <w:kern w:val="2"/>
                <w:szCs w:val="21"/>
                <w:lang w:val="en-US" w:eastAsia="zh-CN"/>
              </w:rPr>
              <w:t>海拔</w:t>
            </w:r>
          </w:p>
          <w:p>
            <w:pPr>
              <w:pStyle w:val="25"/>
              <w:rPr>
                <w:kern w:val="2"/>
                <w:szCs w:val="21"/>
                <w:lang w:val="en-US" w:eastAsia="zh-CN"/>
              </w:rPr>
            </w:pPr>
            <w:r>
              <w:rPr>
                <w:rFonts w:hint="eastAsia"/>
                <w:kern w:val="2"/>
                <w:szCs w:val="21"/>
                <w:lang w:val="en-US" w:eastAsia="zh-CN"/>
              </w:rPr>
              <w:t>高度</w:t>
            </w:r>
          </w:p>
        </w:tc>
        <w:tc>
          <w:tcPr>
            <w:tcW w:w="878" w:type="dxa"/>
            <w:vAlign w:val="center"/>
          </w:tcPr>
          <w:p>
            <w:pPr>
              <w:pStyle w:val="25"/>
              <w:rPr>
                <w:kern w:val="2"/>
                <w:szCs w:val="21"/>
                <w:lang w:val="en-US" w:eastAsia="zh-CN"/>
              </w:rPr>
            </w:pPr>
            <w:r>
              <w:rPr>
                <w:rFonts w:hint="eastAsia"/>
                <w:kern w:val="2"/>
                <w:szCs w:val="21"/>
                <w:lang w:val="en-US" w:eastAsia="zh-CN"/>
              </w:rPr>
              <w:t>面源</w:t>
            </w:r>
          </w:p>
          <w:p>
            <w:pPr>
              <w:pStyle w:val="25"/>
              <w:rPr>
                <w:kern w:val="2"/>
                <w:szCs w:val="21"/>
                <w:lang w:val="en-US" w:eastAsia="zh-CN"/>
              </w:rPr>
            </w:pPr>
            <w:r>
              <w:rPr>
                <w:rFonts w:hint="eastAsia"/>
                <w:kern w:val="2"/>
                <w:szCs w:val="21"/>
                <w:lang w:val="en-US" w:eastAsia="zh-CN"/>
              </w:rPr>
              <w:t>长度</w:t>
            </w:r>
          </w:p>
        </w:tc>
        <w:tc>
          <w:tcPr>
            <w:tcW w:w="879" w:type="dxa"/>
            <w:vAlign w:val="center"/>
          </w:tcPr>
          <w:p>
            <w:pPr>
              <w:pStyle w:val="25"/>
              <w:rPr>
                <w:kern w:val="2"/>
                <w:szCs w:val="21"/>
                <w:lang w:val="en-US" w:eastAsia="zh-CN"/>
              </w:rPr>
            </w:pPr>
            <w:r>
              <w:rPr>
                <w:rFonts w:hint="eastAsia"/>
                <w:kern w:val="2"/>
                <w:szCs w:val="21"/>
                <w:lang w:val="en-US" w:eastAsia="zh-CN"/>
              </w:rPr>
              <w:t>面源</w:t>
            </w:r>
          </w:p>
          <w:p>
            <w:pPr>
              <w:pStyle w:val="25"/>
              <w:rPr>
                <w:kern w:val="2"/>
                <w:szCs w:val="21"/>
                <w:lang w:val="en-US" w:eastAsia="zh-CN"/>
              </w:rPr>
            </w:pPr>
            <w:r>
              <w:rPr>
                <w:rFonts w:hint="eastAsia"/>
                <w:kern w:val="2"/>
                <w:szCs w:val="21"/>
                <w:lang w:val="en-US" w:eastAsia="zh-CN"/>
              </w:rPr>
              <w:t>宽度</w:t>
            </w:r>
          </w:p>
        </w:tc>
        <w:tc>
          <w:tcPr>
            <w:tcW w:w="878" w:type="dxa"/>
            <w:vAlign w:val="center"/>
          </w:tcPr>
          <w:p>
            <w:pPr>
              <w:pStyle w:val="25"/>
              <w:rPr>
                <w:kern w:val="2"/>
                <w:szCs w:val="21"/>
                <w:lang w:val="en-US" w:eastAsia="zh-CN"/>
              </w:rPr>
            </w:pPr>
            <w:r>
              <w:rPr>
                <w:rFonts w:hint="eastAsia"/>
                <w:kern w:val="2"/>
                <w:szCs w:val="21"/>
                <w:lang w:val="en-US" w:eastAsia="zh-CN"/>
              </w:rPr>
              <w:t>与正北夹角</w:t>
            </w:r>
          </w:p>
        </w:tc>
        <w:tc>
          <w:tcPr>
            <w:tcW w:w="879" w:type="dxa"/>
            <w:vAlign w:val="center"/>
          </w:tcPr>
          <w:p>
            <w:pPr>
              <w:pStyle w:val="25"/>
              <w:rPr>
                <w:kern w:val="2"/>
                <w:szCs w:val="21"/>
                <w:lang w:val="en-US" w:eastAsia="zh-CN"/>
              </w:rPr>
            </w:pPr>
            <w:r>
              <w:rPr>
                <w:rFonts w:hint="eastAsia"/>
                <w:kern w:val="2"/>
                <w:szCs w:val="21"/>
                <w:lang w:val="en-US" w:eastAsia="zh-CN"/>
              </w:rPr>
              <w:t>面源</w:t>
            </w:r>
          </w:p>
          <w:p>
            <w:pPr>
              <w:pStyle w:val="25"/>
              <w:rPr>
                <w:kern w:val="2"/>
                <w:szCs w:val="21"/>
                <w:lang w:val="en-US" w:eastAsia="zh-CN"/>
              </w:rPr>
            </w:pPr>
            <w:r>
              <w:rPr>
                <w:rFonts w:hint="eastAsia"/>
                <w:kern w:val="2"/>
                <w:szCs w:val="21"/>
                <w:lang w:val="en-US" w:eastAsia="zh-CN"/>
              </w:rPr>
              <w:t>初始排放高度</w:t>
            </w:r>
          </w:p>
        </w:tc>
        <w:tc>
          <w:tcPr>
            <w:tcW w:w="878" w:type="dxa"/>
            <w:vAlign w:val="center"/>
          </w:tcPr>
          <w:p>
            <w:pPr>
              <w:pStyle w:val="25"/>
              <w:rPr>
                <w:kern w:val="2"/>
                <w:szCs w:val="21"/>
                <w:lang w:val="en-US" w:eastAsia="zh-CN"/>
              </w:rPr>
            </w:pPr>
            <w:r>
              <w:rPr>
                <w:rFonts w:hint="eastAsia"/>
                <w:kern w:val="2"/>
                <w:szCs w:val="21"/>
                <w:lang w:val="en-US" w:eastAsia="zh-CN"/>
              </w:rPr>
              <w:t>年排放小时数</w:t>
            </w:r>
          </w:p>
        </w:tc>
        <w:tc>
          <w:tcPr>
            <w:tcW w:w="909" w:type="dxa"/>
            <w:vAlign w:val="center"/>
          </w:tcPr>
          <w:p>
            <w:pPr>
              <w:pStyle w:val="25"/>
              <w:rPr>
                <w:kern w:val="2"/>
                <w:szCs w:val="21"/>
                <w:lang w:val="en-US" w:eastAsia="zh-CN"/>
              </w:rPr>
            </w:pPr>
            <w:r>
              <w:rPr>
                <w:rFonts w:hint="eastAsia"/>
                <w:kern w:val="2"/>
                <w:szCs w:val="21"/>
                <w:lang w:val="en-US" w:eastAsia="zh-CN"/>
              </w:rPr>
              <w:t>排放</w:t>
            </w:r>
          </w:p>
          <w:p>
            <w:pPr>
              <w:pStyle w:val="25"/>
              <w:rPr>
                <w:kern w:val="2"/>
                <w:szCs w:val="21"/>
                <w:lang w:val="en-US" w:eastAsia="zh-CN"/>
              </w:rPr>
            </w:pPr>
            <w:r>
              <w:rPr>
                <w:rFonts w:hint="eastAsia"/>
                <w:kern w:val="2"/>
                <w:szCs w:val="21"/>
                <w:lang w:val="en-US" w:eastAsia="zh-CN"/>
              </w:rPr>
              <w:t>工况</w:t>
            </w:r>
          </w:p>
        </w:tc>
        <w:tc>
          <w:tcPr>
            <w:tcW w:w="1838" w:type="dxa"/>
            <w:vAlign w:val="center"/>
          </w:tcPr>
          <w:p>
            <w:pPr>
              <w:pStyle w:val="25"/>
              <w:rPr>
                <w:kern w:val="2"/>
                <w:szCs w:val="21"/>
                <w:lang w:val="en-US" w:eastAsia="zh-CN"/>
              </w:rPr>
            </w:pPr>
            <w:r>
              <w:rPr>
                <w:rFonts w:hint="eastAsia"/>
                <w:kern w:val="2"/>
                <w:szCs w:val="21"/>
                <w:lang w:val="en-US" w:eastAsia="zh-CN"/>
              </w:rPr>
              <w:t>评价因子源强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781" w:type="dxa"/>
            <w:vAlign w:val="center"/>
          </w:tcPr>
          <w:p>
            <w:pPr>
              <w:pStyle w:val="25"/>
              <w:rPr>
                <w:kern w:val="2"/>
                <w:szCs w:val="21"/>
                <w:lang w:val="en-US" w:eastAsia="zh-CN"/>
              </w:rPr>
            </w:pPr>
            <w:r>
              <w:rPr>
                <w:rFonts w:hint="eastAsia"/>
                <w:kern w:val="2"/>
                <w:szCs w:val="21"/>
                <w:lang w:val="en-US" w:eastAsia="zh-CN"/>
              </w:rPr>
              <w:t>符号</w:t>
            </w:r>
          </w:p>
        </w:tc>
        <w:tc>
          <w:tcPr>
            <w:tcW w:w="1056" w:type="dxa"/>
            <w:vMerge w:val="restart"/>
            <w:vAlign w:val="center"/>
          </w:tcPr>
          <w:p>
            <w:pPr>
              <w:pStyle w:val="25"/>
              <w:rPr>
                <w:kern w:val="2"/>
                <w:szCs w:val="21"/>
                <w:lang w:val="en-US" w:eastAsia="zh-CN"/>
              </w:rPr>
            </w:pPr>
          </w:p>
        </w:tc>
        <w:tc>
          <w:tcPr>
            <w:tcW w:w="878" w:type="dxa"/>
            <w:vAlign w:val="center"/>
          </w:tcPr>
          <w:p>
            <w:pPr>
              <w:pStyle w:val="25"/>
              <w:rPr>
                <w:kern w:val="2"/>
                <w:szCs w:val="21"/>
                <w:lang w:val="en-US" w:eastAsia="zh-CN"/>
              </w:rPr>
            </w:pPr>
            <w:r>
              <w:rPr>
                <w:kern w:val="2"/>
                <w:szCs w:val="21"/>
                <w:lang w:val="en-US" w:eastAsia="zh-CN"/>
              </w:rPr>
              <w:t>H0</w:t>
            </w:r>
          </w:p>
        </w:tc>
        <w:tc>
          <w:tcPr>
            <w:tcW w:w="878" w:type="dxa"/>
            <w:vAlign w:val="center"/>
          </w:tcPr>
          <w:p>
            <w:pPr>
              <w:pStyle w:val="25"/>
              <w:rPr>
                <w:kern w:val="2"/>
                <w:szCs w:val="21"/>
                <w:lang w:val="en-US" w:eastAsia="zh-CN"/>
              </w:rPr>
            </w:pPr>
            <w:r>
              <w:rPr>
                <w:kern w:val="2"/>
                <w:szCs w:val="21"/>
                <w:lang w:val="en-US" w:eastAsia="zh-CN"/>
              </w:rPr>
              <w:t>L l</w:t>
            </w:r>
          </w:p>
        </w:tc>
        <w:tc>
          <w:tcPr>
            <w:tcW w:w="879" w:type="dxa"/>
            <w:vAlign w:val="center"/>
          </w:tcPr>
          <w:p>
            <w:pPr>
              <w:pStyle w:val="25"/>
              <w:rPr>
                <w:kern w:val="2"/>
                <w:szCs w:val="21"/>
                <w:lang w:val="en-US" w:eastAsia="zh-CN"/>
              </w:rPr>
            </w:pPr>
            <w:r>
              <w:rPr>
                <w:kern w:val="2"/>
                <w:szCs w:val="21"/>
                <w:lang w:val="en-US" w:eastAsia="zh-CN"/>
              </w:rPr>
              <w:t>Lw</w:t>
            </w:r>
          </w:p>
        </w:tc>
        <w:tc>
          <w:tcPr>
            <w:tcW w:w="878" w:type="dxa"/>
            <w:vAlign w:val="center"/>
          </w:tcPr>
          <w:p>
            <w:pPr>
              <w:pStyle w:val="25"/>
              <w:rPr>
                <w:kern w:val="2"/>
                <w:szCs w:val="21"/>
                <w:lang w:val="en-US" w:eastAsia="zh-CN"/>
              </w:rPr>
            </w:pPr>
            <w:r>
              <w:rPr>
                <w:kern w:val="2"/>
                <w:szCs w:val="21"/>
                <w:lang w:val="en-US" w:eastAsia="zh-CN"/>
              </w:rPr>
              <w:t>Arc</w:t>
            </w:r>
          </w:p>
        </w:tc>
        <w:tc>
          <w:tcPr>
            <w:tcW w:w="879" w:type="dxa"/>
            <w:vAlign w:val="center"/>
          </w:tcPr>
          <w:p>
            <w:pPr>
              <w:pStyle w:val="25"/>
              <w:rPr>
                <w:kern w:val="2"/>
                <w:szCs w:val="21"/>
                <w:lang w:val="en-US" w:eastAsia="zh-CN"/>
              </w:rPr>
            </w:pPr>
            <w:r>
              <w:rPr>
                <w:kern w:val="2"/>
                <w:szCs w:val="21"/>
                <w:lang w:val="en-US" w:eastAsia="zh-CN"/>
              </w:rPr>
              <w:t>H</w:t>
            </w:r>
          </w:p>
        </w:tc>
        <w:tc>
          <w:tcPr>
            <w:tcW w:w="878" w:type="dxa"/>
            <w:vAlign w:val="center"/>
          </w:tcPr>
          <w:p>
            <w:pPr>
              <w:pStyle w:val="25"/>
              <w:rPr>
                <w:kern w:val="2"/>
                <w:szCs w:val="21"/>
                <w:lang w:val="en-US" w:eastAsia="zh-CN"/>
              </w:rPr>
            </w:pPr>
            <w:r>
              <w:rPr>
                <w:kern w:val="2"/>
                <w:szCs w:val="21"/>
                <w:lang w:val="en-US" w:eastAsia="zh-CN"/>
              </w:rPr>
              <w:t>Hr</w:t>
            </w:r>
          </w:p>
        </w:tc>
        <w:tc>
          <w:tcPr>
            <w:tcW w:w="909" w:type="dxa"/>
            <w:vMerge w:val="restart"/>
            <w:vAlign w:val="center"/>
          </w:tcPr>
          <w:p>
            <w:pPr>
              <w:pStyle w:val="25"/>
              <w:rPr>
                <w:kern w:val="2"/>
                <w:szCs w:val="21"/>
                <w:lang w:val="en-US" w:eastAsia="zh-CN"/>
              </w:rPr>
            </w:pPr>
            <w:r>
              <w:rPr>
                <w:kern w:val="2"/>
                <w:szCs w:val="21"/>
                <w:lang w:val="en-US" w:eastAsia="zh-CN"/>
              </w:rPr>
              <w:t>/</w:t>
            </w:r>
          </w:p>
        </w:tc>
        <w:tc>
          <w:tcPr>
            <w:tcW w:w="1838" w:type="dxa"/>
            <w:vAlign w:val="center"/>
          </w:tcPr>
          <w:p>
            <w:pPr>
              <w:pStyle w:val="25"/>
              <w:rPr>
                <w:kern w:val="2"/>
                <w:szCs w:val="21"/>
                <w:lang w:val="en-US" w:eastAsia="zh-CN"/>
              </w:rPr>
            </w:pPr>
            <w:r>
              <w:rPr>
                <w:rFonts w:hint="eastAsia"/>
                <w:kern w:val="2"/>
                <w:szCs w:val="21"/>
                <w:lang w:val="en-US" w:eastAsia="zh-CN"/>
              </w:rPr>
              <w:t>醋酸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81" w:type="dxa"/>
          </w:tcPr>
          <w:p>
            <w:pPr>
              <w:pStyle w:val="25"/>
              <w:rPr>
                <w:kern w:val="2"/>
                <w:szCs w:val="21"/>
                <w:lang w:val="en-US" w:eastAsia="zh-CN"/>
              </w:rPr>
            </w:pPr>
            <w:r>
              <w:rPr>
                <w:rFonts w:hint="eastAsia"/>
                <w:kern w:val="2"/>
                <w:szCs w:val="21"/>
                <w:lang w:val="en-US" w:eastAsia="zh-CN"/>
              </w:rPr>
              <w:t>单位</w:t>
            </w:r>
          </w:p>
        </w:tc>
        <w:tc>
          <w:tcPr>
            <w:tcW w:w="1056" w:type="dxa"/>
            <w:vMerge w:val="continue"/>
          </w:tcPr>
          <w:p>
            <w:pPr>
              <w:pStyle w:val="25"/>
              <w:rPr>
                <w:kern w:val="2"/>
                <w:szCs w:val="21"/>
                <w:lang w:val="en-US" w:eastAsia="zh-CN"/>
              </w:rPr>
            </w:pPr>
          </w:p>
        </w:tc>
        <w:tc>
          <w:tcPr>
            <w:tcW w:w="878" w:type="dxa"/>
          </w:tcPr>
          <w:p>
            <w:pPr>
              <w:pStyle w:val="25"/>
              <w:rPr>
                <w:kern w:val="2"/>
                <w:szCs w:val="21"/>
                <w:lang w:val="en-US" w:eastAsia="zh-CN"/>
              </w:rPr>
            </w:pPr>
            <w:r>
              <w:rPr>
                <w:kern w:val="2"/>
                <w:szCs w:val="21"/>
                <w:lang w:val="en-US" w:eastAsia="zh-CN"/>
              </w:rPr>
              <w:t>m</w:t>
            </w:r>
          </w:p>
        </w:tc>
        <w:tc>
          <w:tcPr>
            <w:tcW w:w="878" w:type="dxa"/>
          </w:tcPr>
          <w:p>
            <w:pPr>
              <w:pStyle w:val="25"/>
              <w:rPr>
                <w:kern w:val="2"/>
                <w:szCs w:val="21"/>
                <w:lang w:val="en-US" w:eastAsia="zh-CN"/>
              </w:rPr>
            </w:pPr>
            <w:r>
              <w:rPr>
                <w:kern w:val="2"/>
                <w:szCs w:val="21"/>
                <w:lang w:val="en-US" w:eastAsia="zh-CN"/>
              </w:rPr>
              <w:t>m</w:t>
            </w:r>
          </w:p>
        </w:tc>
        <w:tc>
          <w:tcPr>
            <w:tcW w:w="879" w:type="dxa"/>
          </w:tcPr>
          <w:p>
            <w:pPr>
              <w:pStyle w:val="25"/>
              <w:rPr>
                <w:kern w:val="2"/>
                <w:szCs w:val="21"/>
                <w:lang w:val="en-US" w:eastAsia="zh-CN"/>
              </w:rPr>
            </w:pPr>
            <w:r>
              <w:rPr>
                <w:kern w:val="2"/>
                <w:szCs w:val="21"/>
                <w:lang w:val="en-US" w:eastAsia="zh-CN"/>
              </w:rPr>
              <w:t>m</w:t>
            </w:r>
          </w:p>
        </w:tc>
        <w:tc>
          <w:tcPr>
            <w:tcW w:w="878" w:type="dxa"/>
          </w:tcPr>
          <w:p>
            <w:pPr>
              <w:pStyle w:val="25"/>
              <w:rPr>
                <w:kern w:val="2"/>
                <w:szCs w:val="21"/>
                <w:lang w:val="en-US" w:eastAsia="zh-CN"/>
              </w:rPr>
            </w:pPr>
            <w:r>
              <w:rPr>
                <w:rFonts w:hint="eastAsia"/>
                <w:kern w:val="2"/>
                <w:szCs w:val="21"/>
                <w:lang w:val="en-US" w:eastAsia="zh-CN"/>
              </w:rPr>
              <w:t>°</w:t>
            </w:r>
          </w:p>
        </w:tc>
        <w:tc>
          <w:tcPr>
            <w:tcW w:w="879" w:type="dxa"/>
          </w:tcPr>
          <w:p>
            <w:pPr>
              <w:pStyle w:val="25"/>
              <w:rPr>
                <w:kern w:val="2"/>
                <w:szCs w:val="21"/>
                <w:lang w:val="en-US" w:eastAsia="zh-CN"/>
              </w:rPr>
            </w:pPr>
            <w:r>
              <w:rPr>
                <w:kern w:val="2"/>
                <w:szCs w:val="21"/>
                <w:lang w:val="en-US" w:eastAsia="zh-CN"/>
              </w:rPr>
              <w:t>m</w:t>
            </w:r>
          </w:p>
        </w:tc>
        <w:tc>
          <w:tcPr>
            <w:tcW w:w="878" w:type="dxa"/>
          </w:tcPr>
          <w:p>
            <w:pPr>
              <w:pStyle w:val="25"/>
              <w:rPr>
                <w:kern w:val="2"/>
                <w:szCs w:val="21"/>
                <w:lang w:val="en-US" w:eastAsia="zh-CN"/>
              </w:rPr>
            </w:pPr>
            <w:r>
              <w:rPr>
                <w:kern w:val="2"/>
                <w:szCs w:val="21"/>
                <w:lang w:val="en-US" w:eastAsia="zh-CN"/>
              </w:rPr>
              <w:t>h</w:t>
            </w:r>
          </w:p>
        </w:tc>
        <w:tc>
          <w:tcPr>
            <w:tcW w:w="909" w:type="dxa"/>
            <w:vMerge w:val="continue"/>
          </w:tcPr>
          <w:p>
            <w:pPr>
              <w:pStyle w:val="25"/>
              <w:rPr>
                <w:kern w:val="2"/>
                <w:szCs w:val="21"/>
                <w:lang w:val="en-US" w:eastAsia="zh-CN"/>
              </w:rPr>
            </w:pPr>
          </w:p>
        </w:tc>
        <w:tc>
          <w:tcPr>
            <w:tcW w:w="1838" w:type="dxa"/>
          </w:tcPr>
          <w:p>
            <w:pPr>
              <w:pStyle w:val="25"/>
              <w:rPr>
                <w:kern w:val="2"/>
                <w:szCs w:val="21"/>
                <w:lang w:val="en-US" w:eastAsia="zh-CN"/>
              </w:rPr>
            </w:pPr>
            <w:r>
              <w:rPr>
                <w:kern w:val="2"/>
                <w:szCs w:val="21"/>
                <w:lang w:val="en-US" w:eastAsia="zh-CN"/>
              </w:rPr>
              <w:t>g/s.m2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781" w:type="dxa"/>
            <w:vAlign w:val="center"/>
          </w:tcPr>
          <w:p>
            <w:pPr>
              <w:pStyle w:val="25"/>
              <w:rPr>
                <w:kern w:val="2"/>
                <w:szCs w:val="21"/>
                <w:lang w:val="en-US" w:eastAsia="zh-CN"/>
              </w:rPr>
            </w:pPr>
            <w:r>
              <w:rPr>
                <w:rFonts w:hint="eastAsia"/>
                <w:kern w:val="2"/>
                <w:szCs w:val="21"/>
                <w:lang w:val="en-US" w:eastAsia="zh-CN"/>
              </w:rPr>
              <w:t>数据</w:t>
            </w:r>
          </w:p>
        </w:tc>
        <w:tc>
          <w:tcPr>
            <w:tcW w:w="1056" w:type="dxa"/>
          </w:tcPr>
          <w:p>
            <w:pPr>
              <w:pStyle w:val="25"/>
              <w:rPr>
                <w:kern w:val="2"/>
                <w:szCs w:val="21"/>
                <w:lang w:val="en-US" w:eastAsia="zh-CN"/>
              </w:rPr>
            </w:pPr>
            <w:r>
              <w:rPr>
                <w:rFonts w:hint="eastAsia"/>
                <w:kern w:val="2"/>
                <w:szCs w:val="21"/>
                <w:lang w:val="en-US" w:eastAsia="zh-CN"/>
              </w:rPr>
              <w:t>染色车间</w:t>
            </w:r>
          </w:p>
        </w:tc>
        <w:tc>
          <w:tcPr>
            <w:tcW w:w="878" w:type="dxa"/>
          </w:tcPr>
          <w:p>
            <w:pPr>
              <w:pStyle w:val="25"/>
              <w:rPr>
                <w:kern w:val="2"/>
                <w:szCs w:val="21"/>
                <w:lang w:val="en-US" w:eastAsia="zh-CN"/>
              </w:rPr>
            </w:pPr>
            <w:r>
              <w:rPr>
                <w:kern w:val="2"/>
                <w:szCs w:val="21"/>
                <w:lang w:val="en-US" w:eastAsia="zh-CN"/>
              </w:rPr>
              <w:t>5</w:t>
            </w:r>
          </w:p>
        </w:tc>
        <w:tc>
          <w:tcPr>
            <w:tcW w:w="878" w:type="dxa"/>
          </w:tcPr>
          <w:p>
            <w:pPr>
              <w:pStyle w:val="25"/>
              <w:rPr>
                <w:kern w:val="2"/>
                <w:szCs w:val="21"/>
                <w:lang w:val="en-US" w:eastAsia="zh-CN"/>
              </w:rPr>
            </w:pPr>
            <w:r>
              <w:rPr>
                <w:kern w:val="2"/>
                <w:szCs w:val="21"/>
                <w:lang w:val="en-US" w:eastAsia="zh-CN"/>
              </w:rPr>
              <w:t>100</w:t>
            </w:r>
          </w:p>
        </w:tc>
        <w:tc>
          <w:tcPr>
            <w:tcW w:w="879" w:type="dxa"/>
          </w:tcPr>
          <w:p>
            <w:pPr>
              <w:pStyle w:val="25"/>
              <w:rPr>
                <w:kern w:val="2"/>
                <w:szCs w:val="21"/>
                <w:lang w:val="en-US" w:eastAsia="zh-CN"/>
              </w:rPr>
            </w:pPr>
            <w:r>
              <w:rPr>
                <w:kern w:val="2"/>
                <w:szCs w:val="21"/>
                <w:lang w:val="en-US" w:eastAsia="zh-CN"/>
              </w:rPr>
              <w:t>65</w:t>
            </w:r>
          </w:p>
        </w:tc>
        <w:tc>
          <w:tcPr>
            <w:tcW w:w="878" w:type="dxa"/>
          </w:tcPr>
          <w:p>
            <w:pPr>
              <w:pStyle w:val="25"/>
              <w:rPr>
                <w:kern w:val="2"/>
                <w:szCs w:val="21"/>
                <w:lang w:val="en-US" w:eastAsia="zh-CN"/>
              </w:rPr>
            </w:pPr>
            <w:r>
              <w:rPr>
                <w:kern w:val="2"/>
                <w:szCs w:val="21"/>
                <w:lang w:val="en-US" w:eastAsia="zh-CN"/>
              </w:rPr>
              <w:t>0</w:t>
            </w:r>
          </w:p>
        </w:tc>
        <w:tc>
          <w:tcPr>
            <w:tcW w:w="879" w:type="dxa"/>
          </w:tcPr>
          <w:p>
            <w:pPr>
              <w:pStyle w:val="25"/>
              <w:rPr>
                <w:kern w:val="2"/>
                <w:szCs w:val="21"/>
                <w:lang w:val="en-US" w:eastAsia="zh-CN"/>
              </w:rPr>
            </w:pPr>
            <w:r>
              <w:rPr>
                <w:kern w:val="2"/>
                <w:szCs w:val="21"/>
                <w:lang w:val="en-US" w:eastAsia="zh-CN"/>
              </w:rPr>
              <w:t>10</w:t>
            </w:r>
          </w:p>
        </w:tc>
        <w:tc>
          <w:tcPr>
            <w:tcW w:w="878" w:type="dxa"/>
          </w:tcPr>
          <w:p>
            <w:pPr>
              <w:pStyle w:val="25"/>
              <w:rPr>
                <w:kern w:val="2"/>
                <w:szCs w:val="21"/>
                <w:lang w:val="en-US" w:eastAsia="zh-CN"/>
              </w:rPr>
            </w:pPr>
            <w:r>
              <w:rPr>
                <w:kern w:val="2"/>
                <w:szCs w:val="21"/>
                <w:lang w:val="en-US" w:eastAsia="zh-CN"/>
              </w:rPr>
              <w:t>3600</w:t>
            </w:r>
          </w:p>
        </w:tc>
        <w:tc>
          <w:tcPr>
            <w:tcW w:w="909" w:type="dxa"/>
          </w:tcPr>
          <w:p>
            <w:pPr>
              <w:pStyle w:val="25"/>
              <w:rPr>
                <w:kern w:val="2"/>
                <w:szCs w:val="21"/>
                <w:lang w:val="en-US" w:eastAsia="zh-CN"/>
              </w:rPr>
            </w:pPr>
            <w:r>
              <w:rPr>
                <w:rFonts w:hint="eastAsia"/>
                <w:kern w:val="2"/>
                <w:szCs w:val="21"/>
                <w:lang w:val="en-US" w:eastAsia="zh-CN"/>
              </w:rPr>
              <w:t>正常</w:t>
            </w:r>
          </w:p>
        </w:tc>
        <w:tc>
          <w:tcPr>
            <w:tcW w:w="1838" w:type="dxa"/>
          </w:tcPr>
          <w:p>
            <w:pPr>
              <w:pStyle w:val="25"/>
              <w:rPr>
                <w:kern w:val="2"/>
                <w:szCs w:val="21"/>
                <w:lang w:val="en-US" w:eastAsia="zh-CN"/>
              </w:rPr>
            </w:pPr>
            <w:r>
              <w:rPr>
                <w:kern w:val="2"/>
                <w:szCs w:val="21"/>
                <w:lang w:val="en-US" w:eastAsia="zh-CN"/>
              </w:rPr>
              <w:t>4.15</w:t>
            </w:r>
            <w:r>
              <w:rPr>
                <w:rFonts w:hint="eastAsia"/>
                <w:kern w:val="2"/>
                <w:szCs w:val="21"/>
                <w:lang w:val="en-US" w:eastAsia="zh-CN"/>
              </w:rPr>
              <w:t>×</w:t>
            </w:r>
            <w:r>
              <w:rPr>
                <w:kern w:val="2"/>
                <w:szCs w:val="21"/>
                <w:lang w:val="en-US" w:eastAsia="zh-CN"/>
              </w:rPr>
              <w:t>10</w:t>
            </w:r>
            <w:r>
              <w:rPr>
                <w:kern w:val="2"/>
                <w:szCs w:val="21"/>
                <w:vertAlign w:val="superscript"/>
                <w:lang w:val="en-US" w:eastAsia="zh-CN"/>
              </w:rPr>
              <w:t>-7</w:t>
            </w:r>
          </w:p>
        </w:tc>
      </w:tr>
    </w:tbl>
    <w:p>
      <w:pPr>
        <w:ind w:firstLine="480"/>
      </w:pPr>
      <w:r>
        <w:rPr>
          <w:rFonts w:hint="eastAsia"/>
        </w:rPr>
        <w:t>⑵预测结果</w:t>
      </w:r>
    </w:p>
    <w:p>
      <w:pPr>
        <w:ind w:firstLine="480"/>
      </w:pPr>
      <w:r>
        <w:rPr>
          <w:rFonts w:hint="eastAsia"/>
        </w:rPr>
        <w:t>采用估算模式预测项目颗粒物、醋酸对下风向落地浓度点影响预测结果，详见表</w:t>
      </w:r>
      <w:r>
        <w:t>6.2-9</w:t>
      </w:r>
      <w:r>
        <w:rPr>
          <w:rFonts w:hint="eastAsia"/>
        </w:rPr>
        <w:t>。</w:t>
      </w:r>
    </w:p>
    <w:p>
      <w:pPr>
        <w:ind w:firstLine="480"/>
        <w:sectPr>
          <w:headerReference r:id="rId10" w:type="default"/>
          <w:footerReference r:id="rId11" w:type="default"/>
          <w:pgSz w:w="11906" w:h="16838"/>
          <w:pgMar w:top="1440" w:right="1417" w:bottom="1440" w:left="1417" w:header="851" w:footer="992" w:gutter="0"/>
          <w:cols w:space="0" w:num="1"/>
          <w:docGrid w:type="lines" w:linePitch="332" w:charSpace="0"/>
        </w:sectPr>
      </w:pPr>
    </w:p>
    <w:p>
      <w:pPr>
        <w:pStyle w:val="26"/>
        <w:rPr>
          <w:b/>
          <w:bCs/>
        </w:rPr>
      </w:pPr>
      <w:r>
        <w:rPr>
          <w:rFonts w:hint="eastAsia"/>
          <w:b/>
          <w:bCs/>
        </w:rPr>
        <w:t>表</w:t>
      </w:r>
      <w:r>
        <w:rPr>
          <w:b/>
          <w:bCs/>
        </w:rPr>
        <w:t xml:space="preserve">6.2-9   </w:t>
      </w:r>
      <w:r>
        <w:rPr>
          <w:rFonts w:hint="eastAsia"/>
          <w:b/>
          <w:bCs/>
        </w:rPr>
        <w:t>废气排放预测结果表</w:t>
      </w:r>
    </w:p>
    <w:tbl>
      <w:tblPr>
        <w:tblStyle w:val="23"/>
        <w:tblW w:w="14218" w:type="dxa"/>
        <w:jc w:val="center"/>
        <w:tblInd w:w="0" w:type="dxa"/>
        <w:tblLayout w:type="fixed"/>
        <w:tblCellMar>
          <w:top w:w="0" w:type="dxa"/>
          <w:left w:w="108" w:type="dxa"/>
          <w:bottom w:w="0" w:type="dxa"/>
          <w:right w:w="108" w:type="dxa"/>
        </w:tblCellMar>
      </w:tblPr>
      <w:tblGrid>
        <w:gridCol w:w="1617"/>
        <w:gridCol w:w="1427"/>
        <w:gridCol w:w="1009"/>
        <w:gridCol w:w="1439"/>
        <w:gridCol w:w="1110"/>
        <w:gridCol w:w="1444"/>
        <w:gridCol w:w="1162"/>
        <w:gridCol w:w="1394"/>
        <w:gridCol w:w="948"/>
        <w:gridCol w:w="1425"/>
        <w:gridCol w:w="1243"/>
      </w:tblGrid>
      <w:tr>
        <w:tblPrEx>
          <w:tblLayout w:type="fixed"/>
          <w:tblCellMar>
            <w:top w:w="0" w:type="dxa"/>
            <w:left w:w="108" w:type="dxa"/>
            <w:bottom w:w="0" w:type="dxa"/>
            <w:right w:w="108" w:type="dxa"/>
          </w:tblCellMar>
        </w:tblPrEx>
        <w:trPr>
          <w:trHeight w:val="261" w:hRule="atLeast"/>
          <w:tblHeader/>
          <w:jc w:val="center"/>
        </w:trPr>
        <w:tc>
          <w:tcPr>
            <w:tcW w:w="1617" w:type="dxa"/>
            <w:vMerge w:val="restart"/>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rFonts w:hint="eastAsia"/>
                <w:kern w:val="2"/>
                <w:szCs w:val="21"/>
                <w:lang w:val="en-US" w:eastAsia="zh-CN"/>
              </w:rPr>
              <w:t>距源中心下风向距离</w:t>
            </w:r>
            <w:r>
              <w:rPr>
                <w:kern w:val="2"/>
                <w:szCs w:val="21"/>
                <w:lang w:val="en-US" w:eastAsia="zh-CN"/>
              </w:rPr>
              <w:t>D(m)</w:t>
            </w:r>
          </w:p>
        </w:tc>
        <w:tc>
          <w:tcPr>
            <w:tcW w:w="9933" w:type="dxa"/>
            <w:gridSpan w:val="8"/>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点源（定型废气处理装置排气筒）</w:t>
            </w:r>
          </w:p>
        </w:tc>
        <w:tc>
          <w:tcPr>
            <w:tcW w:w="2668" w:type="dxa"/>
            <w:gridSpan w:val="2"/>
            <w:tcBorders>
              <w:top w:val="single" w:color="000000" w:sz="8" w:space="0"/>
              <w:left w:val="nil"/>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面源</w:t>
            </w:r>
          </w:p>
        </w:tc>
      </w:tr>
      <w:tr>
        <w:tblPrEx>
          <w:tblLayout w:type="fixed"/>
          <w:tblCellMar>
            <w:top w:w="0" w:type="dxa"/>
            <w:left w:w="108" w:type="dxa"/>
            <w:bottom w:w="0" w:type="dxa"/>
            <w:right w:w="108" w:type="dxa"/>
          </w:tblCellMar>
        </w:tblPrEx>
        <w:trPr>
          <w:trHeight w:val="339" w:hRule="atLeast"/>
          <w:tblHeader/>
          <w:jc w:val="center"/>
        </w:trPr>
        <w:tc>
          <w:tcPr>
            <w:tcW w:w="1617" w:type="dxa"/>
            <w:vMerge w:val="continue"/>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p>
        </w:tc>
        <w:tc>
          <w:tcPr>
            <w:tcW w:w="4985" w:type="dxa"/>
            <w:gridSpan w:val="4"/>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颗粒物</w:t>
            </w:r>
          </w:p>
        </w:tc>
        <w:tc>
          <w:tcPr>
            <w:tcW w:w="4948" w:type="dxa"/>
            <w:gridSpan w:val="4"/>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TVOC</w:t>
            </w:r>
          </w:p>
        </w:tc>
        <w:tc>
          <w:tcPr>
            <w:tcW w:w="2668" w:type="dxa"/>
            <w:gridSpan w:val="2"/>
            <w:vMerge w:val="restart"/>
            <w:tcBorders>
              <w:top w:val="single" w:color="auto" w:sz="4" w:space="0"/>
              <w:left w:val="nil"/>
              <w:right w:val="single" w:color="auto" w:sz="4" w:space="0"/>
            </w:tcBorders>
            <w:vAlign w:val="center"/>
          </w:tcPr>
          <w:p>
            <w:pPr>
              <w:pStyle w:val="25"/>
              <w:rPr>
                <w:kern w:val="2"/>
                <w:szCs w:val="21"/>
                <w:lang w:val="en-US" w:eastAsia="zh-CN"/>
              </w:rPr>
            </w:pPr>
            <w:r>
              <w:rPr>
                <w:rFonts w:hint="eastAsia"/>
                <w:kern w:val="2"/>
                <w:szCs w:val="21"/>
                <w:lang w:val="en-US" w:eastAsia="zh-CN"/>
              </w:rPr>
              <w:t>染色车间</w:t>
            </w:r>
            <w:r>
              <w:rPr>
                <w:kern w:val="2"/>
                <w:szCs w:val="21"/>
                <w:lang w:val="en-US" w:eastAsia="zh-CN"/>
              </w:rPr>
              <w:t>(</w:t>
            </w:r>
            <w:r>
              <w:rPr>
                <w:rFonts w:hint="eastAsia"/>
                <w:kern w:val="2"/>
                <w:szCs w:val="21"/>
                <w:lang w:val="en-US" w:eastAsia="zh-CN"/>
              </w:rPr>
              <w:t>醋酸</w:t>
            </w:r>
            <w:r>
              <w:rPr>
                <w:kern w:val="2"/>
                <w:szCs w:val="21"/>
                <w:lang w:val="en-US" w:eastAsia="zh-CN"/>
              </w:rPr>
              <w:t>)</w:t>
            </w:r>
          </w:p>
        </w:tc>
      </w:tr>
      <w:tr>
        <w:tblPrEx>
          <w:tblLayout w:type="fixed"/>
          <w:tblCellMar>
            <w:top w:w="0" w:type="dxa"/>
            <w:left w:w="108" w:type="dxa"/>
            <w:bottom w:w="0" w:type="dxa"/>
            <w:right w:w="108" w:type="dxa"/>
          </w:tblCellMar>
        </w:tblPrEx>
        <w:trPr>
          <w:trHeight w:val="333" w:hRule="atLeast"/>
          <w:tblHeader/>
          <w:jc w:val="center"/>
        </w:trPr>
        <w:tc>
          <w:tcPr>
            <w:tcW w:w="1617" w:type="dxa"/>
            <w:vMerge w:val="continue"/>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p>
        </w:tc>
        <w:tc>
          <w:tcPr>
            <w:tcW w:w="2436" w:type="dxa"/>
            <w:gridSpan w:val="2"/>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正常</w:t>
            </w:r>
          </w:p>
        </w:tc>
        <w:tc>
          <w:tcPr>
            <w:tcW w:w="2549" w:type="dxa"/>
            <w:gridSpan w:val="2"/>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非正常</w:t>
            </w:r>
          </w:p>
        </w:tc>
        <w:tc>
          <w:tcPr>
            <w:tcW w:w="2606" w:type="dxa"/>
            <w:gridSpan w:val="2"/>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正常</w:t>
            </w:r>
          </w:p>
        </w:tc>
        <w:tc>
          <w:tcPr>
            <w:tcW w:w="2342" w:type="dxa"/>
            <w:gridSpan w:val="2"/>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非正常</w:t>
            </w:r>
          </w:p>
        </w:tc>
        <w:tc>
          <w:tcPr>
            <w:tcW w:w="2668" w:type="dxa"/>
            <w:gridSpan w:val="2"/>
            <w:vMerge w:val="continue"/>
            <w:tcBorders>
              <w:left w:val="nil"/>
              <w:bottom w:val="single" w:color="000000" w:sz="8" w:space="0"/>
              <w:right w:val="single" w:color="auto" w:sz="4" w:space="0"/>
            </w:tcBorders>
            <w:vAlign w:val="center"/>
          </w:tcPr>
          <w:p>
            <w:pPr>
              <w:pStyle w:val="25"/>
              <w:rPr>
                <w:kern w:val="2"/>
                <w:szCs w:val="21"/>
                <w:lang w:val="en-US" w:eastAsia="zh-CN"/>
              </w:rPr>
            </w:pPr>
          </w:p>
        </w:tc>
      </w:tr>
      <w:tr>
        <w:tblPrEx>
          <w:tblLayout w:type="fixed"/>
          <w:tblCellMar>
            <w:top w:w="0" w:type="dxa"/>
            <w:left w:w="108" w:type="dxa"/>
            <w:bottom w:w="0" w:type="dxa"/>
            <w:right w:w="108" w:type="dxa"/>
          </w:tblCellMar>
        </w:tblPrEx>
        <w:trPr>
          <w:trHeight w:val="322" w:hRule="atLeast"/>
          <w:tblHeader/>
          <w:jc w:val="center"/>
        </w:trPr>
        <w:tc>
          <w:tcPr>
            <w:tcW w:w="1617" w:type="dxa"/>
            <w:vMerge w:val="continue"/>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p>
        </w:tc>
        <w:tc>
          <w:tcPr>
            <w:tcW w:w="1427" w:type="dxa"/>
            <w:tcBorders>
              <w:top w:val="single" w:color="000000" w:sz="8" w:space="0"/>
              <w:left w:val="single" w:color="000000" w:sz="8" w:space="0"/>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下风向预测浓度</w:t>
            </w:r>
            <w:r>
              <w:rPr>
                <w:kern w:val="2"/>
                <w:szCs w:val="21"/>
                <w:lang w:val="en-US" w:eastAsia="zh-CN"/>
              </w:rPr>
              <w:t>(mg/m</w:t>
            </w:r>
            <w:r>
              <w:rPr>
                <w:kern w:val="2"/>
                <w:szCs w:val="21"/>
                <w:vertAlign w:val="superscript"/>
                <w:lang w:val="en-US" w:eastAsia="zh-CN"/>
              </w:rPr>
              <w:t>3</w:t>
            </w:r>
            <w:r>
              <w:rPr>
                <w:kern w:val="2"/>
                <w:szCs w:val="21"/>
                <w:lang w:val="en-US" w:eastAsia="zh-CN"/>
              </w:rPr>
              <w:t>)</w:t>
            </w:r>
          </w:p>
        </w:tc>
        <w:tc>
          <w:tcPr>
            <w:tcW w:w="1009"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占标率</w:t>
            </w:r>
          </w:p>
          <w:p>
            <w:pPr>
              <w:pStyle w:val="25"/>
              <w:rPr>
                <w:kern w:val="2"/>
                <w:szCs w:val="21"/>
                <w:lang w:val="en-US" w:eastAsia="zh-CN"/>
              </w:rPr>
            </w:pPr>
            <w:r>
              <w:rPr>
                <w:kern w:val="2"/>
                <w:szCs w:val="21"/>
                <w:lang w:val="en-US" w:eastAsia="zh-CN"/>
              </w:rPr>
              <w:t>(</w:t>
            </w:r>
            <w:r>
              <w:rPr>
                <w:rFonts w:hint="eastAsia"/>
                <w:kern w:val="2"/>
                <w:szCs w:val="21"/>
                <w:lang w:val="en-US" w:eastAsia="zh-CN"/>
              </w:rPr>
              <w:t>％</w:t>
            </w:r>
            <w:r>
              <w:rPr>
                <w:kern w:val="2"/>
                <w:szCs w:val="21"/>
                <w:lang w:val="en-US" w:eastAsia="zh-CN"/>
              </w:rPr>
              <w:t>)</w:t>
            </w:r>
          </w:p>
        </w:tc>
        <w:tc>
          <w:tcPr>
            <w:tcW w:w="1439"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下风向预测浓度</w:t>
            </w:r>
            <w:r>
              <w:rPr>
                <w:kern w:val="2"/>
                <w:szCs w:val="21"/>
                <w:lang w:val="en-US" w:eastAsia="zh-CN"/>
              </w:rPr>
              <w:t>(mg/m</w:t>
            </w:r>
            <w:r>
              <w:rPr>
                <w:kern w:val="2"/>
                <w:szCs w:val="21"/>
                <w:vertAlign w:val="superscript"/>
                <w:lang w:val="en-US" w:eastAsia="zh-CN"/>
              </w:rPr>
              <w:t>3</w:t>
            </w:r>
            <w:r>
              <w:rPr>
                <w:kern w:val="2"/>
                <w:szCs w:val="21"/>
                <w:lang w:val="en-US" w:eastAsia="zh-CN"/>
              </w:rPr>
              <w:t>)</w:t>
            </w:r>
          </w:p>
        </w:tc>
        <w:tc>
          <w:tcPr>
            <w:tcW w:w="1110"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占标率</w:t>
            </w:r>
          </w:p>
          <w:p>
            <w:pPr>
              <w:pStyle w:val="25"/>
              <w:rPr>
                <w:kern w:val="2"/>
                <w:szCs w:val="21"/>
                <w:lang w:val="en-US" w:eastAsia="zh-CN"/>
              </w:rPr>
            </w:pPr>
            <w:r>
              <w:rPr>
                <w:kern w:val="2"/>
                <w:szCs w:val="21"/>
                <w:lang w:val="en-US" w:eastAsia="zh-CN"/>
              </w:rPr>
              <w:t>(</w:t>
            </w:r>
            <w:r>
              <w:rPr>
                <w:rFonts w:hint="eastAsia"/>
                <w:kern w:val="2"/>
                <w:szCs w:val="21"/>
                <w:lang w:val="en-US" w:eastAsia="zh-CN"/>
              </w:rPr>
              <w:t>％</w:t>
            </w:r>
            <w:r>
              <w:rPr>
                <w:kern w:val="2"/>
                <w:szCs w:val="21"/>
                <w:lang w:val="en-US" w:eastAsia="zh-CN"/>
              </w:rPr>
              <w:t>)</w:t>
            </w:r>
          </w:p>
        </w:tc>
        <w:tc>
          <w:tcPr>
            <w:tcW w:w="1444"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下风向预测浓度</w:t>
            </w:r>
            <w:r>
              <w:rPr>
                <w:kern w:val="2"/>
                <w:szCs w:val="21"/>
                <w:lang w:val="en-US" w:eastAsia="zh-CN"/>
              </w:rPr>
              <w:t>(mg/m</w:t>
            </w:r>
            <w:r>
              <w:rPr>
                <w:kern w:val="2"/>
                <w:szCs w:val="21"/>
                <w:vertAlign w:val="superscript"/>
                <w:lang w:val="en-US" w:eastAsia="zh-CN"/>
              </w:rPr>
              <w:t>3</w:t>
            </w:r>
            <w:r>
              <w:rPr>
                <w:kern w:val="2"/>
                <w:szCs w:val="21"/>
                <w:lang w:val="en-US" w:eastAsia="zh-CN"/>
              </w:rPr>
              <w:t>)</w:t>
            </w:r>
          </w:p>
        </w:tc>
        <w:tc>
          <w:tcPr>
            <w:tcW w:w="1162"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占标率</w:t>
            </w:r>
          </w:p>
          <w:p>
            <w:pPr>
              <w:pStyle w:val="25"/>
              <w:rPr>
                <w:kern w:val="2"/>
                <w:szCs w:val="21"/>
                <w:lang w:val="en-US" w:eastAsia="zh-CN"/>
              </w:rPr>
            </w:pPr>
            <w:r>
              <w:rPr>
                <w:kern w:val="2"/>
                <w:szCs w:val="21"/>
                <w:lang w:val="en-US" w:eastAsia="zh-CN"/>
              </w:rPr>
              <w:t>(</w:t>
            </w:r>
            <w:r>
              <w:rPr>
                <w:rFonts w:hint="eastAsia"/>
                <w:kern w:val="2"/>
                <w:szCs w:val="21"/>
                <w:lang w:val="en-US" w:eastAsia="zh-CN"/>
              </w:rPr>
              <w:t>％</w:t>
            </w:r>
            <w:r>
              <w:rPr>
                <w:kern w:val="2"/>
                <w:szCs w:val="21"/>
                <w:lang w:val="en-US" w:eastAsia="zh-CN"/>
              </w:rPr>
              <w:t>)</w:t>
            </w:r>
          </w:p>
        </w:tc>
        <w:tc>
          <w:tcPr>
            <w:tcW w:w="1394"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下风向预测浓度</w:t>
            </w:r>
            <w:r>
              <w:rPr>
                <w:kern w:val="2"/>
                <w:szCs w:val="21"/>
                <w:lang w:val="en-US" w:eastAsia="zh-CN"/>
              </w:rPr>
              <w:t>(mg/m</w:t>
            </w:r>
            <w:r>
              <w:rPr>
                <w:kern w:val="2"/>
                <w:szCs w:val="21"/>
                <w:vertAlign w:val="superscript"/>
                <w:lang w:val="en-US" w:eastAsia="zh-CN"/>
              </w:rPr>
              <w:t>3</w:t>
            </w:r>
            <w:r>
              <w:rPr>
                <w:kern w:val="2"/>
                <w:szCs w:val="21"/>
                <w:lang w:val="en-US" w:eastAsia="zh-CN"/>
              </w:rPr>
              <w:t>)</w:t>
            </w:r>
          </w:p>
        </w:tc>
        <w:tc>
          <w:tcPr>
            <w:tcW w:w="948"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占标率</w:t>
            </w:r>
          </w:p>
          <w:p>
            <w:pPr>
              <w:pStyle w:val="25"/>
              <w:rPr>
                <w:kern w:val="2"/>
                <w:szCs w:val="21"/>
                <w:lang w:val="en-US" w:eastAsia="zh-CN"/>
              </w:rPr>
            </w:pPr>
            <w:r>
              <w:rPr>
                <w:kern w:val="2"/>
                <w:szCs w:val="21"/>
                <w:lang w:val="en-US" w:eastAsia="zh-CN"/>
              </w:rPr>
              <w:t>(</w:t>
            </w:r>
            <w:r>
              <w:rPr>
                <w:rFonts w:hint="eastAsia"/>
                <w:kern w:val="2"/>
                <w:szCs w:val="21"/>
                <w:lang w:val="en-US" w:eastAsia="zh-CN"/>
              </w:rPr>
              <w:t>％</w:t>
            </w:r>
            <w:r>
              <w:rPr>
                <w:kern w:val="2"/>
                <w:szCs w:val="21"/>
                <w:lang w:val="en-US" w:eastAsia="zh-CN"/>
              </w:rPr>
              <w:t>)</w:t>
            </w:r>
          </w:p>
        </w:tc>
        <w:tc>
          <w:tcPr>
            <w:tcW w:w="1425"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下风向预测浓度</w:t>
            </w:r>
            <w:r>
              <w:rPr>
                <w:kern w:val="2"/>
                <w:szCs w:val="21"/>
                <w:lang w:val="en-US" w:eastAsia="zh-CN"/>
              </w:rPr>
              <w:t>(mg/m</w:t>
            </w:r>
            <w:r>
              <w:rPr>
                <w:kern w:val="2"/>
                <w:szCs w:val="21"/>
                <w:vertAlign w:val="superscript"/>
                <w:lang w:val="en-US" w:eastAsia="zh-CN"/>
              </w:rPr>
              <w:t>3</w:t>
            </w:r>
            <w:r>
              <w:rPr>
                <w:kern w:val="2"/>
                <w:szCs w:val="21"/>
                <w:lang w:val="en-US" w:eastAsia="zh-CN"/>
              </w:rPr>
              <w:t>)</w:t>
            </w:r>
          </w:p>
        </w:tc>
        <w:tc>
          <w:tcPr>
            <w:tcW w:w="1243"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占标率</w:t>
            </w:r>
          </w:p>
          <w:p>
            <w:pPr>
              <w:pStyle w:val="25"/>
              <w:rPr>
                <w:kern w:val="2"/>
                <w:szCs w:val="21"/>
                <w:lang w:val="en-US" w:eastAsia="zh-CN"/>
              </w:rPr>
            </w:pPr>
            <w:r>
              <w:rPr>
                <w:kern w:val="2"/>
                <w:szCs w:val="21"/>
                <w:lang w:val="en-US" w:eastAsia="zh-CN"/>
              </w:rPr>
              <w:t>(</w:t>
            </w:r>
            <w:r>
              <w:rPr>
                <w:rFonts w:hint="eastAsia"/>
                <w:kern w:val="2"/>
                <w:szCs w:val="21"/>
                <w:lang w:val="en-US" w:eastAsia="zh-CN"/>
              </w:rPr>
              <w:t>％</w:t>
            </w:r>
            <w:r>
              <w:rPr>
                <w:kern w:val="2"/>
                <w:szCs w:val="21"/>
                <w:lang w:val="en-US" w:eastAsia="zh-CN"/>
              </w:rPr>
              <w:t>)</w:t>
            </w:r>
          </w:p>
        </w:tc>
      </w:tr>
      <w:tr>
        <w:tblPrEx>
          <w:tblLayout w:type="fixed"/>
          <w:tblCellMar>
            <w:top w:w="0" w:type="dxa"/>
            <w:left w:w="108" w:type="dxa"/>
            <w:bottom w:w="0" w:type="dxa"/>
            <w:right w:w="108" w:type="dxa"/>
          </w:tblCellMar>
        </w:tblPrEx>
        <w:trPr>
          <w:trHeight w:val="164"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kern w:val="2"/>
                <w:szCs w:val="21"/>
                <w:lang w:val="en-US" w:eastAsia="zh-CN"/>
              </w:rPr>
              <w:t>10</w:t>
            </w:r>
          </w:p>
        </w:tc>
        <w:tc>
          <w:tcPr>
            <w:tcW w:w="1427" w:type="dxa"/>
            <w:tcBorders>
              <w:top w:val="single" w:color="000000" w:sz="8" w:space="0"/>
              <w:left w:val="single" w:color="000000" w:sz="8"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w:t>
            </w:r>
          </w:p>
        </w:tc>
        <w:tc>
          <w:tcPr>
            <w:tcW w:w="1009"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w:t>
            </w:r>
          </w:p>
        </w:tc>
        <w:tc>
          <w:tcPr>
            <w:tcW w:w="1439"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w:t>
            </w:r>
          </w:p>
        </w:tc>
        <w:tc>
          <w:tcPr>
            <w:tcW w:w="1110"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w:t>
            </w:r>
          </w:p>
        </w:tc>
        <w:tc>
          <w:tcPr>
            <w:tcW w:w="1444"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w:t>
            </w:r>
          </w:p>
        </w:tc>
        <w:tc>
          <w:tcPr>
            <w:tcW w:w="1162"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w:t>
            </w:r>
          </w:p>
        </w:tc>
        <w:tc>
          <w:tcPr>
            <w:tcW w:w="1394"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w:t>
            </w:r>
          </w:p>
        </w:tc>
        <w:tc>
          <w:tcPr>
            <w:tcW w:w="948"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w:t>
            </w:r>
          </w:p>
        </w:tc>
        <w:tc>
          <w:tcPr>
            <w:tcW w:w="1425"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0.0004633</w:t>
            </w:r>
          </w:p>
        </w:tc>
        <w:tc>
          <w:tcPr>
            <w:tcW w:w="1243"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0.23</w:t>
            </w:r>
          </w:p>
        </w:tc>
      </w:tr>
      <w:tr>
        <w:tblPrEx>
          <w:tblLayout w:type="fixed"/>
          <w:tblCellMar>
            <w:top w:w="0" w:type="dxa"/>
            <w:left w:w="108" w:type="dxa"/>
            <w:bottom w:w="0" w:type="dxa"/>
            <w:right w:w="108" w:type="dxa"/>
          </w:tblCellMar>
        </w:tblPrEx>
        <w:trPr>
          <w:trHeight w:val="339"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kern w:val="2"/>
                <w:szCs w:val="21"/>
                <w:lang w:val="en-US" w:eastAsia="zh-CN"/>
              </w:rPr>
              <w:t>100</w:t>
            </w:r>
          </w:p>
        </w:tc>
        <w:tc>
          <w:tcPr>
            <w:tcW w:w="1427"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8.74E-05</w:t>
            </w:r>
          </w:p>
        </w:tc>
        <w:tc>
          <w:tcPr>
            <w:tcW w:w="100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0.02</w:t>
            </w:r>
          </w:p>
        </w:tc>
        <w:tc>
          <w:tcPr>
            <w:tcW w:w="143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0.0003564</w:t>
            </w:r>
          </w:p>
        </w:tc>
        <w:tc>
          <w:tcPr>
            <w:tcW w:w="1110"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0.08</w:t>
            </w:r>
          </w:p>
        </w:tc>
        <w:tc>
          <w:tcPr>
            <w:tcW w:w="144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8.74E-05</w:t>
            </w:r>
          </w:p>
        </w:tc>
        <w:tc>
          <w:tcPr>
            <w:tcW w:w="1162"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0.01</w:t>
            </w:r>
          </w:p>
        </w:tc>
        <w:tc>
          <w:tcPr>
            <w:tcW w:w="139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0.0004751</w:t>
            </w:r>
          </w:p>
        </w:tc>
        <w:tc>
          <w:tcPr>
            <w:tcW w:w="948"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0.08</w:t>
            </w:r>
          </w:p>
        </w:tc>
        <w:tc>
          <w:tcPr>
            <w:tcW w:w="1425"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0.83</w:t>
            </w:r>
          </w:p>
        </w:tc>
        <w:tc>
          <w:tcPr>
            <w:tcW w:w="1243"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0.001655</w:t>
            </w:r>
          </w:p>
        </w:tc>
      </w:tr>
      <w:tr>
        <w:tblPrEx>
          <w:tblLayout w:type="fixed"/>
          <w:tblCellMar>
            <w:top w:w="0" w:type="dxa"/>
            <w:left w:w="108" w:type="dxa"/>
            <w:bottom w:w="0" w:type="dxa"/>
            <w:right w:w="108" w:type="dxa"/>
          </w:tblCellMar>
        </w:tblPrEx>
        <w:trPr>
          <w:trHeight w:val="339"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kern w:val="2"/>
                <w:szCs w:val="21"/>
                <w:lang w:val="en-US" w:eastAsia="zh-CN"/>
              </w:rPr>
              <w:t>200</w:t>
            </w:r>
          </w:p>
        </w:tc>
        <w:tc>
          <w:tcPr>
            <w:tcW w:w="1427"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0.001804</w:t>
            </w:r>
          </w:p>
        </w:tc>
        <w:tc>
          <w:tcPr>
            <w:tcW w:w="100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0.4</w:t>
            </w:r>
          </w:p>
        </w:tc>
        <w:tc>
          <w:tcPr>
            <w:tcW w:w="143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0.008633</w:t>
            </w:r>
          </w:p>
        </w:tc>
        <w:tc>
          <w:tcPr>
            <w:tcW w:w="1110"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1.92</w:t>
            </w:r>
          </w:p>
        </w:tc>
        <w:tc>
          <w:tcPr>
            <w:tcW w:w="144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0.001804</w:t>
            </w:r>
          </w:p>
        </w:tc>
        <w:tc>
          <w:tcPr>
            <w:tcW w:w="1162"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0.30</w:t>
            </w:r>
          </w:p>
        </w:tc>
        <w:tc>
          <w:tcPr>
            <w:tcW w:w="139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0.01151</w:t>
            </w:r>
          </w:p>
        </w:tc>
        <w:tc>
          <w:tcPr>
            <w:tcW w:w="948"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1.92</w:t>
            </w:r>
          </w:p>
        </w:tc>
        <w:tc>
          <w:tcPr>
            <w:tcW w:w="1425"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0.91</w:t>
            </w:r>
          </w:p>
        </w:tc>
        <w:tc>
          <w:tcPr>
            <w:tcW w:w="1243"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0.001826</w:t>
            </w:r>
          </w:p>
        </w:tc>
      </w:tr>
      <w:tr>
        <w:tblPrEx>
          <w:tblLayout w:type="fixed"/>
          <w:tblCellMar>
            <w:top w:w="0" w:type="dxa"/>
            <w:left w:w="108" w:type="dxa"/>
            <w:bottom w:w="0" w:type="dxa"/>
            <w:right w:w="108" w:type="dxa"/>
          </w:tblCellMar>
        </w:tblPrEx>
        <w:trPr>
          <w:trHeight w:val="339"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kern w:val="2"/>
                <w:szCs w:val="21"/>
                <w:lang w:val="en-US" w:eastAsia="zh-CN"/>
              </w:rPr>
              <w:t>300</w:t>
            </w:r>
          </w:p>
        </w:tc>
        <w:tc>
          <w:tcPr>
            <w:tcW w:w="1427"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0.002265</w:t>
            </w:r>
          </w:p>
        </w:tc>
        <w:tc>
          <w:tcPr>
            <w:tcW w:w="100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0.5</w:t>
            </w:r>
          </w:p>
        </w:tc>
        <w:tc>
          <w:tcPr>
            <w:tcW w:w="143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0.01099</w:t>
            </w:r>
          </w:p>
        </w:tc>
        <w:tc>
          <w:tcPr>
            <w:tcW w:w="1110"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2.44</w:t>
            </w:r>
          </w:p>
        </w:tc>
        <w:tc>
          <w:tcPr>
            <w:tcW w:w="144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0.002265</w:t>
            </w:r>
          </w:p>
        </w:tc>
        <w:tc>
          <w:tcPr>
            <w:tcW w:w="1162"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0.38</w:t>
            </w:r>
          </w:p>
        </w:tc>
        <w:tc>
          <w:tcPr>
            <w:tcW w:w="139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0.01464</w:t>
            </w:r>
          </w:p>
        </w:tc>
        <w:tc>
          <w:tcPr>
            <w:tcW w:w="948"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2.44</w:t>
            </w:r>
          </w:p>
        </w:tc>
        <w:tc>
          <w:tcPr>
            <w:tcW w:w="1425"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0.92</w:t>
            </w:r>
          </w:p>
        </w:tc>
        <w:tc>
          <w:tcPr>
            <w:tcW w:w="1243"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0.001846</w:t>
            </w:r>
          </w:p>
        </w:tc>
      </w:tr>
      <w:tr>
        <w:tblPrEx>
          <w:tblLayout w:type="fixed"/>
          <w:tblCellMar>
            <w:top w:w="0" w:type="dxa"/>
            <w:left w:w="108" w:type="dxa"/>
            <w:bottom w:w="0" w:type="dxa"/>
            <w:right w:w="108" w:type="dxa"/>
          </w:tblCellMar>
        </w:tblPrEx>
        <w:trPr>
          <w:trHeight w:val="339"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kern w:val="2"/>
                <w:szCs w:val="21"/>
                <w:lang w:val="en-US" w:eastAsia="zh-CN"/>
              </w:rPr>
              <w:t>400</w:t>
            </w:r>
          </w:p>
        </w:tc>
        <w:tc>
          <w:tcPr>
            <w:tcW w:w="1427"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0.00221</w:t>
            </w:r>
          </w:p>
        </w:tc>
        <w:tc>
          <w:tcPr>
            <w:tcW w:w="100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0.49</w:t>
            </w:r>
          </w:p>
        </w:tc>
        <w:tc>
          <w:tcPr>
            <w:tcW w:w="143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0.01066</w:t>
            </w:r>
          </w:p>
        </w:tc>
        <w:tc>
          <w:tcPr>
            <w:tcW w:w="1110"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2.37</w:t>
            </w:r>
          </w:p>
        </w:tc>
        <w:tc>
          <w:tcPr>
            <w:tcW w:w="144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0.00221</w:t>
            </w:r>
          </w:p>
        </w:tc>
        <w:tc>
          <w:tcPr>
            <w:tcW w:w="1162"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0.37</w:t>
            </w:r>
          </w:p>
        </w:tc>
        <w:tc>
          <w:tcPr>
            <w:tcW w:w="139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0.0142</w:t>
            </w:r>
          </w:p>
        </w:tc>
        <w:tc>
          <w:tcPr>
            <w:tcW w:w="948"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2.37</w:t>
            </w:r>
          </w:p>
        </w:tc>
        <w:tc>
          <w:tcPr>
            <w:tcW w:w="1425"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0.86</w:t>
            </w:r>
          </w:p>
        </w:tc>
        <w:tc>
          <w:tcPr>
            <w:tcW w:w="1243"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0.001715</w:t>
            </w:r>
          </w:p>
        </w:tc>
      </w:tr>
      <w:tr>
        <w:tblPrEx>
          <w:tblLayout w:type="fixed"/>
          <w:tblCellMar>
            <w:top w:w="0" w:type="dxa"/>
            <w:left w:w="108" w:type="dxa"/>
            <w:bottom w:w="0" w:type="dxa"/>
            <w:right w:w="108" w:type="dxa"/>
          </w:tblCellMar>
        </w:tblPrEx>
        <w:trPr>
          <w:trHeight w:val="339"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kern w:val="2"/>
                <w:szCs w:val="21"/>
                <w:lang w:val="en-US" w:eastAsia="zh-CN"/>
              </w:rPr>
              <w:t>600</w:t>
            </w:r>
          </w:p>
        </w:tc>
        <w:tc>
          <w:tcPr>
            <w:tcW w:w="1427"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0.001941</w:t>
            </w:r>
          </w:p>
        </w:tc>
        <w:tc>
          <w:tcPr>
            <w:tcW w:w="100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0.43</w:t>
            </w:r>
          </w:p>
        </w:tc>
        <w:tc>
          <w:tcPr>
            <w:tcW w:w="143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0.0094</w:t>
            </w:r>
          </w:p>
        </w:tc>
        <w:tc>
          <w:tcPr>
            <w:tcW w:w="1110"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2.09</w:t>
            </w:r>
          </w:p>
        </w:tc>
        <w:tc>
          <w:tcPr>
            <w:tcW w:w="144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0.001941</w:t>
            </w:r>
          </w:p>
        </w:tc>
        <w:tc>
          <w:tcPr>
            <w:tcW w:w="1162"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0.32</w:t>
            </w:r>
          </w:p>
        </w:tc>
        <w:tc>
          <w:tcPr>
            <w:tcW w:w="139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0.01253</w:t>
            </w:r>
          </w:p>
        </w:tc>
        <w:tc>
          <w:tcPr>
            <w:tcW w:w="948"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2.09</w:t>
            </w:r>
          </w:p>
        </w:tc>
        <w:tc>
          <w:tcPr>
            <w:tcW w:w="1425"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0.88</w:t>
            </w:r>
          </w:p>
        </w:tc>
        <w:tc>
          <w:tcPr>
            <w:tcW w:w="1243"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0.001752</w:t>
            </w:r>
          </w:p>
        </w:tc>
      </w:tr>
      <w:tr>
        <w:tblPrEx>
          <w:tblLayout w:type="fixed"/>
          <w:tblCellMar>
            <w:top w:w="0" w:type="dxa"/>
            <w:left w:w="108" w:type="dxa"/>
            <w:bottom w:w="0" w:type="dxa"/>
            <w:right w:w="108" w:type="dxa"/>
          </w:tblCellMar>
        </w:tblPrEx>
        <w:trPr>
          <w:trHeight w:val="339"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kern w:val="2"/>
                <w:szCs w:val="21"/>
                <w:lang w:val="en-US" w:eastAsia="zh-CN"/>
              </w:rPr>
              <w:t>800</w:t>
            </w:r>
          </w:p>
        </w:tc>
        <w:tc>
          <w:tcPr>
            <w:tcW w:w="1427"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0.001809</w:t>
            </w:r>
          </w:p>
        </w:tc>
        <w:tc>
          <w:tcPr>
            <w:tcW w:w="100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0.4</w:t>
            </w:r>
          </w:p>
        </w:tc>
        <w:tc>
          <w:tcPr>
            <w:tcW w:w="143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0.008747</w:t>
            </w:r>
          </w:p>
        </w:tc>
        <w:tc>
          <w:tcPr>
            <w:tcW w:w="1110"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1.94</w:t>
            </w:r>
          </w:p>
        </w:tc>
        <w:tc>
          <w:tcPr>
            <w:tcW w:w="144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0.001809</w:t>
            </w:r>
          </w:p>
        </w:tc>
        <w:tc>
          <w:tcPr>
            <w:tcW w:w="1162"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0.30</w:t>
            </w:r>
          </w:p>
        </w:tc>
        <w:tc>
          <w:tcPr>
            <w:tcW w:w="139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0.01166</w:t>
            </w:r>
          </w:p>
        </w:tc>
        <w:tc>
          <w:tcPr>
            <w:tcW w:w="948"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1.94</w:t>
            </w:r>
          </w:p>
        </w:tc>
        <w:tc>
          <w:tcPr>
            <w:tcW w:w="1425"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0.74</w:t>
            </w:r>
          </w:p>
        </w:tc>
        <w:tc>
          <w:tcPr>
            <w:tcW w:w="1243"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0.001484</w:t>
            </w:r>
          </w:p>
        </w:tc>
      </w:tr>
      <w:tr>
        <w:tblPrEx>
          <w:tblLayout w:type="fixed"/>
          <w:tblCellMar>
            <w:top w:w="0" w:type="dxa"/>
            <w:left w:w="108" w:type="dxa"/>
            <w:bottom w:w="0" w:type="dxa"/>
            <w:right w:w="108" w:type="dxa"/>
          </w:tblCellMar>
        </w:tblPrEx>
        <w:trPr>
          <w:trHeight w:val="339"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kern w:val="2"/>
                <w:szCs w:val="21"/>
                <w:lang w:val="en-US" w:eastAsia="zh-CN"/>
              </w:rPr>
              <w:t>1000</w:t>
            </w:r>
          </w:p>
        </w:tc>
        <w:tc>
          <w:tcPr>
            <w:tcW w:w="1427"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0.001673</w:t>
            </w:r>
          </w:p>
        </w:tc>
        <w:tc>
          <w:tcPr>
            <w:tcW w:w="100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0.37</w:t>
            </w:r>
          </w:p>
        </w:tc>
        <w:tc>
          <w:tcPr>
            <w:tcW w:w="143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0.008122</w:t>
            </w:r>
          </w:p>
        </w:tc>
        <w:tc>
          <w:tcPr>
            <w:tcW w:w="1110"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1.8</w:t>
            </w:r>
          </w:p>
        </w:tc>
        <w:tc>
          <w:tcPr>
            <w:tcW w:w="144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0.001673</w:t>
            </w:r>
          </w:p>
        </w:tc>
        <w:tc>
          <w:tcPr>
            <w:tcW w:w="1162"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0.28</w:t>
            </w:r>
          </w:p>
        </w:tc>
        <w:tc>
          <w:tcPr>
            <w:tcW w:w="139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0.01083</w:t>
            </w:r>
          </w:p>
        </w:tc>
        <w:tc>
          <w:tcPr>
            <w:tcW w:w="948"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1.81</w:t>
            </w:r>
          </w:p>
        </w:tc>
        <w:tc>
          <w:tcPr>
            <w:tcW w:w="1425"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0.61</w:t>
            </w:r>
          </w:p>
        </w:tc>
        <w:tc>
          <w:tcPr>
            <w:tcW w:w="1243"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0.001217</w:t>
            </w:r>
          </w:p>
        </w:tc>
      </w:tr>
      <w:tr>
        <w:tblPrEx>
          <w:tblLayout w:type="fixed"/>
          <w:tblCellMar>
            <w:top w:w="0" w:type="dxa"/>
            <w:left w:w="108" w:type="dxa"/>
            <w:bottom w:w="0" w:type="dxa"/>
            <w:right w:w="108" w:type="dxa"/>
          </w:tblCellMar>
        </w:tblPrEx>
        <w:trPr>
          <w:trHeight w:val="339"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kern w:val="2"/>
                <w:szCs w:val="21"/>
                <w:lang w:val="en-US" w:eastAsia="zh-CN"/>
              </w:rPr>
              <w:t>1500</w:t>
            </w:r>
          </w:p>
        </w:tc>
        <w:tc>
          <w:tcPr>
            <w:tcW w:w="1427"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0.001331</w:t>
            </w:r>
          </w:p>
        </w:tc>
        <w:tc>
          <w:tcPr>
            <w:tcW w:w="100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0.3</w:t>
            </w:r>
          </w:p>
        </w:tc>
        <w:tc>
          <w:tcPr>
            <w:tcW w:w="143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0.00644</w:t>
            </w:r>
          </w:p>
        </w:tc>
        <w:tc>
          <w:tcPr>
            <w:tcW w:w="1110"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1.43</w:t>
            </w:r>
          </w:p>
        </w:tc>
        <w:tc>
          <w:tcPr>
            <w:tcW w:w="144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0.001331</w:t>
            </w:r>
          </w:p>
        </w:tc>
        <w:tc>
          <w:tcPr>
            <w:tcW w:w="1162"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0.22</w:t>
            </w:r>
          </w:p>
        </w:tc>
        <w:tc>
          <w:tcPr>
            <w:tcW w:w="139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0.008584</w:t>
            </w:r>
          </w:p>
        </w:tc>
        <w:tc>
          <w:tcPr>
            <w:tcW w:w="948"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1.4.3</w:t>
            </w:r>
          </w:p>
        </w:tc>
        <w:tc>
          <w:tcPr>
            <w:tcW w:w="1425"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0.39</w:t>
            </w:r>
          </w:p>
        </w:tc>
        <w:tc>
          <w:tcPr>
            <w:tcW w:w="1243"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0.0007759</w:t>
            </w:r>
          </w:p>
        </w:tc>
      </w:tr>
      <w:tr>
        <w:tblPrEx>
          <w:tblLayout w:type="fixed"/>
          <w:tblCellMar>
            <w:top w:w="0" w:type="dxa"/>
            <w:left w:w="108" w:type="dxa"/>
            <w:bottom w:w="0" w:type="dxa"/>
            <w:right w:w="108" w:type="dxa"/>
          </w:tblCellMar>
        </w:tblPrEx>
        <w:trPr>
          <w:trHeight w:val="397"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kern w:val="2"/>
                <w:szCs w:val="21"/>
                <w:lang w:val="en-US" w:eastAsia="zh-CN"/>
              </w:rPr>
              <w:t>2000</w:t>
            </w:r>
          </w:p>
        </w:tc>
        <w:tc>
          <w:tcPr>
            <w:tcW w:w="1427"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0.001105</w:t>
            </w:r>
          </w:p>
        </w:tc>
        <w:tc>
          <w:tcPr>
            <w:tcW w:w="100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0.25</w:t>
            </w:r>
          </w:p>
        </w:tc>
        <w:tc>
          <w:tcPr>
            <w:tcW w:w="143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0.005357</w:t>
            </w:r>
          </w:p>
        </w:tc>
        <w:tc>
          <w:tcPr>
            <w:tcW w:w="1110"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1.19</w:t>
            </w:r>
          </w:p>
        </w:tc>
        <w:tc>
          <w:tcPr>
            <w:tcW w:w="144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0.001105</w:t>
            </w:r>
          </w:p>
        </w:tc>
        <w:tc>
          <w:tcPr>
            <w:tcW w:w="1162"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0.18</w:t>
            </w:r>
          </w:p>
        </w:tc>
        <w:tc>
          <w:tcPr>
            <w:tcW w:w="139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0.00714</w:t>
            </w:r>
          </w:p>
        </w:tc>
        <w:tc>
          <w:tcPr>
            <w:tcW w:w="948"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1.19</w:t>
            </w:r>
          </w:p>
        </w:tc>
        <w:tc>
          <w:tcPr>
            <w:tcW w:w="1425"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0.27</w:t>
            </w:r>
          </w:p>
        </w:tc>
        <w:tc>
          <w:tcPr>
            <w:tcW w:w="1243"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0.0005376</w:t>
            </w:r>
          </w:p>
        </w:tc>
      </w:tr>
      <w:tr>
        <w:tblPrEx>
          <w:tblLayout w:type="fixed"/>
          <w:tblCellMar>
            <w:top w:w="0" w:type="dxa"/>
            <w:left w:w="108" w:type="dxa"/>
            <w:bottom w:w="0" w:type="dxa"/>
            <w:right w:w="108" w:type="dxa"/>
          </w:tblCellMar>
        </w:tblPrEx>
        <w:trPr>
          <w:trHeight w:val="397"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kern w:val="2"/>
                <w:szCs w:val="21"/>
                <w:lang w:val="en-US" w:eastAsia="zh-CN"/>
              </w:rPr>
              <w:t>2500</w:t>
            </w:r>
          </w:p>
        </w:tc>
        <w:tc>
          <w:tcPr>
            <w:tcW w:w="1427"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0.001111</w:t>
            </w:r>
          </w:p>
        </w:tc>
        <w:tc>
          <w:tcPr>
            <w:tcW w:w="100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0.25</w:t>
            </w:r>
          </w:p>
        </w:tc>
        <w:tc>
          <w:tcPr>
            <w:tcW w:w="143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0.005374</w:t>
            </w:r>
          </w:p>
        </w:tc>
        <w:tc>
          <w:tcPr>
            <w:tcW w:w="1110"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1.19</w:t>
            </w:r>
          </w:p>
        </w:tc>
        <w:tc>
          <w:tcPr>
            <w:tcW w:w="144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0.001111</w:t>
            </w:r>
          </w:p>
        </w:tc>
        <w:tc>
          <w:tcPr>
            <w:tcW w:w="1162"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0.19</w:t>
            </w:r>
          </w:p>
        </w:tc>
        <w:tc>
          <w:tcPr>
            <w:tcW w:w="139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0.007162</w:t>
            </w:r>
          </w:p>
        </w:tc>
        <w:tc>
          <w:tcPr>
            <w:tcW w:w="948"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1.19</w:t>
            </w:r>
          </w:p>
        </w:tc>
        <w:tc>
          <w:tcPr>
            <w:tcW w:w="1425"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0.2</w:t>
            </w:r>
          </w:p>
        </w:tc>
        <w:tc>
          <w:tcPr>
            <w:tcW w:w="1243"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0.0004034</w:t>
            </w:r>
          </w:p>
        </w:tc>
      </w:tr>
      <w:tr>
        <w:tblPrEx>
          <w:tblLayout w:type="fixed"/>
          <w:tblCellMar>
            <w:top w:w="0" w:type="dxa"/>
            <w:left w:w="108" w:type="dxa"/>
            <w:bottom w:w="0" w:type="dxa"/>
            <w:right w:w="108" w:type="dxa"/>
          </w:tblCellMar>
        </w:tblPrEx>
        <w:trPr>
          <w:trHeight w:val="397"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rFonts w:hint="eastAsia"/>
                <w:kern w:val="2"/>
                <w:szCs w:val="21"/>
                <w:lang w:val="en-US" w:eastAsia="zh-CN"/>
              </w:rPr>
              <w:t>下风向</w:t>
            </w:r>
          </w:p>
          <w:p>
            <w:pPr>
              <w:pStyle w:val="25"/>
              <w:rPr>
                <w:kern w:val="2"/>
                <w:szCs w:val="21"/>
                <w:lang w:val="en-US" w:eastAsia="zh-CN"/>
              </w:rPr>
            </w:pPr>
            <w:r>
              <w:rPr>
                <w:rFonts w:hint="eastAsia"/>
                <w:kern w:val="2"/>
                <w:szCs w:val="21"/>
                <w:lang w:val="en-US" w:eastAsia="zh-CN"/>
              </w:rPr>
              <w:t>最大浓度</w:t>
            </w:r>
          </w:p>
        </w:tc>
        <w:tc>
          <w:tcPr>
            <w:tcW w:w="1427"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0.002267</w:t>
            </w:r>
          </w:p>
        </w:tc>
        <w:tc>
          <w:tcPr>
            <w:tcW w:w="100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0.5</w:t>
            </w:r>
          </w:p>
        </w:tc>
        <w:tc>
          <w:tcPr>
            <w:tcW w:w="1439"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0.01101</w:t>
            </w:r>
          </w:p>
        </w:tc>
        <w:tc>
          <w:tcPr>
            <w:tcW w:w="1110"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2.45</w:t>
            </w:r>
          </w:p>
        </w:tc>
        <w:tc>
          <w:tcPr>
            <w:tcW w:w="144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0.002267</w:t>
            </w:r>
          </w:p>
        </w:tc>
        <w:tc>
          <w:tcPr>
            <w:tcW w:w="1162"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0.38</w:t>
            </w:r>
          </w:p>
        </w:tc>
        <w:tc>
          <w:tcPr>
            <w:tcW w:w="1394"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0.01468</w:t>
            </w:r>
          </w:p>
        </w:tc>
        <w:tc>
          <w:tcPr>
            <w:tcW w:w="948" w:type="dxa"/>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2.45</w:t>
            </w:r>
          </w:p>
        </w:tc>
        <w:tc>
          <w:tcPr>
            <w:tcW w:w="1425"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0.001839</w:t>
            </w:r>
          </w:p>
        </w:tc>
        <w:tc>
          <w:tcPr>
            <w:tcW w:w="1243" w:type="dxa"/>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0.92</w:t>
            </w:r>
          </w:p>
        </w:tc>
      </w:tr>
      <w:tr>
        <w:tblPrEx>
          <w:tblLayout w:type="fixed"/>
          <w:tblCellMar>
            <w:top w:w="0" w:type="dxa"/>
            <w:left w:w="108" w:type="dxa"/>
            <w:bottom w:w="0" w:type="dxa"/>
            <w:right w:w="108" w:type="dxa"/>
          </w:tblCellMar>
        </w:tblPrEx>
        <w:trPr>
          <w:trHeight w:val="233"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rFonts w:hint="eastAsia"/>
                <w:kern w:val="2"/>
                <w:szCs w:val="21"/>
                <w:lang w:val="en-US" w:eastAsia="zh-CN"/>
              </w:rPr>
              <w:t>对应距离</w:t>
            </w:r>
            <w:r>
              <w:rPr>
                <w:kern w:val="2"/>
                <w:szCs w:val="21"/>
                <w:lang w:val="en-US" w:eastAsia="zh-CN"/>
              </w:rPr>
              <w:t>(m)</w:t>
            </w:r>
          </w:p>
        </w:tc>
        <w:tc>
          <w:tcPr>
            <w:tcW w:w="2436" w:type="dxa"/>
            <w:gridSpan w:val="2"/>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312</w:t>
            </w:r>
          </w:p>
        </w:tc>
        <w:tc>
          <w:tcPr>
            <w:tcW w:w="2549" w:type="dxa"/>
            <w:gridSpan w:val="2"/>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312</w:t>
            </w:r>
          </w:p>
        </w:tc>
        <w:tc>
          <w:tcPr>
            <w:tcW w:w="2606" w:type="dxa"/>
            <w:gridSpan w:val="2"/>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312</w:t>
            </w:r>
          </w:p>
        </w:tc>
        <w:tc>
          <w:tcPr>
            <w:tcW w:w="2342" w:type="dxa"/>
            <w:gridSpan w:val="2"/>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312</w:t>
            </w:r>
          </w:p>
        </w:tc>
        <w:tc>
          <w:tcPr>
            <w:tcW w:w="2668" w:type="dxa"/>
            <w:gridSpan w:val="2"/>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300</w:t>
            </w:r>
          </w:p>
        </w:tc>
      </w:tr>
      <w:tr>
        <w:tblPrEx>
          <w:tblLayout w:type="fixed"/>
          <w:tblCellMar>
            <w:top w:w="0" w:type="dxa"/>
            <w:left w:w="108" w:type="dxa"/>
            <w:bottom w:w="0" w:type="dxa"/>
            <w:right w:w="108" w:type="dxa"/>
          </w:tblCellMar>
        </w:tblPrEx>
        <w:trPr>
          <w:trHeight w:val="280" w:hRule="atLeast"/>
          <w:jc w:val="center"/>
        </w:trPr>
        <w:tc>
          <w:tcPr>
            <w:tcW w:w="1617" w:type="dxa"/>
            <w:tcBorders>
              <w:top w:val="single" w:color="000000" w:sz="8" w:space="0"/>
              <w:left w:val="single" w:color="000000" w:sz="8" w:space="0"/>
              <w:bottom w:val="single" w:color="000000" w:sz="8" w:space="0"/>
              <w:right w:val="single" w:color="000000" w:sz="8" w:space="0"/>
            </w:tcBorders>
            <w:vAlign w:val="center"/>
          </w:tcPr>
          <w:p>
            <w:pPr>
              <w:pStyle w:val="25"/>
              <w:rPr>
                <w:kern w:val="2"/>
                <w:szCs w:val="21"/>
                <w:lang w:val="en-US" w:eastAsia="zh-CN"/>
              </w:rPr>
            </w:pPr>
            <w:r>
              <w:rPr>
                <w:rFonts w:hint="eastAsia"/>
                <w:kern w:val="2"/>
                <w:szCs w:val="21"/>
                <w:lang w:val="en-US" w:eastAsia="zh-CN"/>
              </w:rPr>
              <w:t>标准</w:t>
            </w:r>
          </w:p>
        </w:tc>
        <w:tc>
          <w:tcPr>
            <w:tcW w:w="4985" w:type="dxa"/>
            <w:gridSpan w:val="4"/>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0.45</w:t>
            </w:r>
          </w:p>
        </w:tc>
        <w:tc>
          <w:tcPr>
            <w:tcW w:w="4948" w:type="dxa"/>
            <w:gridSpan w:val="4"/>
            <w:tcBorders>
              <w:top w:val="single" w:color="000000" w:sz="8" w:space="0"/>
              <w:left w:val="nil"/>
              <w:bottom w:val="single" w:color="000000" w:sz="8" w:space="0"/>
              <w:right w:val="single" w:color="auto" w:sz="4" w:space="0"/>
            </w:tcBorders>
            <w:vAlign w:val="center"/>
          </w:tcPr>
          <w:p>
            <w:pPr>
              <w:pStyle w:val="25"/>
              <w:rPr>
                <w:kern w:val="2"/>
                <w:szCs w:val="21"/>
                <w:lang w:val="en-US" w:eastAsia="zh-CN"/>
              </w:rPr>
            </w:pPr>
            <w:r>
              <w:rPr>
                <w:rFonts w:hint="eastAsia"/>
                <w:kern w:val="2"/>
                <w:szCs w:val="21"/>
                <w:lang w:val="en-US" w:eastAsia="zh-CN"/>
              </w:rPr>
              <w:t>0.6</w:t>
            </w:r>
          </w:p>
        </w:tc>
        <w:tc>
          <w:tcPr>
            <w:tcW w:w="2668" w:type="dxa"/>
            <w:gridSpan w:val="2"/>
            <w:tcBorders>
              <w:top w:val="single" w:color="000000" w:sz="8" w:space="0"/>
              <w:left w:val="single" w:color="auto" w:sz="4" w:space="0"/>
              <w:bottom w:val="single" w:color="000000" w:sz="8" w:space="0"/>
              <w:right w:val="single" w:color="auto" w:sz="4" w:space="0"/>
            </w:tcBorders>
            <w:vAlign w:val="center"/>
          </w:tcPr>
          <w:p>
            <w:pPr>
              <w:pStyle w:val="25"/>
              <w:rPr>
                <w:kern w:val="2"/>
                <w:szCs w:val="21"/>
                <w:lang w:val="en-US" w:eastAsia="zh-CN"/>
              </w:rPr>
            </w:pPr>
            <w:r>
              <w:rPr>
                <w:kern w:val="2"/>
                <w:szCs w:val="21"/>
                <w:lang w:val="en-US" w:eastAsia="zh-CN"/>
              </w:rPr>
              <w:t>0.2</w:t>
            </w:r>
          </w:p>
        </w:tc>
      </w:tr>
    </w:tbl>
    <w:p>
      <w:pPr>
        <w:ind w:firstLine="480"/>
        <w:sectPr>
          <w:pgSz w:w="16838" w:h="11906" w:orient="landscape"/>
          <w:pgMar w:top="1417" w:right="1440" w:bottom="1417" w:left="1440" w:header="851" w:footer="992" w:gutter="0"/>
          <w:cols w:space="0" w:num="1"/>
          <w:docGrid w:type="lines" w:linePitch="332" w:charSpace="0"/>
        </w:sectPr>
      </w:pPr>
    </w:p>
    <w:p>
      <w:pPr>
        <w:ind w:firstLine="480"/>
      </w:pPr>
      <w:r>
        <w:rPr>
          <w:rFonts w:hint="eastAsia"/>
        </w:rPr>
        <w:t>由表</w:t>
      </w:r>
      <w:r>
        <w:t>6.2-9</w:t>
      </w:r>
      <w:r>
        <w:rPr>
          <w:rFonts w:hint="eastAsia"/>
        </w:rPr>
        <w:t>可以看出，本项目定型废气处理装置正常运行情况下排放的颗粒物和非甲烷总烃最大落地浓度均远低于其标准限值要求，颗粒物最大落地浓度为</w:t>
      </w:r>
      <w:r>
        <w:t>0.002267mg/m</w:t>
      </w:r>
      <w:r>
        <w:rPr>
          <w:vertAlign w:val="superscript"/>
        </w:rPr>
        <w:t>3</w:t>
      </w:r>
      <w:r>
        <w:rPr>
          <w:rFonts w:hint="eastAsia"/>
        </w:rPr>
        <w:t>，占标率为</w:t>
      </w:r>
      <w:r>
        <w:t>0.5%</w:t>
      </w:r>
      <w:r>
        <w:rPr>
          <w:rFonts w:hint="eastAsia"/>
        </w:rPr>
        <w:t>，TVOC浓度为</w:t>
      </w:r>
      <w:r>
        <w:t>0.002267mg/m</w:t>
      </w:r>
      <w:r>
        <w:rPr>
          <w:vertAlign w:val="superscript"/>
        </w:rPr>
        <w:t>3</w:t>
      </w:r>
      <w:r>
        <w:rPr>
          <w:rFonts w:hint="eastAsia"/>
        </w:rPr>
        <w:t>，占标率为</w:t>
      </w:r>
      <w:r>
        <w:t>0.</w:t>
      </w:r>
      <w:r>
        <w:rPr>
          <w:rFonts w:hint="eastAsia"/>
        </w:rPr>
        <w:t>38</w:t>
      </w:r>
      <w:r>
        <w:t>%</w:t>
      </w:r>
      <w:r>
        <w:rPr>
          <w:rFonts w:hint="eastAsia"/>
        </w:rPr>
        <w:t>。因此，项目定型废气排放对周围环境的影响较小。定型废气处理装置出现故障情况下排放的颗粒物和TVOC最大落地浓度与正常运行情况相比有明显增加，颗粒物浓度为</w:t>
      </w:r>
      <w:r>
        <w:t>0.01101mg/m</w:t>
      </w:r>
      <w:r>
        <w:rPr>
          <w:vertAlign w:val="superscript"/>
        </w:rPr>
        <w:t>3</w:t>
      </w:r>
      <w:r>
        <w:rPr>
          <w:rFonts w:hint="eastAsia"/>
        </w:rPr>
        <w:t>，占标率为</w:t>
      </w:r>
      <w:r>
        <w:t>2.45%</w:t>
      </w:r>
      <w:r>
        <w:rPr>
          <w:rFonts w:hint="eastAsia"/>
        </w:rPr>
        <w:t>，TVOC浓度为</w:t>
      </w:r>
      <w:r>
        <w:t>0.01468mg/m</w:t>
      </w:r>
      <w:r>
        <w:rPr>
          <w:vertAlign w:val="superscript"/>
        </w:rPr>
        <w:t>3</w:t>
      </w:r>
      <w:r>
        <w:rPr>
          <w:rFonts w:hint="eastAsia"/>
        </w:rPr>
        <w:t>，占标率为2.45</w:t>
      </w:r>
      <w:r>
        <w:t>%</w:t>
      </w:r>
      <w:r>
        <w:rPr>
          <w:rFonts w:hint="eastAsia"/>
        </w:rPr>
        <w:t>。</w:t>
      </w:r>
    </w:p>
    <w:p>
      <w:pPr>
        <w:ind w:firstLine="480"/>
      </w:pPr>
      <w:r>
        <w:rPr>
          <w:rFonts w:hint="eastAsia"/>
        </w:rPr>
        <w:t>项目无组织排放的醋酸废气最大落地浓度均低于其标准限值要求。因此，醋酸废气排放对周围环境和保护目标的影响较小。</w:t>
      </w:r>
    </w:p>
    <w:p>
      <w:pPr>
        <w:ind w:firstLine="480"/>
      </w:pPr>
      <w:r>
        <w:rPr>
          <w:rFonts w:hint="eastAsia"/>
        </w:rPr>
        <w:t>（二）大气环境防护距离的确定</w:t>
      </w:r>
    </w:p>
    <w:p>
      <w:pPr>
        <w:ind w:firstLine="480"/>
      </w:pPr>
      <w:r>
        <w:rPr>
          <w:rFonts w:hint="eastAsia"/>
        </w:rPr>
        <w:t>为保护人群健康，减少正常排放条件下大气污染物对居住区的环境影响，在污染源与居住区之间设置大气环境防护距离。在大气环境防护距离内不应有长期居住的人群。本评价采用</w:t>
      </w:r>
      <w:r>
        <w:t>HJ2.2-2008</w:t>
      </w:r>
      <w:r>
        <w:rPr>
          <w:rFonts w:hint="eastAsia"/>
        </w:rPr>
        <w:t>推荐模式中的大气环境防护距离模式计算各无组织源的大气环境防护距离，计算结果见表</w:t>
      </w:r>
      <w:r>
        <w:t>6.2-10</w:t>
      </w:r>
      <w:r>
        <w:rPr>
          <w:rFonts w:hint="eastAsia"/>
        </w:rPr>
        <w:t>。</w:t>
      </w:r>
    </w:p>
    <w:p>
      <w:pPr>
        <w:pStyle w:val="26"/>
      </w:pPr>
      <w:r>
        <w:rPr>
          <w:rFonts w:hint="eastAsia"/>
        </w:rPr>
        <w:t>表</w:t>
      </w:r>
      <w:r>
        <w:t xml:space="preserve">6.2-10  </w:t>
      </w:r>
      <w:r>
        <w:rPr>
          <w:rFonts w:hint="eastAsia"/>
        </w:rPr>
        <w:t>　项目大气环境防护距离</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1119"/>
        <w:gridCol w:w="1324"/>
        <w:gridCol w:w="975"/>
        <w:gridCol w:w="1027"/>
        <w:gridCol w:w="1547"/>
        <w:gridCol w:w="1031"/>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458" w:type="dxa"/>
            <w:vAlign w:val="center"/>
          </w:tcPr>
          <w:p>
            <w:pPr>
              <w:pStyle w:val="26"/>
              <w:rPr>
                <w:kern w:val="2"/>
                <w:szCs w:val="21"/>
                <w:lang w:val="en-US" w:eastAsia="zh-CN"/>
              </w:rPr>
            </w:pPr>
            <w:r>
              <w:rPr>
                <w:rFonts w:hint="eastAsia"/>
                <w:kern w:val="2"/>
                <w:szCs w:val="21"/>
                <w:lang w:val="en-US" w:eastAsia="zh-CN"/>
              </w:rPr>
              <w:t>污染源</w:t>
            </w:r>
          </w:p>
        </w:tc>
        <w:tc>
          <w:tcPr>
            <w:tcW w:w="1119" w:type="dxa"/>
            <w:vAlign w:val="center"/>
          </w:tcPr>
          <w:p>
            <w:pPr>
              <w:pStyle w:val="26"/>
              <w:rPr>
                <w:kern w:val="2"/>
                <w:szCs w:val="21"/>
                <w:lang w:val="en-US" w:eastAsia="zh-CN"/>
              </w:rPr>
            </w:pPr>
            <w:r>
              <w:rPr>
                <w:rFonts w:hint="eastAsia"/>
                <w:kern w:val="2"/>
                <w:szCs w:val="21"/>
                <w:lang w:val="en-US" w:eastAsia="zh-CN"/>
              </w:rPr>
              <w:t>污染物</w:t>
            </w:r>
          </w:p>
        </w:tc>
        <w:tc>
          <w:tcPr>
            <w:tcW w:w="1324" w:type="dxa"/>
            <w:vAlign w:val="center"/>
          </w:tcPr>
          <w:p>
            <w:pPr>
              <w:pStyle w:val="26"/>
              <w:rPr>
                <w:kern w:val="2"/>
                <w:szCs w:val="21"/>
                <w:lang w:val="en-US" w:eastAsia="zh-CN"/>
              </w:rPr>
            </w:pPr>
            <w:r>
              <w:rPr>
                <w:rFonts w:hint="eastAsia"/>
                <w:kern w:val="2"/>
                <w:szCs w:val="21"/>
                <w:lang w:val="en-US" w:eastAsia="zh-CN"/>
              </w:rPr>
              <w:t>面源有效</w:t>
            </w:r>
          </w:p>
          <w:p>
            <w:pPr>
              <w:pStyle w:val="26"/>
              <w:rPr>
                <w:kern w:val="2"/>
                <w:szCs w:val="21"/>
                <w:lang w:val="en-US" w:eastAsia="zh-CN"/>
              </w:rPr>
            </w:pPr>
            <w:r>
              <w:rPr>
                <w:rFonts w:hint="eastAsia"/>
                <w:kern w:val="2"/>
                <w:szCs w:val="21"/>
                <w:lang w:val="en-US" w:eastAsia="zh-CN"/>
              </w:rPr>
              <w:t>高度（</w:t>
            </w:r>
            <w:r>
              <w:rPr>
                <w:kern w:val="2"/>
                <w:szCs w:val="21"/>
                <w:lang w:val="en-US" w:eastAsia="zh-CN"/>
              </w:rPr>
              <w:t>m</w:t>
            </w:r>
            <w:r>
              <w:rPr>
                <w:rFonts w:hint="eastAsia"/>
                <w:kern w:val="2"/>
                <w:szCs w:val="21"/>
                <w:lang w:val="en-US" w:eastAsia="zh-CN"/>
              </w:rPr>
              <w:t>）</w:t>
            </w:r>
          </w:p>
        </w:tc>
        <w:tc>
          <w:tcPr>
            <w:tcW w:w="975" w:type="dxa"/>
            <w:vAlign w:val="center"/>
          </w:tcPr>
          <w:p>
            <w:pPr>
              <w:pStyle w:val="26"/>
              <w:rPr>
                <w:kern w:val="2"/>
                <w:szCs w:val="21"/>
                <w:lang w:val="en-US" w:eastAsia="zh-CN"/>
              </w:rPr>
            </w:pPr>
            <w:r>
              <w:rPr>
                <w:rFonts w:hint="eastAsia"/>
                <w:kern w:val="2"/>
                <w:szCs w:val="21"/>
                <w:lang w:val="en-US" w:eastAsia="zh-CN"/>
              </w:rPr>
              <w:t>长度</w:t>
            </w:r>
          </w:p>
          <w:p>
            <w:pPr>
              <w:pStyle w:val="26"/>
              <w:rPr>
                <w:kern w:val="2"/>
                <w:szCs w:val="21"/>
                <w:lang w:val="en-US" w:eastAsia="zh-CN"/>
              </w:rPr>
            </w:pPr>
            <w:r>
              <w:rPr>
                <w:rFonts w:hint="eastAsia"/>
                <w:kern w:val="2"/>
                <w:szCs w:val="21"/>
                <w:lang w:val="en-US" w:eastAsia="zh-CN"/>
              </w:rPr>
              <w:t>（</w:t>
            </w:r>
            <w:r>
              <w:rPr>
                <w:kern w:val="2"/>
                <w:szCs w:val="21"/>
                <w:lang w:val="en-US" w:eastAsia="zh-CN"/>
              </w:rPr>
              <w:t>m</w:t>
            </w:r>
            <w:r>
              <w:rPr>
                <w:rFonts w:hint="eastAsia"/>
                <w:kern w:val="2"/>
                <w:szCs w:val="21"/>
                <w:lang w:val="en-US" w:eastAsia="zh-CN"/>
              </w:rPr>
              <w:t>）</w:t>
            </w:r>
          </w:p>
        </w:tc>
        <w:tc>
          <w:tcPr>
            <w:tcW w:w="1027" w:type="dxa"/>
            <w:vAlign w:val="center"/>
          </w:tcPr>
          <w:p>
            <w:pPr>
              <w:pStyle w:val="26"/>
              <w:rPr>
                <w:kern w:val="2"/>
                <w:szCs w:val="21"/>
                <w:lang w:val="en-US" w:eastAsia="zh-CN"/>
              </w:rPr>
            </w:pPr>
            <w:r>
              <w:rPr>
                <w:rFonts w:hint="eastAsia"/>
                <w:kern w:val="2"/>
                <w:szCs w:val="21"/>
                <w:lang w:val="en-US" w:eastAsia="zh-CN"/>
              </w:rPr>
              <w:t>宽度</w:t>
            </w:r>
          </w:p>
          <w:p>
            <w:pPr>
              <w:pStyle w:val="26"/>
              <w:rPr>
                <w:kern w:val="2"/>
                <w:szCs w:val="21"/>
                <w:lang w:val="en-US" w:eastAsia="zh-CN"/>
              </w:rPr>
            </w:pPr>
            <w:r>
              <w:rPr>
                <w:rFonts w:hint="eastAsia"/>
                <w:kern w:val="2"/>
                <w:szCs w:val="21"/>
                <w:lang w:val="en-US" w:eastAsia="zh-CN"/>
              </w:rPr>
              <w:t>（</w:t>
            </w:r>
            <w:r>
              <w:rPr>
                <w:kern w:val="2"/>
                <w:szCs w:val="21"/>
                <w:lang w:val="en-US" w:eastAsia="zh-CN"/>
              </w:rPr>
              <w:t>m</w:t>
            </w:r>
            <w:r>
              <w:rPr>
                <w:rFonts w:hint="eastAsia"/>
                <w:kern w:val="2"/>
                <w:szCs w:val="21"/>
                <w:lang w:val="en-US" w:eastAsia="zh-CN"/>
              </w:rPr>
              <w:t>）</w:t>
            </w:r>
          </w:p>
        </w:tc>
        <w:tc>
          <w:tcPr>
            <w:tcW w:w="1547" w:type="dxa"/>
            <w:vAlign w:val="center"/>
          </w:tcPr>
          <w:p>
            <w:pPr>
              <w:pStyle w:val="26"/>
              <w:rPr>
                <w:kern w:val="2"/>
                <w:szCs w:val="21"/>
                <w:lang w:val="en-US" w:eastAsia="zh-CN"/>
              </w:rPr>
            </w:pPr>
            <w:r>
              <w:rPr>
                <w:rFonts w:hint="eastAsia"/>
                <w:kern w:val="2"/>
                <w:szCs w:val="21"/>
                <w:lang w:val="en-US" w:eastAsia="zh-CN"/>
              </w:rPr>
              <w:t>排放速率</w:t>
            </w:r>
          </w:p>
          <w:p>
            <w:pPr>
              <w:pStyle w:val="26"/>
              <w:rPr>
                <w:kern w:val="2"/>
                <w:szCs w:val="21"/>
                <w:lang w:val="en-US" w:eastAsia="zh-CN"/>
              </w:rPr>
            </w:pPr>
            <w:r>
              <w:rPr>
                <w:kern w:val="2"/>
                <w:szCs w:val="21"/>
                <w:lang w:val="en-US" w:eastAsia="zh-CN"/>
              </w:rPr>
              <w:t>(kg/h)</w:t>
            </w:r>
          </w:p>
        </w:tc>
        <w:tc>
          <w:tcPr>
            <w:tcW w:w="1031" w:type="dxa"/>
            <w:vAlign w:val="center"/>
          </w:tcPr>
          <w:p>
            <w:pPr>
              <w:pStyle w:val="26"/>
              <w:rPr>
                <w:kern w:val="2"/>
                <w:szCs w:val="21"/>
                <w:lang w:val="en-US" w:eastAsia="zh-CN"/>
              </w:rPr>
            </w:pPr>
            <w:r>
              <w:rPr>
                <w:rFonts w:hint="eastAsia"/>
                <w:kern w:val="2"/>
                <w:szCs w:val="21"/>
                <w:lang w:val="en-US" w:eastAsia="zh-CN"/>
              </w:rPr>
              <w:t>标准</w:t>
            </w:r>
          </w:p>
          <w:p>
            <w:pPr>
              <w:pStyle w:val="26"/>
              <w:rPr>
                <w:kern w:val="2"/>
                <w:szCs w:val="21"/>
                <w:lang w:val="en-US" w:eastAsia="zh-CN"/>
              </w:rPr>
            </w:pPr>
            <w:r>
              <w:rPr>
                <w:kern w:val="2"/>
                <w:szCs w:val="21"/>
                <w:lang w:val="en-US" w:eastAsia="zh-CN"/>
              </w:rPr>
              <w:t>(mg/m3)</w:t>
            </w:r>
          </w:p>
        </w:tc>
        <w:tc>
          <w:tcPr>
            <w:tcW w:w="1373" w:type="dxa"/>
            <w:vAlign w:val="center"/>
          </w:tcPr>
          <w:p>
            <w:pPr>
              <w:pStyle w:val="26"/>
              <w:rPr>
                <w:kern w:val="2"/>
                <w:szCs w:val="21"/>
                <w:lang w:val="en-US" w:eastAsia="zh-CN"/>
              </w:rPr>
            </w:pPr>
            <w:r>
              <w:rPr>
                <w:rFonts w:hint="eastAsia"/>
                <w:kern w:val="2"/>
                <w:szCs w:val="21"/>
                <w:lang w:val="en-US" w:eastAsia="zh-CN"/>
              </w:rPr>
              <w:t>计算结果</w:t>
            </w:r>
          </w:p>
          <w:p>
            <w:pPr>
              <w:pStyle w:val="26"/>
              <w:rPr>
                <w:kern w:val="2"/>
                <w:szCs w:val="21"/>
                <w:lang w:val="en-US" w:eastAsia="zh-CN"/>
              </w:rPr>
            </w:pPr>
            <w:r>
              <w:rPr>
                <w:rFonts w:hint="eastAsia"/>
                <w:kern w:val="2"/>
                <w:szCs w:val="21"/>
                <w:lang w:val="en-US" w:eastAsia="zh-CN"/>
              </w:rPr>
              <w:t>（</w:t>
            </w:r>
            <w:r>
              <w:rPr>
                <w:kern w:val="2"/>
                <w:szCs w:val="21"/>
                <w:lang w:val="en-US" w:eastAsia="zh-CN"/>
              </w:rPr>
              <w:t>m</w:t>
            </w: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1458" w:type="dxa"/>
            <w:vAlign w:val="center"/>
          </w:tcPr>
          <w:p>
            <w:pPr>
              <w:pStyle w:val="26"/>
              <w:rPr>
                <w:kern w:val="2"/>
                <w:szCs w:val="21"/>
                <w:lang w:val="en-US" w:eastAsia="zh-CN"/>
              </w:rPr>
            </w:pPr>
            <w:r>
              <w:rPr>
                <w:rFonts w:hint="eastAsia"/>
                <w:kern w:val="2"/>
                <w:szCs w:val="21"/>
                <w:lang w:val="en-US" w:eastAsia="zh-CN"/>
              </w:rPr>
              <w:t>染色车间</w:t>
            </w:r>
          </w:p>
        </w:tc>
        <w:tc>
          <w:tcPr>
            <w:tcW w:w="1119" w:type="dxa"/>
            <w:vAlign w:val="center"/>
          </w:tcPr>
          <w:p>
            <w:pPr>
              <w:pStyle w:val="26"/>
              <w:rPr>
                <w:kern w:val="2"/>
                <w:szCs w:val="21"/>
                <w:lang w:val="en-US" w:eastAsia="zh-CN"/>
              </w:rPr>
            </w:pPr>
            <w:r>
              <w:rPr>
                <w:rFonts w:hint="eastAsia"/>
                <w:kern w:val="2"/>
                <w:szCs w:val="21"/>
                <w:lang w:val="en-US" w:eastAsia="zh-CN"/>
              </w:rPr>
              <w:t>醋酸</w:t>
            </w:r>
          </w:p>
        </w:tc>
        <w:tc>
          <w:tcPr>
            <w:tcW w:w="1324" w:type="dxa"/>
            <w:vAlign w:val="center"/>
          </w:tcPr>
          <w:p>
            <w:pPr>
              <w:pStyle w:val="26"/>
              <w:rPr>
                <w:kern w:val="2"/>
                <w:szCs w:val="21"/>
                <w:lang w:val="en-US" w:eastAsia="zh-CN"/>
              </w:rPr>
            </w:pPr>
            <w:r>
              <w:rPr>
                <w:kern w:val="2"/>
                <w:szCs w:val="21"/>
                <w:lang w:val="en-US" w:eastAsia="zh-CN"/>
              </w:rPr>
              <w:t>6</w:t>
            </w:r>
          </w:p>
        </w:tc>
        <w:tc>
          <w:tcPr>
            <w:tcW w:w="975" w:type="dxa"/>
            <w:vAlign w:val="center"/>
          </w:tcPr>
          <w:p>
            <w:pPr>
              <w:pStyle w:val="26"/>
              <w:rPr>
                <w:kern w:val="2"/>
                <w:szCs w:val="21"/>
                <w:lang w:val="en-US" w:eastAsia="zh-CN"/>
              </w:rPr>
            </w:pPr>
            <w:r>
              <w:rPr>
                <w:kern w:val="2"/>
                <w:szCs w:val="21"/>
                <w:lang w:val="en-US" w:eastAsia="zh-CN"/>
              </w:rPr>
              <w:t>85</w:t>
            </w:r>
          </w:p>
        </w:tc>
        <w:tc>
          <w:tcPr>
            <w:tcW w:w="1027" w:type="dxa"/>
            <w:vAlign w:val="center"/>
          </w:tcPr>
          <w:p>
            <w:pPr>
              <w:pStyle w:val="26"/>
              <w:rPr>
                <w:kern w:val="2"/>
                <w:szCs w:val="21"/>
                <w:lang w:val="en-US" w:eastAsia="zh-CN"/>
              </w:rPr>
            </w:pPr>
            <w:r>
              <w:rPr>
                <w:kern w:val="2"/>
                <w:szCs w:val="21"/>
                <w:lang w:val="en-US" w:eastAsia="zh-CN"/>
              </w:rPr>
              <w:t>60</w:t>
            </w:r>
          </w:p>
        </w:tc>
        <w:tc>
          <w:tcPr>
            <w:tcW w:w="1547" w:type="dxa"/>
            <w:vAlign w:val="center"/>
          </w:tcPr>
          <w:p>
            <w:pPr>
              <w:pStyle w:val="26"/>
              <w:rPr>
                <w:kern w:val="2"/>
                <w:szCs w:val="21"/>
                <w:lang w:val="en-US" w:eastAsia="zh-CN"/>
              </w:rPr>
            </w:pPr>
            <w:r>
              <w:rPr>
                <w:kern w:val="2"/>
                <w:szCs w:val="21"/>
                <w:lang w:val="en-US" w:eastAsia="zh-CN"/>
              </w:rPr>
              <w:t>0.0097</w:t>
            </w:r>
          </w:p>
        </w:tc>
        <w:tc>
          <w:tcPr>
            <w:tcW w:w="1031" w:type="dxa"/>
            <w:vAlign w:val="center"/>
          </w:tcPr>
          <w:p>
            <w:pPr>
              <w:pStyle w:val="26"/>
              <w:rPr>
                <w:kern w:val="2"/>
                <w:szCs w:val="21"/>
                <w:lang w:val="en-US" w:eastAsia="zh-CN"/>
              </w:rPr>
            </w:pPr>
            <w:r>
              <w:rPr>
                <w:kern w:val="2"/>
                <w:szCs w:val="21"/>
                <w:lang w:val="en-US" w:eastAsia="zh-CN"/>
              </w:rPr>
              <w:t>0.2</w:t>
            </w:r>
          </w:p>
        </w:tc>
        <w:tc>
          <w:tcPr>
            <w:tcW w:w="1373" w:type="dxa"/>
            <w:vAlign w:val="center"/>
          </w:tcPr>
          <w:p>
            <w:pPr>
              <w:pStyle w:val="26"/>
              <w:rPr>
                <w:kern w:val="2"/>
                <w:szCs w:val="21"/>
                <w:lang w:val="en-US" w:eastAsia="zh-CN"/>
              </w:rPr>
            </w:pPr>
            <w:r>
              <w:rPr>
                <w:rFonts w:hint="eastAsia"/>
                <w:kern w:val="2"/>
                <w:szCs w:val="21"/>
                <w:lang w:val="en-US" w:eastAsia="zh-CN"/>
              </w:rPr>
              <w:t>无超标点</w:t>
            </w:r>
          </w:p>
        </w:tc>
      </w:tr>
    </w:tbl>
    <w:p>
      <w:pPr>
        <w:ind w:firstLine="480"/>
      </w:pPr>
      <w:r>
        <w:rPr>
          <w:rFonts w:hint="eastAsia"/>
        </w:rPr>
        <w:t>由表</w:t>
      </w:r>
      <w:r>
        <w:t>6.2-10</w:t>
      </w:r>
      <w:r>
        <w:rPr>
          <w:rFonts w:hint="eastAsia"/>
        </w:rPr>
        <w:t>可知，本项目染色车间无需设置大气环境防护距离。</w:t>
      </w:r>
    </w:p>
    <w:p>
      <w:pPr>
        <w:ind w:firstLine="480"/>
      </w:pPr>
      <w:r>
        <w:rPr>
          <w:rFonts w:hint="eastAsia"/>
        </w:rPr>
        <w:t>（三）定型废气、醋酸废气影响分析评价小结</w:t>
      </w:r>
    </w:p>
    <w:p>
      <w:pPr>
        <w:ind w:firstLine="480"/>
      </w:pPr>
      <w:r>
        <w:rPr>
          <w:rFonts w:hint="eastAsia"/>
        </w:rPr>
        <w:t>根据上述预测分析可知，定型废气经采用高压静电净化装置进行处理后对周边环境影响较小；无组织排放的醋酸废气最大落地浓度均低于其标准限值要求。因此，醋酸废气排放对周围环境和保护目标的影响较小。因此，定型废气和醋酸废气对周围环境影响较小。</w:t>
      </w:r>
    </w:p>
    <w:p>
      <w:pPr>
        <w:ind w:firstLine="480"/>
      </w:pPr>
      <w:r>
        <w:rPr>
          <w:rFonts w:hint="eastAsia"/>
        </w:rPr>
        <w:t>同时，根据技改项目工程分析可知，通过本次技改后厂区</w:t>
      </w:r>
      <w:r>
        <w:t>VOCs</w:t>
      </w:r>
      <w:r>
        <w:rPr>
          <w:rFonts w:hint="eastAsia"/>
        </w:rPr>
        <w:t>总量减少</w:t>
      </w:r>
      <w:r>
        <w:t>6.685t/a</w:t>
      </w:r>
      <w:r>
        <w:rPr>
          <w:rFonts w:hint="eastAsia"/>
        </w:rPr>
        <w:t>，有利于项目区域环境空气的改善。因此，本次技改可有效改善周围环境空气。</w:t>
      </w:r>
    </w:p>
    <w:p>
      <w:pPr>
        <w:ind w:firstLine="480"/>
      </w:pPr>
      <w:r>
        <w:t>2</w:t>
      </w:r>
      <w:r>
        <w:rPr>
          <w:rFonts w:hint="eastAsia"/>
        </w:rPr>
        <w:t>、锅炉废气</w:t>
      </w:r>
    </w:p>
    <w:p>
      <w:pPr>
        <w:ind w:firstLine="480"/>
      </w:pPr>
      <w:r>
        <w:rPr>
          <w:rFonts w:hint="eastAsia"/>
        </w:rPr>
        <w:t>根据“岳阳市贯彻落实《大气污染防治行动计划》实施方案”，现有工程燃煤导热油锅炉和燃煤</w:t>
      </w:r>
      <w:r>
        <w:t>6.5t</w:t>
      </w:r>
      <w:r>
        <w:rPr>
          <w:rFonts w:hint="eastAsia"/>
        </w:rPr>
        <w:t>蒸汽锅炉均属于</w:t>
      </w:r>
      <w:r>
        <w:t>2017</w:t>
      </w:r>
      <w:r>
        <w:rPr>
          <w:rFonts w:hint="eastAsia"/>
        </w:rPr>
        <w:t>年底淘汰锅炉，因此，建设单位在本次技改过程中将燃煤导热油锅炉和燃煤</w:t>
      </w:r>
      <w:r>
        <w:t>6.5t</w:t>
      </w:r>
      <w:r>
        <w:rPr>
          <w:rFonts w:hint="eastAsia"/>
        </w:rPr>
        <w:t>蒸汽锅炉进行改造，并新增一台</w:t>
      </w:r>
      <w:r>
        <w:t>10</w:t>
      </w:r>
      <w:r>
        <w:rPr>
          <w:rFonts w:hint="eastAsia"/>
        </w:rPr>
        <w:t>吨燃生物质蒸汽锅炉。本次技改后，导热油锅炉与蒸汽锅炉燃料均采用成型生物质，</w:t>
      </w:r>
      <w:r>
        <w:t>6.5</w:t>
      </w:r>
      <w:r>
        <w:rPr>
          <w:rFonts w:hint="eastAsia"/>
        </w:rPr>
        <w:t>吨蒸汽锅炉作为备用锅炉。本次技改后锅炉均采用成型生物质为燃料。根据对现有燃煤锅炉排气筒废气进行检测数据可知，水幕除尘后排放浓度无法满足</w:t>
      </w:r>
      <w:r>
        <w:rPr>
          <w:rFonts w:hint="eastAsia" w:hAnsi="宋体"/>
        </w:rPr>
        <w:t>《锅炉大气污染物排放标准》（</w:t>
      </w:r>
      <w:r>
        <w:rPr>
          <w:rFonts w:hAnsi="宋体"/>
        </w:rPr>
        <w:t>GB13271-2014</w:t>
      </w:r>
      <w:r>
        <w:rPr>
          <w:rFonts w:hint="eastAsia" w:hAnsi="宋体"/>
        </w:rPr>
        <w:t>）中表</w:t>
      </w:r>
      <w:r>
        <w:rPr>
          <w:rFonts w:hAnsi="宋体"/>
        </w:rPr>
        <w:t>2</w:t>
      </w:r>
      <w:r>
        <w:rPr>
          <w:rFonts w:hint="eastAsia" w:hAnsi="宋体"/>
        </w:rPr>
        <w:t>规定限值，麻石水膜除尘装置处理后烟尘的排放浓度接近</w:t>
      </w:r>
      <w:r>
        <w:rPr>
          <w:rFonts w:hAnsi="宋体"/>
        </w:rPr>
        <w:t>GB13271-2014</w:t>
      </w:r>
      <w:r>
        <w:rPr>
          <w:rFonts w:hint="eastAsia" w:hAnsi="宋体"/>
        </w:rPr>
        <w:t>中燃生物质锅炉相关标准限值，因此，技改后锅炉采用成型生物质为燃料，其颗粒物产生的浓度相对增加，同时该烟尘质地较轻，水幕除尘对烟尘的去除效率较差。因此，本环评建议技改后</w:t>
      </w:r>
      <w:r>
        <w:rPr>
          <w:rFonts w:hint="eastAsia"/>
        </w:rPr>
        <w:t>锅炉产生的废气拟采用布袋除尘装置进行处理。</w:t>
      </w:r>
    </w:p>
    <w:p>
      <w:pPr>
        <w:ind w:firstLine="480"/>
      </w:pPr>
      <w:r>
        <w:rPr>
          <w:rFonts w:hint="eastAsia"/>
        </w:rPr>
        <w:t>布袋除尘器的工作原理如下：设备正常工作时，含尘气体由进风口进入灰斗，由于气体体积急速膨胀，一部分较粗的尘粒受惯性碰撞或自然沉降等原因落入灰斗，其余大部分尘粒随气流上升进入袋室，经滤袋过滤后，尘粒被滞留在滤袋的外侧，净化后的气体由滤袋内部进入箱体，再由阀板孔、排风口排入大气，从而达到滞尘的目的。随着过滤的不断进行，收尘器阻力也随之上升，当阻力达到一定值时，清灰控制器发出清灰命令，首先将提升阀板关闭，切断气流；然后，清灰控制器向电磁阀发出信号，随着电磁阀把用作清灰度高压逆向气流送入袋内，滤袋迅速膨胀，并产生强烈的抖动，导致滤袋外侧的粉尘抖落，达到清灰的目的。由于设备分为若干个箱区，所以上述过程是逐箱进行的，一个箱区在清灰时，其余箱区仍在正常工作，保证了设备的连续正常运转。之所以能处理高浓度，关键在于这种强清灰所需清灰时间极短（喷吹一次只需</w:t>
      </w:r>
      <w:r>
        <w:t>0.1-0.2s</w:t>
      </w:r>
      <w:r>
        <w:rPr>
          <w:rFonts w:hint="eastAsia"/>
        </w:rPr>
        <w:t>）。</w:t>
      </w:r>
    </w:p>
    <w:p>
      <w:pPr>
        <w:ind w:firstLine="480"/>
      </w:pPr>
      <w:r>
        <w:rPr>
          <w:rFonts w:hint="eastAsia"/>
        </w:rPr>
        <w:t>技术特点：无需预收尘设备，能一次性处理高达</w:t>
      </w:r>
      <w:r>
        <w:t>1000g/Nm</w:t>
      </w:r>
      <w:r>
        <w:rPr>
          <w:vertAlign w:val="superscript"/>
        </w:rPr>
        <w:t>3</w:t>
      </w:r>
      <w:r>
        <w:rPr>
          <w:rFonts w:hint="eastAsia"/>
        </w:rPr>
        <w:t>浓度的烟尘，排放浓度小于</w:t>
      </w:r>
      <w:r>
        <w:t>30mg/Nm</w:t>
      </w:r>
      <w:r>
        <w:rPr>
          <w:vertAlign w:val="superscript"/>
        </w:rPr>
        <w:t>3</w:t>
      </w:r>
      <w:r>
        <w:rPr>
          <w:rFonts w:hint="eastAsia"/>
        </w:rPr>
        <w:t>，工艺流程简单；袋室内无需喷吹管，机外换袋方便；嵌入式弹性窗口，密封性能好；脉冲阀数量少，清灰强度大，动作迅速；整机采用微机自动控制，各参数易于调节，可实现无岗位工操作；滤袋使用寿命</w:t>
      </w:r>
      <w:r>
        <w:t>2a</w:t>
      </w:r>
      <w:r>
        <w:rPr>
          <w:rFonts w:hint="eastAsia"/>
        </w:rPr>
        <w:t>以上；易实现隔离检修，收尘器相对主机运转率</w:t>
      </w:r>
      <w:r>
        <w:t>100%</w:t>
      </w:r>
      <w:r>
        <w:rPr>
          <w:rFonts w:hint="eastAsia"/>
        </w:rPr>
        <w:t>。通过类比调查和资料介绍，本项目除尘设备选用袋式除尘器，其除尘效率可达到</w:t>
      </w:r>
      <w:r>
        <w:t>99.9%</w:t>
      </w:r>
      <w:r>
        <w:rPr>
          <w:rFonts w:hint="eastAsia"/>
        </w:rPr>
        <w:t>。出口浓度可以满足《大气污染物排放标准》中的要求，因此本项目除尘选用布袋除尘器措施可行。</w:t>
      </w:r>
    </w:p>
    <w:p>
      <w:pPr>
        <w:ind w:firstLine="480"/>
      </w:pPr>
      <w:r>
        <w:rPr>
          <w:rFonts w:hint="eastAsia"/>
        </w:rPr>
        <w:t>由技改项目工程分析可知，根据《工业污染源产拍系数手册（</w:t>
      </w:r>
      <w:r>
        <w:t>2010</w:t>
      </w:r>
      <w:r>
        <w:rPr>
          <w:rFonts w:hint="eastAsia"/>
        </w:rPr>
        <w:t>年修订）》，燃生物质锅炉经布袋除尘器处理后各因子排放浓度为：颗粒物</w:t>
      </w:r>
      <w:r>
        <w:t>9.55mg/m</w:t>
      </w:r>
      <w:r>
        <w:rPr>
          <w:vertAlign w:val="superscript"/>
        </w:rPr>
        <w:t>3</w:t>
      </w:r>
      <w:r>
        <w:rPr>
          <w:rFonts w:hint="eastAsia"/>
        </w:rPr>
        <w:t>、二氧化硫</w:t>
      </w:r>
      <w:r>
        <w:t>199.78mg/m</w:t>
      </w:r>
      <w:r>
        <w:rPr>
          <w:vertAlign w:val="superscript"/>
        </w:rPr>
        <w:t>3</w:t>
      </w:r>
      <w:r>
        <w:rPr>
          <w:rFonts w:hint="eastAsia"/>
        </w:rPr>
        <w:t>、氮氧化物</w:t>
      </w:r>
      <w:r>
        <w:t>149.83mg/m</w:t>
      </w:r>
      <w:r>
        <w:rPr>
          <w:vertAlign w:val="superscript"/>
        </w:rPr>
        <w:t>3</w:t>
      </w:r>
      <w:r>
        <w:rPr>
          <w:rFonts w:hint="eastAsia"/>
        </w:rPr>
        <w:t>，满足</w:t>
      </w:r>
      <w:r>
        <w:rPr>
          <w:rFonts w:hint="eastAsia" w:hAnsi="宋体"/>
        </w:rPr>
        <w:t>《锅炉大气污染物排放标准》（</w:t>
      </w:r>
      <w:r>
        <w:rPr>
          <w:rFonts w:hAnsi="宋体"/>
        </w:rPr>
        <w:t>GB13271-2014</w:t>
      </w:r>
      <w:r>
        <w:rPr>
          <w:rFonts w:hint="eastAsia" w:hAnsi="宋体"/>
        </w:rPr>
        <w:t>）中表</w:t>
      </w:r>
      <w:r>
        <w:rPr>
          <w:rFonts w:hAnsi="宋体"/>
        </w:rPr>
        <w:t>2</w:t>
      </w:r>
      <w:r>
        <w:rPr>
          <w:rFonts w:hint="eastAsia" w:hAnsi="宋体"/>
        </w:rPr>
        <w:t>规定的新建锅炉大气污染物排放限值</w:t>
      </w:r>
      <w:r>
        <w:rPr>
          <w:rFonts w:hint="eastAsia"/>
        </w:rPr>
        <w:t>，对周边环境影响较小。</w:t>
      </w:r>
    </w:p>
    <w:p>
      <w:pPr>
        <w:ind w:firstLine="480"/>
      </w:pPr>
      <w:r>
        <w:rPr>
          <w:rFonts w:hint="eastAsia"/>
        </w:rPr>
        <w:t>同时，通过本次技改后，厂区内颗粒物排放量减少</w:t>
      </w:r>
      <w:r>
        <w:t>8.871t/a</w:t>
      </w:r>
      <w:r>
        <w:rPr>
          <w:rFonts w:hint="eastAsia"/>
        </w:rPr>
        <w:t>、二氧化硫排放量减少</w:t>
      </w:r>
      <w:r>
        <w:t>6.083t/a</w:t>
      </w:r>
      <w:r>
        <w:rPr>
          <w:rFonts w:hint="eastAsia"/>
        </w:rPr>
        <w:t>、氮氧化物排放量减少</w:t>
      </w:r>
      <w:r>
        <w:t>9.026t/a</w:t>
      </w:r>
      <w:r>
        <w:rPr>
          <w:rFonts w:hint="eastAsia"/>
        </w:rPr>
        <w:t>。由此可见，本次技改对区域大气环境质量有改善作用。</w:t>
      </w:r>
    </w:p>
    <w:p>
      <w:pPr>
        <w:ind w:firstLine="480"/>
      </w:pPr>
      <w:r>
        <w:t>3</w:t>
      </w:r>
      <w:r>
        <w:rPr>
          <w:rFonts w:hint="eastAsia"/>
        </w:rPr>
        <w:t>、污水处理站臭气</w:t>
      </w:r>
    </w:p>
    <w:p>
      <w:pPr>
        <w:ind w:firstLine="480"/>
      </w:pPr>
      <w:r>
        <w:rPr>
          <w:rFonts w:hint="eastAsia"/>
        </w:rPr>
        <w:t>本项目利用厂区现有污水处理站进行处理废水，现有工程废水产生及处理量为</w:t>
      </w:r>
      <w:r>
        <w:t>1200m</w:t>
      </w:r>
      <w:r>
        <w:rPr>
          <w:vertAlign w:val="superscript"/>
        </w:rPr>
        <w:t>3</w:t>
      </w:r>
      <w:r>
        <w:t>/d</w:t>
      </w:r>
      <w:r>
        <w:rPr>
          <w:rFonts w:hint="eastAsia"/>
        </w:rPr>
        <w:t>。根据岳阳市衡润检测有限公司于</w:t>
      </w:r>
      <w:r>
        <w:t>2017</w:t>
      </w:r>
      <w:r>
        <w:rPr>
          <w:rFonts w:hint="eastAsia"/>
        </w:rPr>
        <w:t>年</w:t>
      </w:r>
      <w:r>
        <w:t>7</w:t>
      </w:r>
      <w:r>
        <w:rPr>
          <w:rFonts w:hint="eastAsia"/>
        </w:rPr>
        <w:t>月</w:t>
      </w:r>
      <w:r>
        <w:t>7</w:t>
      </w:r>
      <w:r>
        <w:rPr>
          <w:rFonts w:hint="eastAsia"/>
        </w:rPr>
        <w:t>日</w:t>
      </w:r>
      <w:r>
        <w:t>~8</w:t>
      </w:r>
      <w:r>
        <w:rPr>
          <w:rFonts w:hint="eastAsia"/>
        </w:rPr>
        <w:t>日对场区厂界无组织废气中污染物氨、硫化氢进行检测的检测结果，氨：厂界四周均未检测；硫化氢：厂界南浓度范围为</w:t>
      </w:r>
      <w:r>
        <w:t>0.039~0.068mg/m</w:t>
      </w:r>
      <w:r>
        <w:rPr>
          <w:vertAlign w:val="superscript"/>
        </w:rPr>
        <w:t>3</w:t>
      </w:r>
      <w:r>
        <w:rPr>
          <w:rFonts w:hint="eastAsia"/>
        </w:rPr>
        <w:t>，其他三面厂界均未检出。</w:t>
      </w:r>
    </w:p>
    <w:p>
      <w:pPr>
        <w:ind w:firstLine="480"/>
      </w:pPr>
      <w:r>
        <w:rPr>
          <w:rFonts w:hint="eastAsia"/>
        </w:rPr>
        <w:t>本项目技改后，生产废水量减少，污水处理站废水处理规模为</w:t>
      </w:r>
      <w:r>
        <w:t>418.6m</w:t>
      </w:r>
      <w:r>
        <w:rPr>
          <w:vertAlign w:val="superscript"/>
        </w:rPr>
        <w:t>3</w:t>
      </w:r>
      <w:r>
        <w:t>/d</w:t>
      </w:r>
      <w:r>
        <w:rPr>
          <w:rFonts w:hint="eastAsia"/>
        </w:rPr>
        <w:t>，因此，污水处理站产生的恶臭气体减少，类比现有工程厂界四周无组织恶臭气体浓度，该污水处理站产生的恶臭气体对周边环境影响较小。</w:t>
      </w:r>
    </w:p>
    <w:p>
      <w:pPr>
        <w:ind w:firstLine="480"/>
      </w:pPr>
      <w:r>
        <w:t>4</w:t>
      </w:r>
      <w:r>
        <w:rPr>
          <w:rFonts w:hint="eastAsia"/>
        </w:rPr>
        <w:t>、导热油废气</w:t>
      </w:r>
    </w:p>
    <w:p>
      <w:pPr>
        <w:ind w:firstLine="480"/>
      </w:pPr>
      <w:r>
        <w:rPr>
          <w:rFonts w:hint="eastAsia"/>
        </w:rPr>
        <w:t>本技改项目定型采用导热油加温，该导热油为</w:t>
      </w:r>
      <w:r>
        <w:rPr>
          <w:rFonts w:hint="eastAsia" w:ascii="宋体" w:hAnsi="宋体"/>
        </w:rPr>
        <w:t>基础油化学成份长链烷烃类，属无毒有机物质，不含有联苯</w:t>
      </w:r>
      <w:r>
        <w:rPr>
          <w:rFonts w:ascii="宋体"/>
        </w:rPr>
        <w:t>-</w:t>
      </w:r>
      <w:r>
        <w:rPr>
          <w:rFonts w:hint="eastAsia" w:ascii="宋体" w:hAnsi="宋体"/>
        </w:rPr>
        <w:t>联苯醚成分。导热油在使用过程中因管道、阀门等连接处存在少量泄漏，挥发产生极少量导热油废气，在车间内无组织排放。根据类比现有工程厂界环境空气中VOCs浓度可知，导热油废气产生量较小，对周边环境影响较小。</w:t>
      </w:r>
    </w:p>
    <w:p>
      <w:pPr>
        <w:ind w:firstLine="480"/>
      </w:pPr>
      <w:r>
        <w:rPr>
          <w:rFonts w:hint="eastAsia"/>
        </w:rPr>
        <w:t>5、食堂油烟</w:t>
      </w:r>
    </w:p>
    <w:p>
      <w:pPr>
        <w:ind w:firstLine="480"/>
      </w:pPr>
      <w:r>
        <w:rPr>
          <w:rFonts w:hint="eastAsia"/>
        </w:rPr>
        <w:t>企业食堂油烟废气经去除效率大于</w:t>
      </w:r>
      <w:r>
        <w:t>75%</w:t>
      </w:r>
      <w:r>
        <w:rPr>
          <w:rFonts w:hint="eastAsia"/>
        </w:rPr>
        <w:t>油烟净化装置治理后由专用烟气管道高空排放，对周围空气环境影响较小。</w:t>
      </w:r>
    </w:p>
    <w:p>
      <w:pPr>
        <w:ind w:firstLine="480"/>
      </w:pPr>
      <w:r>
        <w:rPr>
          <w:rFonts w:hint="eastAsia"/>
        </w:rPr>
        <w:t>6、纺纱车间粉尘</w:t>
      </w:r>
    </w:p>
    <w:p>
      <w:pPr>
        <w:ind w:firstLine="480"/>
      </w:pPr>
      <w:r>
        <w:rPr>
          <w:rFonts w:hint="eastAsia"/>
        </w:rPr>
        <w:t>本次技改不对纺纱车间进行技术改造，技改前和技改后纺纱车间粉尘产排情况未发生变化，技改后纺纱车间粉尘对周围环境影响程度可类比现有工程。根据现有工程的厂界无组织废气现场检测数据可知，厂界颗粒物浓度达到了《大气污染物综合排放标准》（GB16297-1996）中相关标准，因此，技改后，纺纱车间粉尘对周围环境影响较小。</w:t>
      </w:r>
    </w:p>
    <w:p>
      <w:pPr>
        <w:pStyle w:val="5"/>
      </w:pPr>
      <w:r>
        <w:rPr>
          <w:rFonts w:hint="eastAsia"/>
        </w:rPr>
        <w:t>环境空气影响评价小结</w:t>
      </w:r>
    </w:p>
    <w:p>
      <w:pPr>
        <w:ind w:firstLine="480"/>
      </w:pPr>
      <w:r>
        <w:rPr>
          <w:rFonts w:hint="eastAsia"/>
        </w:rPr>
        <w:t>企业与技改前相比，技改后，厂区内废气减少了烧毛废气、织布车间粉尘，定型废气由无组织排放变为经处理后有组织排放、锅炉燃料由煤改为生物质、食堂油烟由无组织排放变为收集后采取油烟净化装置进行处理后屋顶排放，因此，技改后，整体上减少了废气对周围环境的影响。根据工程分析，技改后，厂区内颗粒物排放量减少</w:t>
      </w:r>
      <w:r>
        <w:t>8.871t/a</w:t>
      </w:r>
      <w:r>
        <w:rPr>
          <w:rFonts w:hint="eastAsia"/>
        </w:rPr>
        <w:t>、二氧化硫排放量减少</w:t>
      </w:r>
      <w:r>
        <w:t>6.083t/a</w:t>
      </w:r>
      <w:r>
        <w:rPr>
          <w:rFonts w:hint="eastAsia"/>
        </w:rPr>
        <w:t>、氮氧化物排放量减少</w:t>
      </w:r>
      <w:r>
        <w:t>9.026t/a</w:t>
      </w:r>
      <w:r>
        <w:rPr>
          <w:rFonts w:hint="eastAsia"/>
        </w:rPr>
        <w:t>、</w:t>
      </w:r>
      <w:r>
        <w:t>VOCs</w:t>
      </w:r>
      <w:r>
        <w:rPr>
          <w:rFonts w:hint="eastAsia"/>
        </w:rPr>
        <w:t>排放总量减少</w:t>
      </w:r>
      <w:r>
        <w:t>6.685t/a</w:t>
      </w:r>
      <w:r>
        <w:rPr>
          <w:rFonts w:hint="eastAsia"/>
        </w:rPr>
        <w:t>。由此可见，本次技改对区域大气环境质量有改善作用。</w:t>
      </w:r>
    </w:p>
    <w:p>
      <w:pPr>
        <w:pStyle w:val="4"/>
      </w:pPr>
      <w:r>
        <w:rPr>
          <w:rFonts w:hint="eastAsia"/>
        </w:rPr>
        <w:t>技改后声环境影响分析</w:t>
      </w:r>
    </w:p>
    <w:p>
      <w:pPr>
        <w:ind w:firstLine="480"/>
      </w:pPr>
      <w:r>
        <w:t>1</w:t>
      </w:r>
      <w:r>
        <w:rPr>
          <w:rFonts w:hint="eastAsia"/>
        </w:rPr>
        <w:t>、预测声源</w:t>
      </w:r>
    </w:p>
    <w:p>
      <w:pPr>
        <w:ind w:firstLine="480"/>
      </w:pPr>
      <w:r>
        <w:rPr>
          <w:rFonts w:hint="eastAsia"/>
        </w:rPr>
        <w:t>本项目噪声主要来源于高温高压气流染色机、水洗机、定型机、脱水机等生产设备。其噪声源强详见表</w:t>
      </w:r>
      <w:r>
        <w:t>6.2-10</w:t>
      </w:r>
      <w:r>
        <w:rPr>
          <w:rFonts w:hint="eastAsia"/>
        </w:rPr>
        <w:t>。</w:t>
      </w:r>
    </w:p>
    <w:p>
      <w:pPr>
        <w:pStyle w:val="26"/>
        <w:rPr>
          <w:b/>
          <w:bCs/>
        </w:rPr>
      </w:pPr>
      <w:r>
        <w:rPr>
          <w:rFonts w:hint="eastAsia"/>
          <w:b/>
          <w:bCs/>
        </w:rPr>
        <w:t>表</w:t>
      </w:r>
      <w:r>
        <w:rPr>
          <w:b/>
          <w:bCs/>
        </w:rPr>
        <w:t xml:space="preserve">6.2-10 </w:t>
      </w:r>
      <w:r>
        <w:rPr>
          <w:rFonts w:hint="eastAsia"/>
          <w:b/>
          <w:bCs/>
        </w:rPr>
        <w:t>技改项目噪声源强一览表</w:t>
      </w:r>
    </w:p>
    <w:tbl>
      <w:tblPr>
        <w:tblStyle w:val="23"/>
        <w:tblW w:w="98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2148"/>
        <w:gridCol w:w="1126"/>
        <w:gridCol w:w="1637"/>
        <w:gridCol w:w="1637"/>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6" w:type="dxa"/>
          </w:tcPr>
          <w:p>
            <w:pPr>
              <w:pStyle w:val="26"/>
              <w:rPr>
                <w:kern w:val="2"/>
                <w:szCs w:val="21"/>
                <w:lang w:val="en-US" w:eastAsia="zh-CN"/>
              </w:rPr>
            </w:pPr>
            <w:r>
              <w:rPr>
                <w:rFonts w:hint="eastAsia"/>
                <w:kern w:val="2"/>
                <w:szCs w:val="21"/>
                <w:lang w:val="en-US" w:eastAsia="zh-CN"/>
              </w:rPr>
              <w:t>设备名称</w:t>
            </w:r>
          </w:p>
        </w:tc>
        <w:tc>
          <w:tcPr>
            <w:tcW w:w="2148" w:type="dxa"/>
          </w:tcPr>
          <w:p>
            <w:pPr>
              <w:pStyle w:val="26"/>
              <w:rPr>
                <w:kern w:val="2"/>
                <w:szCs w:val="21"/>
                <w:lang w:val="en-US" w:eastAsia="zh-CN"/>
              </w:rPr>
            </w:pPr>
            <w:r>
              <w:rPr>
                <w:rFonts w:hint="eastAsia"/>
                <w:kern w:val="2"/>
                <w:szCs w:val="21"/>
                <w:lang w:val="en-US" w:eastAsia="zh-CN"/>
              </w:rPr>
              <w:t>高温高压气流染色机</w:t>
            </w:r>
          </w:p>
        </w:tc>
        <w:tc>
          <w:tcPr>
            <w:tcW w:w="1126" w:type="dxa"/>
          </w:tcPr>
          <w:p>
            <w:pPr>
              <w:pStyle w:val="26"/>
              <w:rPr>
                <w:kern w:val="2"/>
                <w:szCs w:val="21"/>
                <w:lang w:val="en-US" w:eastAsia="zh-CN"/>
              </w:rPr>
            </w:pPr>
            <w:r>
              <w:rPr>
                <w:rFonts w:hint="eastAsia"/>
                <w:kern w:val="2"/>
                <w:szCs w:val="21"/>
                <w:lang w:val="en-US" w:eastAsia="zh-CN"/>
              </w:rPr>
              <w:t>水洗机</w:t>
            </w:r>
          </w:p>
        </w:tc>
        <w:tc>
          <w:tcPr>
            <w:tcW w:w="1637" w:type="dxa"/>
          </w:tcPr>
          <w:p>
            <w:pPr>
              <w:pStyle w:val="26"/>
              <w:rPr>
                <w:kern w:val="2"/>
                <w:szCs w:val="21"/>
                <w:lang w:val="en-US" w:eastAsia="zh-CN"/>
              </w:rPr>
            </w:pPr>
            <w:r>
              <w:rPr>
                <w:rFonts w:hint="eastAsia"/>
                <w:kern w:val="2"/>
                <w:szCs w:val="21"/>
                <w:lang w:val="en-US" w:eastAsia="zh-CN"/>
              </w:rPr>
              <w:t>定型机</w:t>
            </w:r>
          </w:p>
        </w:tc>
        <w:tc>
          <w:tcPr>
            <w:tcW w:w="1637" w:type="dxa"/>
          </w:tcPr>
          <w:p>
            <w:pPr>
              <w:pStyle w:val="26"/>
              <w:rPr>
                <w:kern w:val="2"/>
                <w:szCs w:val="21"/>
                <w:lang w:val="en-US" w:eastAsia="zh-CN"/>
              </w:rPr>
            </w:pPr>
            <w:r>
              <w:rPr>
                <w:rFonts w:hint="eastAsia"/>
                <w:kern w:val="2"/>
                <w:szCs w:val="21"/>
                <w:lang w:val="en-US" w:eastAsia="zh-CN"/>
              </w:rPr>
              <w:t>脱水机</w:t>
            </w:r>
          </w:p>
        </w:tc>
        <w:tc>
          <w:tcPr>
            <w:tcW w:w="1627" w:type="dxa"/>
          </w:tcPr>
          <w:p>
            <w:pPr>
              <w:pStyle w:val="26"/>
              <w:rPr>
                <w:kern w:val="2"/>
                <w:szCs w:val="21"/>
                <w:lang w:val="en-US" w:eastAsia="zh-CN"/>
              </w:rPr>
            </w:pPr>
            <w:r>
              <w:rPr>
                <w:rFonts w:hint="eastAsia"/>
                <w:kern w:val="2"/>
                <w:szCs w:val="21"/>
                <w:lang w:val="en-US" w:eastAsia="zh-CN"/>
              </w:rPr>
              <w:t>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6" w:type="dxa"/>
          </w:tcPr>
          <w:p>
            <w:pPr>
              <w:pStyle w:val="26"/>
              <w:rPr>
                <w:kern w:val="2"/>
                <w:szCs w:val="21"/>
                <w:lang w:val="en-US" w:eastAsia="zh-CN"/>
              </w:rPr>
            </w:pPr>
            <w:r>
              <w:rPr>
                <w:rFonts w:hint="eastAsia"/>
                <w:kern w:val="2"/>
                <w:szCs w:val="21"/>
                <w:lang w:val="en-US" w:eastAsia="zh-CN"/>
              </w:rPr>
              <w:t>声级值（</w:t>
            </w:r>
            <w:r>
              <w:rPr>
                <w:kern w:val="2"/>
                <w:szCs w:val="21"/>
                <w:lang w:val="en-US" w:eastAsia="zh-CN"/>
              </w:rPr>
              <w:t>dB(A)</w:t>
            </w:r>
            <w:r>
              <w:rPr>
                <w:rFonts w:hint="eastAsia"/>
                <w:kern w:val="2"/>
                <w:szCs w:val="21"/>
                <w:lang w:val="en-US" w:eastAsia="zh-CN"/>
              </w:rPr>
              <w:t>）</w:t>
            </w:r>
          </w:p>
        </w:tc>
        <w:tc>
          <w:tcPr>
            <w:tcW w:w="2148" w:type="dxa"/>
          </w:tcPr>
          <w:p>
            <w:pPr>
              <w:pStyle w:val="26"/>
              <w:rPr>
                <w:kern w:val="2"/>
                <w:szCs w:val="21"/>
                <w:lang w:val="en-US" w:eastAsia="zh-CN"/>
              </w:rPr>
            </w:pPr>
            <w:r>
              <w:rPr>
                <w:kern w:val="2"/>
                <w:szCs w:val="21"/>
                <w:lang w:val="en-US" w:eastAsia="zh-CN"/>
              </w:rPr>
              <w:t>81</w:t>
            </w:r>
          </w:p>
        </w:tc>
        <w:tc>
          <w:tcPr>
            <w:tcW w:w="1126" w:type="dxa"/>
          </w:tcPr>
          <w:p>
            <w:pPr>
              <w:pStyle w:val="26"/>
              <w:rPr>
                <w:kern w:val="2"/>
                <w:szCs w:val="21"/>
                <w:lang w:val="en-US" w:eastAsia="zh-CN"/>
              </w:rPr>
            </w:pPr>
            <w:r>
              <w:rPr>
                <w:kern w:val="2"/>
                <w:szCs w:val="21"/>
                <w:lang w:val="en-US" w:eastAsia="zh-CN"/>
              </w:rPr>
              <w:t>79</w:t>
            </w:r>
          </w:p>
        </w:tc>
        <w:tc>
          <w:tcPr>
            <w:tcW w:w="1637" w:type="dxa"/>
          </w:tcPr>
          <w:p>
            <w:pPr>
              <w:pStyle w:val="26"/>
              <w:rPr>
                <w:kern w:val="2"/>
                <w:szCs w:val="21"/>
                <w:lang w:val="en-US" w:eastAsia="zh-CN"/>
              </w:rPr>
            </w:pPr>
            <w:r>
              <w:rPr>
                <w:kern w:val="2"/>
                <w:szCs w:val="21"/>
                <w:lang w:val="en-US" w:eastAsia="zh-CN"/>
              </w:rPr>
              <w:t>79</w:t>
            </w:r>
          </w:p>
        </w:tc>
        <w:tc>
          <w:tcPr>
            <w:tcW w:w="1637" w:type="dxa"/>
          </w:tcPr>
          <w:p>
            <w:pPr>
              <w:pStyle w:val="26"/>
              <w:rPr>
                <w:kern w:val="2"/>
                <w:szCs w:val="21"/>
                <w:lang w:val="en-US" w:eastAsia="zh-CN"/>
              </w:rPr>
            </w:pPr>
            <w:r>
              <w:rPr>
                <w:kern w:val="2"/>
                <w:szCs w:val="21"/>
                <w:lang w:val="en-US" w:eastAsia="zh-CN"/>
              </w:rPr>
              <w:t>85</w:t>
            </w:r>
          </w:p>
        </w:tc>
        <w:tc>
          <w:tcPr>
            <w:tcW w:w="1627" w:type="dxa"/>
          </w:tcPr>
          <w:p>
            <w:pPr>
              <w:pStyle w:val="26"/>
              <w:rPr>
                <w:kern w:val="2"/>
                <w:szCs w:val="21"/>
                <w:lang w:val="en-US" w:eastAsia="zh-CN"/>
              </w:rPr>
            </w:pPr>
            <w:r>
              <w:rPr>
                <w:kern w:val="2"/>
                <w:szCs w:val="21"/>
                <w:lang w:val="en-US" w:eastAsia="zh-CN"/>
              </w:rPr>
              <w:t>86</w:t>
            </w:r>
          </w:p>
        </w:tc>
      </w:tr>
    </w:tbl>
    <w:p>
      <w:pPr>
        <w:ind w:firstLine="480"/>
      </w:pPr>
      <w:r>
        <w:t>2</w:t>
      </w:r>
      <w:r>
        <w:rPr>
          <w:rFonts w:hint="eastAsia"/>
        </w:rPr>
        <w:t>、预测模式</w:t>
      </w:r>
    </w:p>
    <w:p>
      <w:pPr>
        <w:ind w:firstLine="480"/>
      </w:pPr>
      <w:r>
        <w:rPr>
          <w:rFonts w:hint="eastAsia"/>
        </w:rPr>
        <w:t>根据建设项目的噪声排放特点，并结合《环境影响评价技术导则－声环境》</w:t>
      </w:r>
      <w:r>
        <w:t>(HJ2.4-2009)</w:t>
      </w:r>
      <w:r>
        <w:rPr>
          <w:rFonts w:hint="eastAsia"/>
        </w:rPr>
        <w:t>的要求，可选择点声源预测模式模拟预测噪声源排放噪声随距离的衰减变化规律。</w:t>
      </w:r>
    </w:p>
    <w:p>
      <w:pPr>
        <w:ind w:firstLine="480"/>
      </w:pPr>
      <w:r>
        <w:t>(1)</w:t>
      </w:r>
      <w:r>
        <w:rPr>
          <w:rFonts w:hint="eastAsia"/>
        </w:rPr>
        <w:t>对室外噪声源主要考虑噪声的几何发散衰减及环境因素衰减：</w:t>
      </w:r>
    </w:p>
    <w:p>
      <w:pPr>
        <w:ind w:firstLine="480"/>
      </w:pPr>
      <w:r>
        <w:object>
          <v:shape id="_x0000_i1040" o:spt="75" type="#_x0000_t75" style="height:18.8pt;width:116.05pt;" o:ole="t" filled="f" o:preferrelative="t" stroked="f" coordsize="21600,21600">
            <v:path/>
            <v:fill on="f" focussize="0,0"/>
            <v:stroke on="f" joinstyle="miter"/>
            <v:imagedata r:id="rId44" o:title=""/>
            <o:lock v:ext="edit" aspectratio="t"/>
            <w10:wrap type="none"/>
            <w10:anchorlock/>
          </v:shape>
          <o:OLEObject Type="Embed" ProgID="Equation.DSMT4" ShapeID="_x0000_i1040" DrawAspect="Content" ObjectID="_1468075736" r:id="rId43">
            <o:LockedField>false</o:LockedField>
          </o:OLEObject>
        </w:object>
      </w:r>
    </w:p>
    <w:p>
      <w:pPr>
        <w:ind w:firstLine="480"/>
      </w:pPr>
      <w:r>
        <w:object>
          <v:shape id="_x0000_i1041" o:spt="75" type="#_x0000_t75" style="height:18.25pt;width:66.1pt;" o:ole="t" filled="f" o:preferrelative="t" stroked="f" coordsize="21600,21600">
            <v:path/>
            <v:fill on="f" focussize="0,0"/>
            <v:stroke on="f" joinstyle="miter"/>
            <v:imagedata r:id="rId46" o:title=""/>
            <o:lock v:ext="edit" aspectratio="t"/>
            <w10:wrap type="none"/>
            <w10:anchorlock/>
          </v:shape>
          <o:OLEObject Type="Embed" ProgID="Equation.DSMT4" ShapeID="_x0000_i1041" DrawAspect="Content" ObjectID="_1468075737" r:id="rId45">
            <o:LockedField>false</o:LockedField>
          </o:OLEObject>
        </w:object>
      </w:r>
    </w:p>
    <w:p>
      <w:pPr>
        <w:ind w:firstLine="480"/>
      </w:pPr>
      <w:r>
        <w:rPr>
          <w:rFonts w:hint="eastAsia"/>
        </w:rPr>
        <w:t>式中：</w:t>
      </w:r>
      <w:r>
        <w:t>LP—</w:t>
      </w:r>
      <w:r>
        <w:rPr>
          <w:rFonts w:hint="eastAsia"/>
        </w:rPr>
        <w:t>距离声源</w:t>
      </w:r>
      <w:r>
        <w:t>r</w:t>
      </w:r>
      <w:r>
        <w:rPr>
          <w:rFonts w:hint="eastAsia"/>
        </w:rPr>
        <w:t>米处的声压级；</w:t>
      </w:r>
    </w:p>
    <w:p>
      <w:pPr>
        <w:ind w:firstLine="480"/>
      </w:pPr>
      <w:r>
        <w:t xml:space="preserve">r — </w:t>
      </w:r>
      <w:r>
        <w:rPr>
          <w:rFonts w:hint="eastAsia"/>
        </w:rPr>
        <w:t>预测点与声源的距离；</w:t>
      </w:r>
    </w:p>
    <w:p>
      <w:pPr>
        <w:ind w:firstLine="480"/>
      </w:pPr>
      <w:r>
        <w:t>r0—</w:t>
      </w:r>
      <w:r>
        <w:rPr>
          <w:rFonts w:hint="eastAsia"/>
        </w:rPr>
        <w:t>距离声源</w:t>
      </w:r>
      <w:r>
        <w:t>r0</w:t>
      </w:r>
      <w:r>
        <w:rPr>
          <w:rFonts w:hint="eastAsia"/>
        </w:rPr>
        <w:t>米处的距离；</w:t>
      </w:r>
    </w:p>
    <w:p>
      <w:pPr>
        <w:ind w:firstLine="480"/>
      </w:pPr>
      <w:r>
        <w:t>a—</w:t>
      </w:r>
      <w:r>
        <w:rPr>
          <w:rFonts w:hint="eastAsia"/>
        </w:rPr>
        <w:t>空气衰减系数；</w:t>
      </w:r>
    </w:p>
    <w:p>
      <w:pPr>
        <w:ind w:firstLine="480"/>
      </w:pPr>
      <w:r>
        <w:rPr>
          <w:rFonts w:hint="eastAsia"/>
        </w:rPr>
        <w:t>△</w:t>
      </w:r>
      <w:r>
        <w:t>L—</w:t>
      </w:r>
      <w:r>
        <w:rPr>
          <w:rFonts w:hint="eastAsia"/>
        </w:rPr>
        <w:t>各种因素引起的衰减量</w:t>
      </w:r>
      <w:r>
        <w:t>(</w:t>
      </w:r>
      <w:r>
        <w:rPr>
          <w:rFonts w:hint="eastAsia"/>
        </w:rPr>
        <w:t>包括声屏障、空气吸收等</w:t>
      </w:r>
      <w:r>
        <w:t>)</w:t>
      </w:r>
      <w:r>
        <w:rPr>
          <w:rFonts w:hint="eastAsia"/>
        </w:rPr>
        <w:t>。</w:t>
      </w:r>
    </w:p>
    <w:p>
      <w:pPr>
        <w:ind w:firstLine="480"/>
      </w:pPr>
      <w:r>
        <w:t>(2)</w:t>
      </w:r>
      <w:r>
        <w:rPr>
          <w:rFonts w:hint="eastAsia"/>
        </w:rPr>
        <w:t>对室内噪声源采用室内声源噪声模式并换算成等效的室外声源：</w:t>
      </w:r>
    </w:p>
    <w:p>
      <w:pPr>
        <w:ind w:firstLine="480"/>
      </w:pPr>
      <w:r>
        <w:object>
          <v:shape id="_x0000_i1042" o:spt="75" type="#_x0000_t75" style="height:38.15pt;width:128.4pt;" o:ole="t" fillcolor="#000011" filled="f" o:preferrelative="t" stroked="f" coordsize="21600,21600">
            <v:path/>
            <v:fill on="f" focussize="0,0"/>
            <v:stroke on="f" joinstyle="miter"/>
            <v:imagedata r:id="rId48" o:title=""/>
            <o:lock v:ext="edit" aspectratio="t"/>
            <w10:wrap type="none"/>
            <w10:anchorlock/>
          </v:shape>
          <o:OLEObject Type="Embed" ProgID="Equation.3" ShapeID="_x0000_i1042" DrawAspect="Content" ObjectID="_1468075738" r:id="rId47">
            <o:LockedField>false</o:LockedField>
          </o:OLEObject>
        </w:object>
      </w:r>
    </w:p>
    <w:p>
      <w:pPr>
        <w:ind w:firstLine="480"/>
      </w:pPr>
      <w:r>
        <w:object>
          <v:shape id="_x0000_i1043" o:spt="75" type="#_x0000_t75" style="height:18.25pt;width:125.2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39" r:id="rId49">
            <o:LockedField>false</o:LockedField>
          </o:OLEObject>
        </w:object>
      </w:r>
    </w:p>
    <w:p>
      <w:pPr>
        <w:ind w:firstLine="480"/>
      </w:pPr>
      <w:r>
        <w:rPr>
          <w:rFonts w:hint="eastAsia"/>
        </w:rPr>
        <w:t>式中：</w:t>
      </w:r>
      <w:r>
        <w:t>Ln—</w:t>
      </w:r>
      <w:r>
        <w:rPr>
          <w:rFonts w:hint="eastAsia"/>
        </w:rPr>
        <w:t>室内靠近围护结构处产生的声压级；</w:t>
      </w:r>
    </w:p>
    <w:p>
      <w:pPr>
        <w:ind w:firstLine="480"/>
      </w:pPr>
      <w:r>
        <w:t>Lw—</w:t>
      </w:r>
      <w:r>
        <w:rPr>
          <w:rFonts w:hint="eastAsia"/>
        </w:rPr>
        <w:t>室外靠近维护结构处产生的声压级；</w:t>
      </w:r>
    </w:p>
    <w:p>
      <w:pPr>
        <w:ind w:firstLine="480"/>
      </w:pPr>
      <w:r>
        <w:t>Le—</w:t>
      </w:r>
      <w:r>
        <w:rPr>
          <w:rFonts w:hint="eastAsia"/>
        </w:rPr>
        <w:t>声源的声压级；</w:t>
      </w:r>
    </w:p>
    <w:p>
      <w:pPr>
        <w:ind w:firstLine="480"/>
      </w:pPr>
      <w:r>
        <w:t>r—</w:t>
      </w:r>
      <w:r>
        <w:rPr>
          <w:rFonts w:hint="eastAsia"/>
        </w:rPr>
        <w:t>声源与室内靠近围护结构处的距离；</w:t>
      </w:r>
    </w:p>
    <w:p>
      <w:pPr>
        <w:ind w:firstLine="480"/>
      </w:pPr>
      <w:r>
        <w:t>R—</w:t>
      </w:r>
      <w:r>
        <w:rPr>
          <w:rFonts w:hint="eastAsia"/>
        </w:rPr>
        <w:t>房间常数；</w:t>
      </w:r>
    </w:p>
    <w:p>
      <w:pPr>
        <w:ind w:firstLine="480"/>
      </w:pPr>
      <w:r>
        <w:t>Q—</w:t>
      </w:r>
      <w:r>
        <w:rPr>
          <w:rFonts w:hint="eastAsia"/>
        </w:rPr>
        <w:t>方向性因子；</w:t>
      </w:r>
    </w:p>
    <w:p>
      <w:pPr>
        <w:ind w:firstLine="480"/>
      </w:pPr>
      <w:r>
        <w:t>TL—</w:t>
      </w:r>
      <w:r>
        <w:rPr>
          <w:rFonts w:hint="eastAsia"/>
        </w:rPr>
        <w:t>围护结构处的传输损失；</w:t>
      </w:r>
    </w:p>
    <w:p>
      <w:pPr>
        <w:ind w:firstLine="480"/>
      </w:pPr>
      <w:r>
        <w:t>S—</w:t>
      </w:r>
      <w:r>
        <w:rPr>
          <w:rFonts w:hint="eastAsia"/>
        </w:rPr>
        <w:t>透声面积</w:t>
      </w:r>
      <w:r>
        <w:t>(m2)</w:t>
      </w:r>
      <w:r>
        <w:rPr>
          <w:rFonts w:hint="eastAsia"/>
        </w:rPr>
        <w:t>。</w:t>
      </w:r>
    </w:p>
    <w:p>
      <w:pPr>
        <w:ind w:firstLine="480"/>
      </w:pPr>
      <w:r>
        <w:t>(3)</w:t>
      </w:r>
      <w:r>
        <w:rPr>
          <w:rFonts w:hint="eastAsia"/>
        </w:rPr>
        <w:t>对两个以上多个声源同时存在时，多点源叠加计算总源强，采用如下公式：</w:t>
      </w:r>
    </w:p>
    <w:p>
      <w:pPr>
        <w:ind w:firstLine="480"/>
      </w:pPr>
      <w:r>
        <w:object>
          <v:shape id="_x0000_i1044" o:spt="75" type="#_x0000_t75" style="height:20.4pt;width:98.35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0" r:id="rId51">
            <o:LockedField>false</o:LockedField>
          </o:OLEObject>
        </w:object>
      </w:r>
    </w:p>
    <w:p>
      <w:pPr>
        <w:ind w:firstLine="480"/>
      </w:pPr>
      <w:r>
        <w:rPr>
          <w:rFonts w:hint="eastAsia"/>
        </w:rPr>
        <w:t>式中：</w:t>
      </w:r>
      <w:r>
        <w:t>Leq—</w:t>
      </w:r>
      <w:r>
        <w:rPr>
          <w:rFonts w:hint="eastAsia"/>
        </w:rPr>
        <w:t>预测点的总等效声级，</w:t>
      </w:r>
      <w:r>
        <w:t>dB(A)</w:t>
      </w:r>
      <w:r>
        <w:rPr>
          <w:rFonts w:hint="eastAsia"/>
        </w:rPr>
        <w:t>；</w:t>
      </w:r>
    </w:p>
    <w:p>
      <w:pPr>
        <w:ind w:firstLine="480"/>
      </w:pPr>
      <w:r>
        <w:t>Li—</w:t>
      </w:r>
      <w:r>
        <w:rPr>
          <w:rFonts w:hint="eastAsia"/>
        </w:rPr>
        <w:t>第</w:t>
      </w:r>
      <w:r>
        <w:t>i</w:t>
      </w:r>
      <w:r>
        <w:rPr>
          <w:rFonts w:hint="eastAsia"/>
        </w:rPr>
        <w:t>个声源对预测点的声级影响，</w:t>
      </w:r>
      <w:r>
        <w:t>dB(A)</w:t>
      </w:r>
      <w:r>
        <w:rPr>
          <w:rFonts w:hint="eastAsia"/>
        </w:rPr>
        <w:t>。</w:t>
      </w:r>
    </w:p>
    <w:p>
      <w:pPr>
        <w:ind w:firstLine="480"/>
      </w:pPr>
      <w:r>
        <w:rPr>
          <w:rFonts w:hint="eastAsia"/>
        </w:rPr>
        <w:t>预测分析内容</w:t>
      </w:r>
    </w:p>
    <w:p>
      <w:pPr>
        <w:ind w:firstLine="480"/>
      </w:pPr>
      <w:r>
        <w:rPr>
          <w:rFonts w:hint="eastAsia"/>
        </w:rPr>
        <w:t>本项目技改实施后，机械设备噪声运行对厂界的预测噪声增量值见表</w:t>
      </w:r>
      <w:r>
        <w:t>6.2-11</w:t>
      </w:r>
      <w:r>
        <w:rPr>
          <w:rFonts w:hint="eastAsia"/>
        </w:rPr>
        <w:t>。</w:t>
      </w:r>
    </w:p>
    <w:p>
      <w:pPr>
        <w:pStyle w:val="26"/>
      </w:pPr>
      <w:r>
        <w:rPr>
          <w:rFonts w:hint="eastAsia"/>
        </w:rPr>
        <w:t>表</w:t>
      </w:r>
      <w:r>
        <w:t xml:space="preserve">6.2-11  </w:t>
      </w:r>
      <w:r>
        <w:rPr>
          <w:rFonts w:hint="eastAsia"/>
        </w:rPr>
        <w:t>厂界噪声预测结果一览表单位：</w:t>
      </w:r>
      <w:r>
        <w:t>dB</w:t>
      </w:r>
      <w:r>
        <w:rPr>
          <w:rFonts w:hint="eastAsia"/>
        </w:rPr>
        <w:t>（</w:t>
      </w:r>
      <w:r>
        <w:t>A</w:t>
      </w:r>
      <w:r>
        <w:rPr>
          <w:rFonts w:hint="eastAsia"/>
        </w:rPr>
        <w:t>）</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327"/>
        <w:gridCol w:w="2146"/>
        <w:gridCol w:w="1794"/>
        <w:gridCol w:w="2090"/>
        <w:gridCol w:w="1497"/>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766" w:hRule="atLeast"/>
          <w:tblHeader/>
          <w:jc w:val="center"/>
        </w:trPr>
        <w:tc>
          <w:tcPr>
            <w:tcW w:w="2327" w:type="dxa"/>
            <w:tcBorders>
              <w:top w:val="single" w:color="auto" w:sz="4" w:space="0"/>
              <w:tl2br w:val="single" w:color="auto" w:sz="2" w:space="0"/>
            </w:tcBorders>
            <w:shd w:val="clear" w:color="auto" w:fill="D8D8D8"/>
            <w:vAlign w:val="center"/>
          </w:tcPr>
          <w:p>
            <w:pPr>
              <w:pStyle w:val="26"/>
              <w:spacing w:line="240" w:lineRule="auto"/>
              <w:rPr>
                <w:kern w:val="2"/>
                <w:szCs w:val="21"/>
                <w:lang w:val="en-US" w:eastAsia="zh-CN"/>
              </w:rPr>
            </w:pPr>
            <w:r>
              <w:rPr>
                <w:rFonts w:hint="eastAsia"/>
                <w:kern w:val="2"/>
                <w:szCs w:val="21"/>
                <w:lang w:val="en-US" w:eastAsia="zh-CN"/>
              </w:rPr>
              <w:t>噪声预测值</w:t>
            </w:r>
          </w:p>
          <w:p>
            <w:pPr>
              <w:pStyle w:val="26"/>
              <w:spacing w:line="240" w:lineRule="auto"/>
              <w:jc w:val="both"/>
              <w:rPr>
                <w:kern w:val="2"/>
                <w:szCs w:val="21"/>
                <w:lang w:val="en-US" w:eastAsia="zh-CN"/>
              </w:rPr>
            </w:pPr>
            <w:r>
              <w:rPr>
                <w:rFonts w:hint="eastAsia"/>
                <w:kern w:val="2"/>
                <w:szCs w:val="21"/>
                <w:lang w:val="en-US" w:eastAsia="zh-CN"/>
              </w:rPr>
              <w:t>预测点</w:t>
            </w:r>
          </w:p>
        </w:tc>
        <w:tc>
          <w:tcPr>
            <w:tcW w:w="2146" w:type="dxa"/>
            <w:tcBorders>
              <w:top w:val="single" w:color="auto" w:sz="4" w:space="0"/>
            </w:tcBorders>
            <w:shd w:val="clear" w:color="auto" w:fill="D8D8D8"/>
            <w:vAlign w:val="center"/>
          </w:tcPr>
          <w:p>
            <w:pPr>
              <w:pStyle w:val="26"/>
              <w:spacing w:line="240" w:lineRule="auto"/>
              <w:rPr>
                <w:kern w:val="2"/>
                <w:szCs w:val="21"/>
                <w:lang w:val="en-US" w:eastAsia="zh-CN"/>
              </w:rPr>
            </w:pPr>
            <w:r>
              <w:rPr>
                <w:rFonts w:hint="eastAsia"/>
                <w:kern w:val="2"/>
                <w:szCs w:val="21"/>
                <w:lang w:val="en-US" w:eastAsia="zh-CN"/>
              </w:rPr>
              <w:t>生产车间噪声预测影响值</w:t>
            </w:r>
          </w:p>
        </w:tc>
        <w:tc>
          <w:tcPr>
            <w:tcW w:w="1794" w:type="dxa"/>
            <w:tcBorders>
              <w:top w:val="single" w:color="auto" w:sz="4" w:space="0"/>
            </w:tcBorders>
            <w:shd w:val="clear" w:color="auto" w:fill="D8D8D8"/>
            <w:vAlign w:val="center"/>
          </w:tcPr>
          <w:p>
            <w:pPr>
              <w:pStyle w:val="26"/>
              <w:spacing w:line="240" w:lineRule="auto"/>
              <w:rPr>
                <w:kern w:val="2"/>
                <w:szCs w:val="21"/>
                <w:lang w:val="en-US" w:eastAsia="zh-CN"/>
              </w:rPr>
            </w:pPr>
            <w:r>
              <w:rPr>
                <w:rFonts w:hint="eastAsia"/>
                <w:kern w:val="2"/>
                <w:szCs w:val="21"/>
                <w:lang w:val="en-US" w:eastAsia="zh-CN"/>
              </w:rPr>
              <w:t>污水处理站噪声预测影响值</w:t>
            </w:r>
          </w:p>
        </w:tc>
        <w:tc>
          <w:tcPr>
            <w:tcW w:w="2090" w:type="dxa"/>
            <w:tcBorders>
              <w:top w:val="single" w:color="auto" w:sz="4" w:space="0"/>
            </w:tcBorders>
            <w:shd w:val="clear" w:color="auto" w:fill="D8D8D8"/>
            <w:vAlign w:val="center"/>
          </w:tcPr>
          <w:p>
            <w:pPr>
              <w:pStyle w:val="26"/>
              <w:spacing w:line="240" w:lineRule="auto"/>
              <w:rPr>
                <w:kern w:val="2"/>
                <w:szCs w:val="21"/>
                <w:lang w:val="en-US" w:eastAsia="zh-CN"/>
              </w:rPr>
            </w:pPr>
            <w:r>
              <w:rPr>
                <w:rFonts w:hint="eastAsia"/>
                <w:kern w:val="2"/>
                <w:szCs w:val="21"/>
                <w:lang w:val="en-US" w:eastAsia="zh-CN"/>
              </w:rPr>
              <w:t>锅炉房噪声预测影响值</w:t>
            </w:r>
          </w:p>
        </w:tc>
        <w:tc>
          <w:tcPr>
            <w:tcW w:w="1497" w:type="dxa"/>
            <w:tcBorders>
              <w:top w:val="single" w:color="auto" w:sz="4" w:space="0"/>
              <w:right w:val="single" w:color="auto" w:sz="2" w:space="0"/>
            </w:tcBorders>
            <w:shd w:val="clear" w:color="auto" w:fill="D8D8D8"/>
            <w:vAlign w:val="center"/>
          </w:tcPr>
          <w:p>
            <w:pPr>
              <w:pStyle w:val="26"/>
              <w:spacing w:line="240" w:lineRule="auto"/>
              <w:rPr>
                <w:kern w:val="2"/>
                <w:szCs w:val="21"/>
                <w:lang w:val="en-US" w:eastAsia="zh-CN"/>
              </w:rPr>
            </w:pPr>
            <w:r>
              <w:rPr>
                <w:rFonts w:hint="eastAsia"/>
                <w:kern w:val="2"/>
                <w:szCs w:val="21"/>
                <w:lang w:val="en-US" w:eastAsia="zh-CN"/>
              </w:rPr>
              <w:t>叠加贡献值</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327" w:type="dxa"/>
            <w:vAlign w:val="center"/>
          </w:tcPr>
          <w:p>
            <w:pPr>
              <w:pStyle w:val="26"/>
              <w:rPr>
                <w:kern w:val="2"/>
                <w:szCs w:val="21"/>
                <w:lang w:val="en-US" w:eastAsia="zh-CN"/>
              </w:rPr>
            </w:pPr>
            <w:r>
              <w:rPr>
                <w:rFonts w:hint="eastAsia"/>
                <w:kern w:val="2"/>
                <w:szCs w:val="21"/>
                <w:lang w:val="en-US" w:eastAsia="zh-CN"/>
              </w:rPr>
              <w:t>东边界</w:t>
            </w:r>
          </w:p>
        </w:tc>
        <w:tc>
          <w:tcPr>
            <w:tcW w:w="2146" w:type="dxa"/>
            <w:vAlign w:val="center"/>
          </w:tcPr>
          <w:p>
            <w:pPr>
              <w:pStyle w:val="26"/>
              <w:rPr>
                <w:kern w:val="2"/>
                <w:szCs w:val="21"/>
                <w:lang w:val="en-US" w:eastAsia="zh-CN"/>
              </w:rPr>
            </w:pPr>
            <w:r>
              <w:rPr>
                <w:kern w:val="2"/>
                <w:szCs w:val="21"/>
                <w:lang w:val="en-US" w:eastAsia="zh-CN"/>
              </w:rPr>
              <w:t>48.96</w:t>
            </w:r>
          </w:p>
        </w:tc>
        <w:tc>
          <w:tcPr>
            <w:tcW w:w="1794" w:type="dxa"/>
            <w:vAlign w:val="center"/>
          </w:tcPr>
          <w:p>
            <w:pPr>
              <w:pStyle w:val="26"/>
              <w:rPr>
                <w:kern w:val="2"/>
                <w:szCs w:val="21"/>
                <w:lang w:val="en-US" w:eastAsia="zh-CN"/>
              </w:rPr>
            </w:pPr>
            <w:r>
              <w:rPr>
                <w:kern w:val="2"/>
                <w:szCs w:val="21"/>
                <w:lang w:val="en-US" w:eastAsia="zh-CN"/>
              </w:rPr>
              <w:t>49.71</w:t>
            </w:r>
          </w:p>
        </w:tc>
        <w:tc>
          <w:tcPr>
            <w:tcW w:w="2090" w:type="dxa"/>
            <w:vAlign w:val="center"/>
          </w:tcPr>
          <w:p>
            <w:pPr>
              <w:pStyle w:val="26"/>
              <w:rPr>
                <w:kern w:val="2"/>
                <w:szCs w:val="21"/>
                <w:lang w:val="en-US" w:eastAsia="zh-CN"/>
              </w:rPr>
            </w:pPr>
            <w:r>
              <w:rPr>
                <w:kern w:val="2"/>
                <w:szCs w:val="21"/>
                <w:lang w:val="en-US" w:eastAsia="zh-CN"/>
              </w:rPr>
              <w:t>56.46</w:t>
            </w:r>
          </w:p>
        </w:tc>
        <w:tc>
          <w:tcPr>
            <w:tcW w:w="1497" w:type="dxa"/>
            <w:tcBorders>
              <w:right w:val="single" w:color="auto" w:sz="2" w:space="0"/>
            </w:tcBorders>
            <w:vAlign w:val="center"/>
          </w:tcPr>
          <w:p>
            <w:pPr>
              <w:pStyle w:val="26"/>
              <w:rPr>
                <w:kern w:val="2"/>
                <w:szCs w:val="21"/>
                <w:lang w:val="en-US" w:eastAsia="zh-CN"/>
              </w:rPr>
            </w:pPr>
            <w:r>
              <w:rPr>
                <w:kern w:val="2"/>
                <w:szCs w:val="21"/>
                <w:lang w:val="en-US" w:eastAsia="zh-CN"/>
              </w:rPr>
              <w:t>57.89</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327" w:type="dxa"/>
            <w:vAlign w:val="center"/>
          </w:tcPr>
          <w:p>
            <w:pPr>
              <w:pStyle w:val="26"/>
              <w:rPr>
                <w:kern w:val="2"/>
                <w:szCs w:val="21"/>
                <w:lang w:val="en-US" w:eastAsia="zh-CN"/>
              </w:rPr>
            </w:pPr>
            <w:r>
              <w:rPr>
                <w:rFonts w:hint="eastAsia"/>
                <w:kern w:val="2"/>
                <w:szCs w:val="21"/>
                <w:lang w:val="en-US" w:eastAsia="zh-CN"/>
              </w:rPr>
              <w:t>南边界</w:t>
            </w:r>
          </w:p>
        </w:tc>
        <w:tc>
          <w:tcPr>
            <w:tcW w:w="2146" w:type="dxa"/>
            <w:vAlign w:val="center"/>
          </w:tcPr>
          <w:p>
            <w:pPr>
              <w:pStyle w:val="26"/>
              <w:rPr>
                <w:kern w:val="2"/>
                <w:szCs w:val="21"/>
                <w:lang w:val="en-US" w:eastAsia="zh-CN"/>
              </w:rPr>
            </w:pPr>
            <w:r>
              <w:rPr>
                <w:kern w:val="2"/>
                <w:szCs w:val="21"/>
                <w:lang w:val="en-US" w:eastAsia="zh-CN"/>
              </w:rPr>
              <w:t>39.02</w:t>
            </w:r>
          </w:p>
        </w:tc>
        <w:tc>
          <w:tcPr>
            <w:tcW w:w="1794" w:type="dxa"/>
            <w:vAlign w:val="center"/>
          </w:tcPr>
          <w:p>
            <w:pPr>
              <w:pStyle w:val="26"/>
              <w:rPr>
                <w:kern w:val="2"/>
                <w:szCs w:val="21"/>
                <w:lang w:val="en-US" w:eastAsia="zh-CN"/>
              </w:rPr>
            </w:pPr>
            <w:r>
              <w:rPr>
                <w:kern w:val="2"/>
                <w:szCs w:val="21"/>
                <w:lang w:val="en-US" w:eastAsia="zh-CN"/>
              </w:rPr>
              <w:t>50.44</w:t>
            </w:r>
          </w:p>
        </w:tc>
        <w:tc>
          <w:tcPr>
            <w:tcW w:w="2090" w:type="dxa"/>
            <w:vAlign w:val="center"/>
          </w:tcPr>
          <w:p>
            <w:pPr>
              <w:pStyle w:val="26"/>
              <w:rPr>
                <w:kern w:val="2"/>
                <w:szCs w:val="21"/>
                <w:lang w:val="en-US" w:eastAsia="zh-CN"/>
              </w:rPr>
            </w:pPr>
            <w:r>
              <w:rPr>
                <w:kern w:val="2"/>
                <w:szCs w:val="21"/>
                <w:lang w:val="en-US" w:eastAsia="zh-CN"/>
              </w:rPr>
              <w:t>52.94</w:t>
            </w:r>
          </w:p>
        </w:tc>
        <w:tc>
          <w:tcPr>
            <w:tcW w:w="1497" w:type="dxa"/>
            <w:vAlign w:val="center"/>
          </w:tcPr>
          <w:p>
            <w:pPr>
              <w:pStyle w:val="26"/>
              <w:rPr>
                <w:kern w:val="2"/>
                <w:szCs w:val="21"/>
                <w:lang w:val="en-US" w:eastAsia="zh-CN"/>
              </w:rPr>
            </w:pPr>
            <w:r>
              <w:rPr>
                <w:kern w:val="2"/>
                <w:szCs w:val="21"/>
                <w:lang w:val="en-US" w:eastAsia="zh-CN"/>
              </w:rPr>
              <w:t>54.99</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327" w:type="dxa"/>
            <w:vAlign w:val="center"/>
          </w:tcPr>
          <w:p>
            <w:pPr>
              <w:pStyle w:val="26"/>
              <w:rPr>
                <w:kern w:val="2"/>
                <w:szCs w:val="21"/>
                <w:lang w:val="en-US" w:eastAsia="zh-CN"/>
              </w:rPr>
            </w:pPr>
            <w:r>
              <w:rPr>
                <w:rFonts w:hint="eastAsia"/>
                <w:kern w:val="2"/>
                <w:szCs w:val="21"/>
                <w:lang w:val="en-US" w:eastAsia="zh-CN"/>
              </w:rPr>
              <w:t>西边界</w:t>
            </w:r>
          </w:p>
        </w:tc>
        <w:tc>
          <w:tcPr>
            <w:tcW w:w="2146" w:type="dxa"/>
            <w:vAlign w:val="center"/>
          </w:tcPr>
          <w:p>
            <w:pPr>
              <w:pStyle w:val="26"/>
              <w:rPr>
                <w:kern w:val="2"/>
                <w:szCs w:val="21"/>
                <w:lang w:val="en-US" w:eastAsia="zh-CN"/>
              </w:rPr>
            </w:pPr>
            <w:r>
              <w:rPr>
                <w:kern w:val="2"/>
                <w:szCs w:val="21"/>
                <w:lang w:val="en-US" w:eastAsia="zh-CN"/>
              </w:rPr>
              <w:t>53.02</w:t>
            </w:r>
          </w:p>
        </w:tc>
        <w:tc>
          <w:tcPr>
            <w:tcW w:w="1794" w:type="dxa"/>
            <w:vAlign w:val="center"/>
          </w:tcPr>
          <w:p>
            <w:pPr>
              <w:pStyle w:val="26"/>
              <w:rPr>
                <w:kern w:val="2"/>
                <w:szCs w:val="21"/>
                <w:lang w:val="en-US" w:eastAsia="zh-CN"/>
              </w:rPr>
            </w:pPr>
            <w:r>
              <w:rPr>
                <w:kern w:val="2"/>
                <w:szCs w:val="21"/>
                <w:lang w:val="en-US" w:eastAsia="zh-CN"/>
              </w:rPr>
              <w:t>50.44</w:t>
            </w:r>
          </w:p>
        </w:tc>
        <w:tc>
          <w:tcPr>
            <w:tcW w:w="2090" w:type="dxa"/>
            <w:vAlign w:val="center"/>
          </w:tcPr>
          <w:p>
            <w:pPr>
              <w:pStyle w:val="26"/>
              <w:rPr>
                <w:kern w:val="2"/>
                <w:szCs w:val="21"/>
                <w:lang w:val="en-US" w:eastAsia="zh-CN"/>
              </w:rPr>
            </w:pPr>
            <w:r>
              <w:rPr>
                <w:kern w:val="2"/>
                <w:szCs w:val="21"/>
                <w:lang w:val="en-US" w:eastAsia="zh-CN"/>
              </w:rPr>
              <w:t>46.92</w:t>
            </w:r>
          </w:p>
        </w:tc>
        <w:tc>
          <w:tcPr>
            <w:tcW w:w="1497" w:type="dxa"/>
            <w:vAlign w:val="center"/>
          </w:tcPr>
          <w:p>
            <w:pPr>
              <w:pStyle w:val="26"/>
              <w:rPr>
                <w:kern w:val="2"/>
                <w:szCs w:val="21"/>
                <w:lang w:val="en-US" w:eastAsia="zh-CN"/>
              </w:rPr>
            </w:pPr>
            <w:r>
              <w:rPr>
                <w:kern w:val="2"/>
                <w:szCs w:val="21"/>
                <w:lang w:val="en-US" w:eastAsia="zh-CN"/>
              </w:rPr>
              <w:t>55.57</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327" w:type="dxa"/>
            <w:vAlign w:val="center"/>
          </w:tcPr>
          <w:p>
            <w:pPr>
              <w:pStyle w:val="26"/>
              <w:rPr>
                <w:kern w:val="2"/>
                <w:szCs w:val="21"/>
                <w:lang w:val="en-US" w:eastAsia="zh-CN"/>
              </w:rPr>
            </w:pPr>
            <w:r>
              <w:rPr>
                <w:rFonts w:hint="eastAsia"/>
                <w:kern w:val="2"/>
                <w:szCs w:val="21"/>
                <w:lang w:val="en-US" w:eastAsia="zh-CN"/>
              </w:rPr>
              <w:t>北边界</w:t>
            </w:r>
          </w:p>
        </w:tc>
        <w:tc>
          <w:tcPr>
            <w:tcW w:w="2146" w:type="dxa"/>
            <w:vAlign w:val="center"/>
          </w:tcPr>
          <w:p>
            <w:pPr>
              <w:pStyle w:val="26"/>
              <w:rPr>
                <w:kern w:val="2"/>
                <w:szCs w:val="21"/>
                <w:lang w:val="en-US" w:eastAsia="zh-CN"/>
              </w:rPr>
            </w:pPr>
            <w:r>
              <w:rPr>
                <w:kern w:val="2"/>
                <w:szCs w:val="21"/>
                <w:lang w:val="en-US" w:eastAsia="zh-CN"/>
              </w:rPr>
              <w:t>47.02</w:t>
            </w:r>
          </w:p>
        </w:tc>
        <w:tc>
          <w:tcPr>
            <w:tcW w:w="1794" w:type="dxa"/>
            <w:vAlign w:val="center"/>
          </w:tcPr>
          <w:p>
            <w:pPr>
              <w:pStyle w:val="26"/>
              <w:rPr>
                <w:kern w:val="2"/>
                <w:szCs w:val="21"/>
                <w:lang w:val="en-US" w:eastAsia="zh-CN"/>
              </w:rPr>
            </w:pPr>
            <w:r>
              <w:rPr>
                <w:kern w:val="2"/>
                <w:szCs w:val="21"/>
                <w:lang w:val="en-US" w:eastAsia="zh-CN"/>
              </w:rPr>
              <w:t>43.08</w:t>
            </w:r>
          </w:p>
        </w:tc>
        <w:tc>
          <w:tcPr>
            <w:tcW w:w="2090" w:type="dxa"/>
            <w:vAlign w:val="center"/>
          </w:tcPr>
          <w:p>
            <w:pPr>
              <w:pStyle w:val="26"/>
              <w:rPr>
                <w:kern w:val="2"/>
                <w:szCs w:val="21"/>
                <w:lang w:val="en-US" w:eastAsia="zh-CN"/>
              </w:rPr>
            </w:pPr>
            <w:r>
              <w:rPr>
                <w:kern w:val="2"/>
                <w:szCs w:val="21"/>
                <w:lang w:val="en-US" w:eastAsia="zh-CN"/>
              </w:rPr>
              <w:t>44.42</w:t>
            </w:r>
          </w:p>
        </w:tc>
        <w:tc>
          <w:tcPr>
            <w:tcW w:w="1497" w:type="dxa"/>
            <w:vAlign w:val="center"/>
          </w:tcPr>
          <w:p>
            <w:pPr>
              <w:pStyle w:val="26"/>
              <w:rPr>
                <w:kern w:val="2"/>
                <w:szCs w:val="21"/>
                <w:lang w:val="en-US" w:eastAsia="zh-CN"/>
              </w:rPr>
            </w:pPr>
            <w:r>
              <w:rPr>
                <w:kern w:val="2"/>
                <w:szCs w:val="21"/>
                <w:lang w:val="en-US" w:eastAsia="zh-CN"/>
              </w:rPr>
              <w:t>49.93</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327" w:type="dxa"/>
            <w:tcBorders>
              <w:bottom w:val="single" w:color="auto" w:sz="4" w:space="0"/>
            </w:tcBorders>
            <w:vAlign w:val="center"/>
          </w:tcPr>
          <w:p>
            <w:pPr>
              <w:pStyle w:val="26"/>
              <w:rPr>
                <w:kern w:val="2"/>
                <w:szCs w:val="21"/>
                <w:lang w:val="en-US" w:eastAsia="zh-CN"/>
              </w:rPr>
            </w:pPr>
            <w:r>
              <w:rPr>
                <w:rFonts w:hint="eastAsia"/>
                <w:kern w:val="2"/>
                <w:szCs w:val="21"/>
                <w:lang w:val="en-US" w:eastAsia="zh-CN"/>
              </w:rPr>
              <w:t>西侧居民点</w:t>
            </w:r>
          </w:p>
        </w:tc>
        <w:tc>
          <w:tcPr>
            <w:tcW w:w="2146" w:type="dxa"/>
            <w:tcBorders>
              <w:bottom w:val="single" w:color="auto" w:sz="4" w:space="0"/>
            </w:tcBorders>
            <w:vAlign w:val="center"/>
          </w:tcPr>
          <w:p>
            <w:pPr>
              <w:pStyle w:val="26"/>
              <w:rPr>
                <w:kern w:val="2"/>
                <w:szCs w:val="21"/>
                <w:lang w:val="en-US" w:eastAsia="zh-CN"/>
              </w:rPr>
            </w:pPr>
            <w:r>
              <w:rPr>
                <w:kern w:val="2"/>
                <w:szCs w:val="21"/>
                <w:lang w:val="en-US" w:eastAsia="zh-CN"/>
              </w:rPr>
              <w:t>47.94</w:t>
            </w:r>
          </w:p>
        </w:tc>
        <w:tc>
          <w:tcPr>
            <w:tcW w:w="1794" w:type="dxa"/>
            <w:tcBorders>
              <w:bottom w:val="single" w:color="auto" w:sz="4" w:space="0"/>
            </w:tcBorders>
            <w:vAlign w:val="center"/>
          </w:tcPr>
          <w:p>
            <w:pPr>
              <w:pStyle w:val="26"/>
              <w:rPr>
                <w:kern w:val="2"/>
                <w:szCs w:val="21"/>
                <w:lang w:val="en-US" w:eastAsia="zh-CN"/>
              </w:rPr>
            </w:pPr>
            <w:r>
              <w:rPr>
                <w:kern w:val="2"/>
                <w:szCs w:val="21"/>
                <w:lang w:val="en-US" w:eastAsia="zh-CN"/>
              </w:rPr>
              <w:t>47.94</w:t>
            </w:r>
          </w:p>
        </w:tc>
        <w:tc>
          <w:tcPr>
            <w:tcW w:w="2090" w:type="dxa"/>
            <w:tcBorders>
              <w:bottom w:val="single" w:color="auto" w:sz="4" w:space="0"/>
            </w:tcBorders>
            <w:vAlign w:val="center"/>
          </w:tcPr>
          <w:p>
            <w:pPr>
              <w:pStyle w:val="26"/>
              <w:rPr>
                <w:kern w:val="2"/>
                <w:szCs w:val="21"/>
                <w:lang w:val="en-US" w:eastAsia="zh-CN"/>
              </w:rPr>
            </w:pPr>
            <w:r>
              <w:rPr>
                <w:kern w:val="2"/>
                <w:szCs w:val="21"/>
                <w:lang w:val="en-US" w:eastAsia="zh-CN"/>
              </w:rPr>
              <w:t>45.17</w:t>
            </w:r>
          </w:p>
        </w:tc>
        <w:tc>
          <w:tcPr>
            <w:tcW w:w="1497" w:type="dxa"/>
            <w:tcBorders>
              <w:bottom w:val="single" w:color="auto" w:sz="4" w:space="0"/>
            </w:tcBorders>
            <w:vAlign w:val="center"/>
          </w:tcPr>
          <w:p>
            <w:pPr>
              <w:pStyle w:val="26"/>
              <w:rPr>
                <w:kern w:val="2"/>
                <w:szCs w:val="21"/>
                <w:lang w:val="en-US" w:eastAsia="zh-CN"/>
              </w:rPr>
            </w:pPr>
            <w:r>
              <w:rPr>
                <w:kern w:val="2"/>
                <w:szCs w:val="21"/>
                <w:lang w:val="en-US" w:eastAsia="zh-CN"/>
              </w:rPr>
              <w:t>51.97</w:t>
            </w:r>
          </w:p>
        </w:tc>
      </w:tr>
    </w:tbl>
    <w:p>
      <w:pPr>
        <w:ind w:firstLine="480"/>
      </w:pPr>
      <w:r>
        <w:rPr>
          <w:rFonts w:hint="eastAsia"/>
        </w:rPr>
        <w:t>根据表</w:t>
      </w:r>
      <w:r>
        <w:t>6.2-11</w:t>
      </w:r>
      <w:r>
        <w:rPr>
          <w:rFonts w:hint="eastAsia"/>
        </w:rPr>
        <w:t>可知，项目厂界均能达到《工业企业厂界环境噪声排放标准》（</w:t>
      </w:r>
      <w:r>
        <w:t>GB12348-2008</w:t>
      </w:r>
      <w:r>
        <w:rPr>
          <w:rFonts w:hint="eastAsia"/>
        </w:rPr>
        <w:t>）中</w:t>
      </w:r>
      <w:r>
        <w:t>2</w:t>
      </w:r>
      <w:r>
        <w:rPr>
          <w:rFonts w:hint="eastAsia"/>
        </w:rPr>
        <w:t>类标准，对于本项目西侧居民点的声环境质量影响较小。</w:t>
      </w:r>
    </w:p>
    <w:p>
      <w:pPr>
        <w:ind w:firstLine="480"/>
      </w:pPr>
      <w:r>
        <w:rPr>
          <w:rFonts w:hint="eastAsia"/>
        </w:rPr>
        <w:t>综上所述，本项目采取减震、隔墙措施后，本项目噪声对周围环境影响较小，对距离项目最近的西侧居民点影响较小。</w:t>
      </w:r>
    </w:p>
    <w:p>
      <w:pPr>
        <w:pStyle w:val="4"/>
      </w:pPr>
      <w:r>
        <w:rPr>
          <w:rFonts w:hint="eastAsia"/>
        </w:rPr>
        <w:t>固体废物影响分析</w:t>
      </w:r>
    </w:p>
    <w:p>
      <w:pPr>
        <w:ind w:firstLine="480"/>
      </w:pPr>
      <w:r>
        <w:rPr>
          <w:rFonts w:hint="eastAsia"/>
        </w:rPr>
        <w:t>本项目固体废物主要为污泥、废包装材料、废矿物油、不合格产品、生活垃圾等。生活垃圾经收集后，交由当地环卫部门清运，统一进行卫生填埋处置；普通包装材料和草木灰等可回收利用的一般工业固体废物，可外售综合利用；不可回收一般工业固体废物委托当地环卫部门定期清运；危险废物应按照类别分别放置在专门的收集容器和贮存设施内，有危险废物识别标志、标明具体物质名称，并设置危险废物警示标志。危险废物应委托由具有《危险废物经营许可证》并可以处置该类废物的单位进行处理处置，建设单位拟建立危险废物去向台帐，并与接收单位签订协议。</w:t>
      </w:r>
    </w:p>
    <w:p>
      <w:pPr>
        <w:ind w:firstLine="480"/>
        <w:sectPr>
          <w:pgSz w:w="11906" w:h="16838"/>
          <w:pgMar w:top="1440" w:right="1417" w:bottom="1440" w:left="1417" w:header="851" w:footer="992" w:gutter="0"/>
          <w:cols w:space="0" w:num="1"/>
          <w:docGrid w:type="lines" w:linePitch="332" w:charSpace="0"/>
        </w:sectPr>
      </w:pPr>
      <w:r>
        <w:rPr>
          <w:rFonts w:hint="eastAsia"/>
        </w:rPr>
        <w:t>综上所述，技改后项目固体废弃物采取以上处理处置措施后，均得到了妥善处理，不会对厂区周边环境造成明显影响。</w:t>
      </w:r>
    </w:p>
    <w:p>
      <w:pPr>
        <w:pStyle w:val="2"/>
      </w:pPr>
      <w:bookmarkStart w:id="37" w:name="_Toc1459"/>
      <w:r>
        <w:rPr>
          <w:rFonts w:hint="eastAsia"/>
        </w:rPr>
        <w:t>污染防治措施及其可行性论证</w:t>
      </w:r>
      <w:bookmarkEnd w:id="37"/>
    </w:p>
    <w:p>
      <w:pPr>
        <w:pStyle w:val="3"/>
      </w:pPr>
      <w:bookmarkStart w:id="38" w:name="_Toc9393"/>
      <w:r>
        <w:rPr>
          <w:rFonts w:hint="eastAsia"/>
        </w:rPr>
        <w:t>废水</w:t>
      </w:r>
      <w:bookmarkEnd w:id="38"/>
    </w:p>
    <w:p>
      <w:pPr>
        <w:pStyle w:val="4"/>
      </w:pPr>
      <w:r>
        <w:rPr>
          <w:rFonts w:hint="eastAsia"/>
        </w:rPr>
        <w:t>废水防治措施</w:t>
      </w:r>
    </w:p>
    <w:p>
      <w:pPr>
        <w:ind w:firstLine="480"/>
      </w:pPr>
      <w:r>
        <w:rPr>
          <w:rFonts w:hint="eastAsia"/>
        </w:rPr>
        <w:t>1、印染车间废水</w:t>
      </w:r>
    </w:p>
    <w:p>
      <w:pPr>
        <w:ind w:firstLine="480"/>
      </w:pPr>
      <w:r>
        <w:rPr>
          <w:rFonts w:hint="eastAsia"/>
        </w:rPr>
        <w:t>根据现场踏勘，目前厂区已实行雨污分流，印染车间现有一套处理能力</w:t>
      </w:r>
      <w:r>
        <w:t>200</w:t>
      </w:r>
      <w:r>
        <w:rPr>
          <w:rFonts w:hint="eastAsia"/>
        </w:rPr>
        <w:t>0</w:t>
      </w:r>
      <w:r>
        <w:t>t/d</w:t>
      </w:r>
      <w:r>
        <w:rPr>
          <w:rFonts w:hint="eastAsia"/>
        </w:rPr>
        <w:t>的污水处理站，污水经处理后排入氧化塘进一步处理后排入湘江。根据岳阳市衡润检测有限公司于2017年7月6日~7日对现有工程废水污水处理站出口进行检测</w:t>
      </w:r>
      <w:r>
        <w:rPr>
          <w:rFonts w:hint="eastAsia"/>
          <w:lang w:eastAsia="zh-CN"/>
        </w:rPr>
        <w:t>的检测结果可知，</w:t>
      </w:r>
      <w:r>
        <w:rPr>
          <w:rFonts w:hint="eastAsia"/>
        </w:rPr>
        <w:t>废水中pH、COD、氨氮均超过了《纺织染整工业水污染物排放标准（</w:t>
      </w:r>
      <w:r>
        <w:t>GB4287-2012</w:t>
      </w:r>
      <w:r>
        <w:rPr>
          <w:rFonts w:hint="eastAsia"/>
        </w:rPr>
        <w:t>）》中直接排放标准</w:t>
      </w:r>
      <w:r>
        <w:rPr>
          <w:rFonts w:hint="eastAsia"/>
          <w:lang w:eastAsia="zh-CN"/>
        </w:rPr>
        <w:t>，但未超过</w:t>
      </w:r>
      <w:r>
        <w:rPr>
          <w:rFonts w:hint="eastAsia"/>
        </w:rPr>
        <w:t>《纺织染整工业水污染物排放标准（</w:t>
      </w:r>
      <w:r>
        <w:t>GB4287-2012</w:t>
      </w:r>
      <w:r>
        <w:rPr>
          <w:rFonts w:hint="eastAsia"/>
        </w:rPr>
        <w:t>）》中</w:t>
      </w:r>
      <w:r>
        <w:rPr>
          <w:rFonts w:hint="eastAsia"/>
          <w:lang w:eastAsia="zh-CN"/>
        </w:rPr>
        <w:t>间接</w:t>
      </w:r>
      <w:r>
        <w:rPr>
          <w:rFonts w:hint="eastAsia"/>
        </w:rPr>
        <w:t>排放标准。因此，建设单位对污水处理站进行整改，在厂区内铺设污水管道接入营田镇污水处理厂污水管网，使污水经污水处理站处理后排入市政污水管网进入营田镇污水处理厂进一步处理，不再排入氧化塘；同时，在厂区内建设污水回收池和回收罐，将经污水处理站处理后的水回用至生产。</w:t>
      </w:r>
    </w:p>
    <w:p>
      <w:pPr>
        <w:ind w:firstLine="480"/>
      </w:pPr>
      <w:r>
        <w:rPr>
          <w:rFonts w:hint="eastAsia"/>
        </w:rPr>
        <w:t>技改后，污水处理工艺见图</w:t>
      </w:r>
      <w:r>
        <w:t>7.1-1</w:t>
      </w:r>
      <w:r>
        <w:rPr>
          <w:rFonts w:hint="eastAsia"/>
        </w:rPr>
        <w:t>。</w:t>
      </w:r>
    </w:p>
    <w:p>
      <w:pPr>
        <w:ind w:firstLine="0" w:firstLineChars="0"/>
        <w:jc w:val="center"/>
      </w:pPr>
      <w:r>
        <w:object>
          <v:shape id="_x0000_i1045" o:spt="75" type="#_x0000_t75" style="height:192.9pt;width:478.75pt;" o:ole="t" filled="f" o:preferrelative="t" stroked="f" coordsize="21600,21600">
            <v:path/>
            <v:fill on="f" focussize="0,0"/>
            <v:stroke on="f" joinstyle="miter"/>
            <v:imagedata r:id="rId54" o:title=""/>
            <o:lock v:ext="edit" aspectratio="f"/>
            <w10:wrap type="none"/>
            <w10:anchorlock/>
          </v:shape>
          <o:OLEObject Type="Embed" ProgID="Visio.Drawing.11" ShapeID="_x0000_i1045" DrawAspect="Content" ObjectID="_1468075741" r:id="rId53">
            <o:LockedField>false</o:LockedField>
          </o:OLEObject>
        </w:object>
      </w:r>
    </w:p>
    <w:p>
      <w:pPr>
        <w:ind w:firstLine="480"/>
      </w:pPr>
      <w:r>
        <w:rPr>
          <w:rFonts w:hint="eastAsia"/>
        </w:rPr>
        <w:t>工艺简述：生产车间废水排入调节池中，均和水质、调节水量，再由提升泵输送至瀑气池，调节池与曝气池运输管道上接有加药装置管道，在污水泵入曝气池时，加入一定量的硫酸亚铁、聚合氯化铝、</w:t>
      </w:r>
      <w:r>
        <w:t>PAM</w:t>
      </w:r>
      <w:r>
        <w:rPr>
          <w:rFonts w:hint="eastAsia"/>
        </w:rPr>
        <w:t>等混凝剂，进行絮凝反应。</w:t>
      </w:r>
    </w:p>
    <w:p>
      <w:pPr>
        <w:ind w:firstLine="480"/>
        <w:rPr>
          <w:color w:val="000000"/>
          <w:kern w:val="0"/>
          <w:szCs w:val="20"/>
        </w:rPr>
      </w:pPr>
      <w:r>
        <w:rPr>
          <w:rFonts w:hint="eastAsia"/>
        </w:rPr>
        <w:t>曝气池安装曝气器，满足好氧微生物所需要的氧量以及污水与活性污泥充分接触的混合条件，</w:t>
      </w:r>
      <w:r>
        <w:rPr>
          <w:rFonts w:hint="eastAsia"/>
          <w:color w:val="000000"/>
          <w:kern w:val="0"/>
          <w:szCs w:val="20"/>
        </w:rPr>
        <w:t>在有氧的情况下，活性污泥（好氧菌胶团）吸附、分解废水中的污染物，水质得到净化。</w:t>
      </w:r>
    </w:p>
    <w:p>
      <w:pPr>
        <w:ind w:firstLine="480"/>
        <w:rPr>
          <w:color w:val="000000"/>
          <w:kern w:val="0"/>
          <w:szCs w:val="20"/>
        </w:rPr>
      </w:pPr>
      <w:r>
        <w:rPr>
          <w:rFonts w:hint="eastAsia"/>
          <w:color w:val="000000"/>
          <w:kern w:val="0"/>
          <w:szCs w:val="20"/>
        </w:rPr>
        <w:t>气浮池向废水中通入空气，废水中难以自然沉降的污染物质会黏附于气泡表面，跟随气泡一起上浮到水面，通过收集气泡或浮渣可以达到分离污染物质的目的，使废水得到净化。然后进入六格沉淀池，进行沉淀处理，清水自流入竖形沉淀池，进行进一步沉淀处理，清水排入清水池。</w:t>
      </w:r>
    </w:p>
    <w:p>
      <w:pPr>
        <w:ind w:firstLine="480"/>
        <w:rPr>
          <w:color w:val="000000"/>
          <w:kern w:val="0"/>
          <w:szCs w:val="20"/>
        </w:rPr>
      </w:pPr>
      <w:r>
        <w:rPr>
          <w:rFonts w:hint="eastAsia"/>
          <w:color w:val="000000"/>
          <w:kern w:val="0"/>
          <w:szCs w:val="20"/>
        </w:rPr>
        <w:t>2、生活污水</w:t>
      </w:r>
    </w:p>
    <w:p>
      <w:pPr>
        <w:ind w:firstLine="480"/>
        <w:rPr>
          <w:color w:val="000000"/>
          <w:kern w:val="0"/>
          <w:szCs w:val="20"/>
        </w:rPr>
      </w:pPr>
      <w:r>
        <w:rPr>
          <w:rFonts w:hint="eastAsia"/>
          <w:color w:val="000000"/>
          <w:kern w:val="0"/>
          <w:szCs w:val="20"/>
        </w:rPr>
        <w:t>技改后，厂区生活污水经化粪池处理后排入市政污水管网进入营田镇污水处理厂进一步处理。</w:t>
      </w:r>
    </w:p>
    <w:p>
      <w:pPr>
        <w:pStyle w:val="4"/>
      </w:pPr>
      <w:r>
        <w:rPr>
          <w:rFonts w:hint="eastAsia"/>
          <w:color w:val="000000"/>
        </w:rPr>
        <w:t>防治措施可行性分析</w:t>
      </w:r>
    </w:p>
    <w:p>
      <w:pPr>
        <w:ind w:firstLine="480"/>
        <w:rPr>
          <w:color w:val="000000"/>
          <w:kern w:val="0"/>
          <w:szCs w:val="20"/>
        </w:rPr>
      </w:pPr>
      <w:r>
        <w:rPr>
          <w:color w:val="000000"/>
          <w:kern w:val="0"/>
          <w:szCs w:val="20"/>
        </w:rPr>
        <w:t>1</w:t>
      </w:r>
      <w:r>
        <w:rPr>
          <w:rFonts w:hint="eastAsia"/>
          <w:color w:val="000000"/>
          <w:kern w:val="0"/>
          <w:szCs w:val="20"/>
        </w:rPr>
        <w:t>、达标处理可行性分析</w:t>
      </w:r>
    </w:p>
    <w:p>
      <w:pPr>
        <w:ind w:firstLine="480"/>
        <w:rPr>
          <w:color w:val="000000"/>
          <w:kern w:val="0"/>
          <w:szCs w:val="20"/>
          <w:u w:val="single"/>
        </w:rPr>
      </w:pPr>
      <w:r>
        <w:rPr>
          <w:rFonts w:hint="eastAsia"/>
          <w:color w:val="000000"/>
          <w:kern w:val="0"/>
          <w:szCs w:val="20"/>
          <w:u w:val="single"/>
        </w:rPr>
        <w:t>根据岳阳市衡润检测有限公司与</w:t>
      </w:r>
      <w:r>
        <w:rPr>
          <w:color w:val="000000"/>
          <w:kern w:val="0"/>
          <w:szCs w:val="20"/>
          <w:u w:val="single"/>
        </w:rPr>
        <w:t>2017</w:t>
      </w:r>
      <w:r>
        <w:rPr>
          <w:rFonts w:hint="eastAsia"/>
          <w:color w:val="000000"/>
          <w:kern w:val="0"/>
          <w:szCs w:val="20"/>
          <w:u w:val="single"/>
        </w:rPr>
        <w:t>年</w:t>
      </w:r>
      <w:r>
        <w:rPr>
          <w:color w:val="000000"/>
          <w:kern w:val="0"/>
          <w:szCs w:val="20"/>
          <w:u w:val="single"/>
        </w:rPr>
        <w:t>7</w:t>
      </w:r>
      <w:r>
        <w:rPr>
          <w:rFonts w:hint="eastAsia"/>
          <w:color w:val="000000"/>
          <w:kern w:val="0"/>
          <w:szCs w:val="20"/>
          <w:u w:val="single"/>
        </w:rPr>
        <w:t>月</w:t>
      </w:r>
      <w:r>
        <w:rPr>
          <w:color w:val="000000"/>
          <w:kern w:val="0"/>
          <w:szCs w:val="20"/>
          <w:u w:val="single"/>
        </w:rPr>
        <w:t>6~7</w:t>
      </w:r>
      <w:r>
        <w:rPr>
          <w:rFonts w:hint="eastAsia"/>
          <w:color w:val="000000"/>
          <w:kern w:val="0"/>
          <w:szCs w:val="20"/>
          <w:u w:val="single"/>
        </w:rPr>
        <w:t>日对污水处理站出口水质监测结果可知，污水排放浓度为：</w:t>
      </w:r>
      <w:r>
        <w:rPr>
          <w:color w:val="000000"/>
          <w:kern w:val="0"/>
          <w:szCs w:val="20"/>
          <w:u w:val="single"/>
        </w:rPr>
        <w:t>pH 6.12~6.42</w:t>
      </w:r>
      <w:r>
        <w:rPr>
          <w:rFonts w:hint="eastAsia"/>
          <w:color w:val="000000"/>
          <w:kern w:val="0"/>
          <w:szCs w:val="20"/>
          <w:u w:val="single"/>
        </w:rPr>
        <w:t>、</w:t>
      </w:r>
      <w:r>
        <w:rPr>
          <w:color w:val="000000"/>
          <w:kern w:val="0"/>
          <w:szCs w:val="20"/>
          <w:u w:val="single"/>
        </w:rPr>
        <w:t>COD 165~181mg/L</w:t>
      </w:r>
      <w:r>
        <w:rPr>
          <w:rFonts w:hint="eastAsia"/>
          <w:color w:val="000000"/>
          <w:kern w:val="0"/>
          <w:szCs w:val="20"/>
          <w:u w:val="single"/>
        </w:rPr>
        <w:t>、氨氮</w:t>
      </w:r>
      <w:r>
        <w:rPr>
          <w:color w:val="000000"/>
          <w:kern w:val="0"/>
          <w:szCs w:val="20"/>
          <w:u w:val="single"/>
        </w:rPr>
        <w:t xml:space="preserve"> 12.84~13.43mg/L</w:t>
      </w:r>
      <w:r>
        <w:rPr>
          <w:rFonts w:hint="eastAsia"/>
          <w:color w:val="000000"/>
          <w:kern w:val="0"/>
          <w:szCs w:val="20"/>
          <w:u w:val="single"/>
        </w:rPr>
        <w:t>，</w:t>
      </w:r>
      <w:r>
        <w:rPr>
          <w:rFonts w:hint="eastAsia"/>
          <w:u w:val="single"/>
        </w:rPr>
        <w:t>废水中pH、COD、氨氮均超过了《纺织染整工业水污染物排放标准（</w:t>
      </w:r>
      <w:r>
        <w:rPr>
          <w:u w:val="single"/>
        </w:rPr>
        <w:t>GB4287-2012</w:t>
      </w:r>
      <w:r>
        <w:rPr>
          <w:rFonts w:hint="eastAsia"/>
          <w:u w:val="single"/>
        </w:rPr>
        <w:t>）》中直接排放标准</w:t>
      </w:r>
      <w:r>
        <w:rPr>
          <w:rFonts w:hint="eastAsia"/>
          <w:u w:val="single"/>
          <w:lang w:eastAsia="zh-CN"/>
        </w:rPr>
        <w:t>，</w:t>
      </w:r>
      <w:r>
        <w:rPr>
          <w:rFonts w:hint="eastAsia"/>
          <w:color w:val="000000"/>
          <w:kern w:val="0"/>
          <w:szCs w:val="20"/>
          <w:u w:val="single"/>
        </w:rPr>
        <w:t>满足《纺织染整工业水污染物排放标准》（</w:t>
      </w:r>
      <w:r>
        <w:rPr>
          <w:color w:val="000000"/>
          <w:kern w:val="0"/>
          <w:szCs w:val="20"/>
          <w:u w:val="single"/>
        </w:rPr>
        <w:t>GB4287-2012</w:t>
      </w:r>
      <w:r>
        <w:rPr>
          <w:rFonts w:hint="eastAsia"/>
          <w:color w:val="000000"/>
          <w:kern w:val="0"/>
          <w:szCs w:val="20"/>
          <w:u w:val="single"/>
        </w:rPr>
        <w:t>）表</w:t>
      </w:r>
      <w:r>
        <w:rPr>
          <w:color w:val="000000"/>
          <w:kern w:val="0"/>
          <w:szCs w:val="20"/>
          <w:u w:val="single"/>
        </w:rPr>
        <w:t>2</w:t>
      </w:r>
      <w:r>
        <w:rPr>
          <w:rFonts w:hint="eastAsia"/>
          <w:color w:val="000000"/>
          <w:kern w:val="0"/>
          <w:szCs w:val="20"/>
          <w:u w:val="single"/>
        </w:rPr>
        <w:t>间接排放标准限值。</w:t>
      </w:r>
      <w:r>
        <w:rPr>
          <w:rFonts w:hint="eastAsia"/>
          <w:color w:val="000000"/>
          <w:kern w:val="0"/>
          <w:szCs w:val="20"/>
          <w:u w:val="single"/>
          <w:lang w:eastAsia="zh-CN"/>
        </w:rPr>
        <w:t>因此，对现有污水处理站现有排放口进行关停，采取由直排湘江改为拍污水处理厂处理后间接排入湘江改造措施可行。</w:t>
      </w:r>
    </w:p>
    <w:p>
      <w:pPr>
        <w:ind w:firstLine="480"/>
        <w:rPr>
          <w:color w:val="000000"/>
          <w:kern w:val="0"/>
          <w:szCs w:val="20"/>
          <w:u w:val="single"/>
        </w:rPr>
      </w:pPr>
      <w:r>
        <w:rPr>
          <w:rFonts w:hint="eastAsia"/>
          <w:color w:val="000000"/>
          <w:kern w:val="0"/>
          <w:szCs w:val="20"/>
          <w:u w:val="single"/>
        </w:rPr>
        <w:t>因此，在确保污水处理站正常运行时，污水可达《纺织染整工业水污染物排放标准》（</w:t>
      </w:r>
      <w:r>
        <w:rPr>
          <w:color w:val="000000"/>
          <w:kern w:val="0"/>
          <w:szCs w:val="20"/>
          <w:u w:val="single"/>
        </w:rPr>
        <w:t>GB4287-2012</w:t>
      </w:r>
      <w:r>
        <w:rPr>
          <w:rFonts w:hint="eastAsia"/>
          <w:color w:val="000000"/>
          <w:kern w:val="0"/>
          <w:szCs w:val="20"/>
          <w:u w:val="single"/>
        </w:rPr>
        <w:t>）表</w:t>
      </w:r>
      <w:r>
        <w:rPr>
          <w:color w:val="000000"/>
          <w:kern w:val="0"/>
          <w:szCs w:val="20"/>
          <w:u w:val="single"/>
        </w:rPr>
        <w:t>2</w:t>
      </w:r>
      <w:r>
        <w:rPr>
          <w:rFonts w:hint="eastAsia"/>
          <w:color w:val="000000"/>
          <w:kern w:val="0"/>
          <w:szCs w:val="20"/>
          <w:u w:val="single"/>
        </w:rPr>
        <w:t>间接排放标准限值排入营田镇污水处理厂。</w:t>
      </w:r>
    </w:p>
    <w:p>
      <w:pPr>
        <w:ind w:firstLine="480"/>
        <w:rPr>
          <w:color w:val="000000"/>
          <w:kern w:val="0"/>
          <w:szCs w:val="20"/>
        </w:rPr>
      </w:pPr>
      <w:r>
        <w:rPr>
          <w:color w:val="000000"/>
          <w:kern w:val="0"/>
          <w:szCs w:val="20"/>
        </w:rPr>
        <w:t>2</w:t>
      </w:r>
      <w:r>
        <w:rPr>
          <w:rFonts w:hint="eastAsia"/>
          <w:color w:val="000000"/>
          <w:kern w:val="0"/>
          <w:szCs w:val="20"/>
        </w:rPr>
        <w:t>、进入营田镇污水处理厂可行性分析</w:t>
      </w:r>
    </w:p>
    <w:p>
      <w:pPr>
        <w:ind w:firstLine="480"/>
        <w:rPr>
          <w:color w:val="000000"/>
          <w:kern w:val="0"/>
          <w:szCs w:val="20"/>
        </w:rPr>
      </w:pPr>
      <w:r>
        <w:rPr>
          <w:rFonts w:hint="eastAsia"/>
          <w:color w:val="000000"/>
          <w:kern w:val="0"/>
          <w:szCs w:val="20"/>
        </w:rPr>
        <w:t>营田镇污水处理厂位于营田镇推山咀社区，西向距离湘江东大堤</w:t>
      </w:r>
      <w:r>
        <w:rPr>
          <w:color w:val="000000"/>
          <w:kern w:val="0"/>
          <w:szCs w:val="20"/>
        </w:rPr>
        <w:t>420 m</w:t>
      </w:r>
      <w:r>
        <w:rPr>
          <w:rFonts w:hint="eastAsia"/>
          <w:color w:val="000000"/>
          <w:kern w:val="0"/>
          <w:szCs w:val="20"/>
        </w:rPr>
        <w:t>。设计远期规模为</w:t>
      </w:r>
      <w:r>
        <w:rPr>
          <w:color w:val="000000"/>
          <w:kern w:val="0"/>
          <w:szCs w:val="20"/>
        </w:rPr>
        <w:t>3</w:t>
      </w:r>
      <w:r>
        <w:rPr>
          <w:rFonts w:hint="eastAsia"/>
          <w:color w:val="000000"/>
          <w:kern w:val="0"/>
          <w:szCs w:val="20"/>
        </w:rPr>
        <w:t>万</w:t>
      </w:r>
      <w:r>
        <w:rPr>
          <w:color w:val="000000"/>
          <w:kern w:val="0"/>
          <w:szCs w:val="20"/>
        </w:rPr>
        <w:t>m</w:t>
      </w:r>
      <w:r>
        <w:rPr>
          <w:color w:val="000000"/>
          <w:kern w:val="0"/>
          <w:szCs w:val="20"/>
          <w:vertAlign w:val="superscript"/>
        </w:rPr>
        <w:t>3</w:t>
      </w:r>
      <w:r>
        <w:rPr>
          <w:color w:val="000000"/>
          <w:kern w:val="0"/>
          <w:szCs w:val="20"/>
        </w:rPr>
        <w:t>/d</w:t>
      </w:r>
      <w:r>
        <w:rPr>
          <w:rFonts w:hint="eastAsia"/>
          <w:color w:val="000000"/>
          <w:kern w:val="0"/>
          <w:szCs w:val="20"/>
        </w:rPr>
        <w:t>，近期工程为</w:t>
      </w:r>
      <w:r>
        <w:rPr>
          <w:color w:val="000000"/>
          <w:kern w:val="0"/>
          <w:szCs w:val="20"/>
        </w:rPr>
        <w:t>1.5</w:t>
      </w:r>
      <w:r>
        <w:rPr>
          <w:rFonts w:hint="eastAsia"/>
          <w:color w:val="000000"/>
          <w:kern w:val="0"/>
          <w:szCs w:val="20"/>
        </w:rPr>
        <w:t>万</w:t>
      </w:r>
      <w:r>
        <w:rPr>
          <w:color w:val="000000"/>
          <w:kern w:val="0"/>
          <w:szCs w:val="20"/>
        </w:rPr>
        <w:t>m</w:t>
      </w:r>
      <w:r>
        <w:rPr>
          <w:color w:val="000000"/>
          <w:kern w:val="0"/>
          <w:szCs w:val="20"/>
          <w:vertAlign w:val="superscript"/>
        </w:rPr>
        <w:t>3</w:t>
      </w:r>
      <w:r>
        <w:rPr>
          <w:color w:val="000000"/>
          <w:kern w:val="0"/>
          <w:szCs w:val="20"/>
        </w:rPr>
        <w:t>/d</w:t>
      </w:r>
      <w:r>
        <w:rPr>
          <w:rFonts w:hint="eastAsia"/>
          <w:color w:val="000000"/>
          <w:kern w:val="0"/>
          <w:szCs w:val="20"/>
        </w:rPr>
        <w:t>，处理工艺为“</w:t>
      </w:r>
      <w:r>
        <w:rPr>
          <w:color w:val="000000"/>
          <w:kern w:val="0"/>
          <w:szCs w:val="20"/>
        </w:rPr>
        <w:t>HDB</w:t>
      </w:r>
      <w:r>
        <w:rPr>
          <w:rFonts w:hint="eastAsia"/>
          <w:color w:val="000000"/>
          <w:kern w:val="0"/>
          <w:szCs w:val="20"/>
        </w:rPr>
        <w:t>生物膜处理</w:t>
      </w:r>
      <w:r>
        <w:rPr>
          <w:color w:val="000000"/>
          <w:kern w:val="0"/>
          <w:szCs w:val="20"/>
        </w:rPr>
        <w:t>+</w:t>
      </w:r>
      <w:r>
        <w:rPr>
          <w:rFonts w:hint="eastAsia"/>
          <w:color w:val="000000"/>
          <w:kern w:val="0"/>
          <w:szCs w:val="20"/>
        </w:rPr>
        <w:t>新型高效人工湿地”，尾水排放执行《城镇污水处理厂污染物排放标准》（</w:t>
      </w:r>
      <w:r>
        <w:rPr>
          <w:color w:val="000000"/>
          <w:kern w:val="0"/>
          <w:szCs w:val="20"/>
        </w:rPr>
        <w:t>GB18918-2002</w:t>
      </w:r>
      <w:r>
        <w:rPr>
          <w:rFonts w:hint="eastAsia"/>
          <w:color w:val="000000"/>
          <w:kern w:val="0"/>
          <w:szCs w:val="20"/>
        </w:rPr>
        <w:t>）规定的一级</w:t>
      </w:r>
      <w:r>
        <w:rPr>
          <w:color w:val="000000"/>
          <w:kern w:val="0"/>
          <w:szCs w:val="20"/>
        </w:rPr>
        <w:t>A</w:t>
      </w:r>
      <w:r>
        <w:rPr>
          <w:rFonts w:hint="eastAsia"/>
          <w:color w:val="000000"/>
          <w:kern w:val="0"/>
          <w:szCs w:val="20"/>
        </w:rPr>
        <w:t>标准。营田镇污水处理厂已于</w:t>
      </w:r>
      <w:r>
        <w:rPr>
          <w:color w:val="000000"/>
          <w:kern w:val="0"/>
          <w:szCs w:val="20"/>
        </w:rPr>
        <w:t>2015</w:t>
      </w:r>
      <w:r>
        <w:rPr>
          <w:rFonts w:hint="eastAsia"/>
          <w:color w:val="000000"/>
          <w:kern w:val="0"/>
          <w:szCs w:val="20"/>
        </w:rPr>
        <w:t>年</w:t>
      </w:r>
      <w:r>
        <w:rPr>
          <w:color w:val="000000"/>
          <w:kern w:val="0"/>
          <w:szCs w:val="20"/>
        </w:rPr>
        <w:t>10</w:t>
      </w:r>
      <w:r>
        <w:rPr>
          <w:rFonts w:hint="eastAsia"/>
          <w:color w:val="000000"/>
          <w:kern w:val="0"/>
          <w:szCs w:val="20"/>
        </w:rPr>
        <w:t>月建设完成，并投入运营。根据现场调查，建设单位已在厂区内铺设污水管道与营田镇污水处理厂污水管网接管。</w:t>
      </w:r>
    </w:p>
    <w:p>
      <w:pPr>
        <w:ind w:firstLine="480"/>
        <w:rPr>
          <w:rFonts w:hint="eastAsia"/>
          <w:color w:val="000000"/>
          <w:kern w:val="0"/>
          <w:szCs w:val="20"/>
        </w:rPr>
      </w:pPr>
      <w:r>
        <w:rPr>
          <w:rFonts w:hint="eastAsia"/>
          <w:color w:val="000000"/>
          <w:kern w:val="0"/>
          <w:szCs w:val="20"/>
        </w:rPr>
        <w:t>因此，本项目污水进入营田镇污水处理厂可行。</w:t>
      </w:r>
    </w:p>
    <w:p>
      <w:pPr>
        <w:pStyle w:val="4"/>
        <w:rPr>
          <w:rFonts w:hint="eastAsia"/>
        </w:rPr>
      </w:pPr>
      <w:r>
        <w:rPr>
          <w:rFonts w:hint="eastAsia"/>
        </w:rPr>
        <w:t>地下水污染防治措施</w:t>
      </w:r>
    </w:p>
    <w:p>
      <w:pPr>
        <w:ind w:firstLine="480"/>
      </w:pPr>
      <w:r>
        <w:t>依据《地下工程防水技术规范》(GB50108－2001)的要求，地下水污染防治措施按照“源头控制、末端防治、污染监控、应急响应”相结合的原则，从污染物的产生、入渗、扩散、应急响应全阶段进行控制。企业</w:t>
      </w:r>
      <w:r>
        <w:rPr>
          <w:rFonts w:hint="eastAsia"/>
        </w:rPr>
        <w:t>对现有污水处理站和新建污水处理设施的</w:t>
      </w:r>
      <w:r>
        <w:t>防渗防腐具体可参照如下要求执行：</w:t>
      </w:r>
    </w:p>
    <w:p>
      <w:pPr>
        <w:ind w:firstLine="480"/>
      </w:pPr>
      <w:bookmarkStart w:id="39" w:name="_Toc454702493"/>
      <w:bookmarkStart w:id="40" w:name="_Toc325644067"/>
      <w:bookmarkStart w:id="41" w:name="_Toc453668902"/>
      <w:bookmarkStart w:id="42" w:name="_Toc454219173"/>
      <w:bookmarkStart w:id="43" w:name="_Toc336459762"/>
      <w:r>
        <w:rPr>
          <w:rFonts w:hint="eastAsia"/>
        </w:rPr>
        <w:t>1、</w:t>
      </w:r>
      <w:r>
        <w:t>防渗原则</w:t>
      </w:r>
      <w:bookmarkEnd w:id="39"/>
      <w:bookmarkEnd w:id="40"/>
      <w:bookmarkEnd w:id="41"/>
      <w:bookmarkEnd w:id="42"/>
      <w:bookmarkEnd w:id="43"/>
    </w:p>
    <w:p>
      <w:pPr>
        <w:ind w:firstLine="480"/>
      </w:pPr>
      <w:r>
        <w:rPr>
          <w:rFonts w:hint="eastAsia" w:ascii="宋体" w:hAnsi="宋体" w:cs="宋体"/>
        </w:rPr>
        <w:t>⑴</w:t>
      </w:r>
      <w:r>
        <w:t>源头控制措施</w:t>
      </w:r>
    </w:p>
    <w:p>
      <w:pPr>
        <w:ind w:firstLine="480"/>
      </w:pPr>
      <w:r>
        <w:t>主要包括</w:t>
      </w:r>
      <w:r>
        <w:rPr>
          <w:rFonts w:hint="eastAsia"/>
        </w:rPr>
        <w:t>提出各类废物循环利用的具体方案，减少污染物的排放量；提出</w:t>
      </w:r>
      <w:r>
        <w:t>工艺、管道、设备、污水储存及处理构筑物</w:t>
      </w:r>
      <w:r>
        <w:rPr>
          <w:rFonts w:hint="eastAsia"/>
        </w:rPr>
        <w:t>应</w:t>
      </w:r>
      <w:r>
        <w:t>采取</w:t>
      </w:r>
      <w:r>
        <w:rPr>
          <w:rFonts w:hint="eastAsia"/>
        </w:rPr>
        <w:t>的污染控制</w:t>
      </w:r>
      <w:r>
        <w:t>措施，</w:t>
      </w:r>
      <w:r>
        <w:rPr>
          <w:rFonts w:hint="eastAsia"/>
        </w:rPr>
        <w:t>将</w:t>
      </w:r>
      <w:r>
        <w:t>污染物跑、冒、滴、漏降到最低程度。</w:t>
      </w:r>
    </w:p>
    <w:p>
      <w:pPr>
        <w:ind w:firstLine="480"/>
      </w:pPr>
      <w:r>
        <w:rPr>
          <w:rFonts w:hint="eastAsia" w:ascii="宋体" w:hAnsi="宋体" w:cs="宋体"/>
        </w:rPr>
        <w:t>⑵</w:t>
      </w:r>
      <w:r>
        <w:rPr>
          <w:rFonts w:hint="eastAsia"/>
        </w:rPr>
        <w:t>分区防</w:t>
      </w:r>
      <w:r>
        <w:t>控措施</w:t>
      </w:r>
    </w:p>
    <w:p>
      <w:pPr>
        <w:ind w:firstLine="480"/>
      </w:pPr>
      <w:r>
        <w:t>主要包括厂内污染区地面的防渗措施和泄漏、渗漏污染物收集措施，即在污染区地面进行防渗处理，防止洒落地面的污染物渗入地下，并把滞留在地面的污染物收集起来，集中送至厂内污水处理站处理；</w:t>
      </w:r>
      <w:r>
        <w:rPr>
          <w:rFonts w:hint="eastAsia"/>
        </w:rPr>
        <w:t>一般情况下应以水平防渗为主，对难以采取水平防渗的场地，可采用垂向防渗为主，局部水平防渗为辅的防控措施。分区防控</w:t>
      </w:r>
      <w:r>
        <w:t>原则，即：对重点防</w:t>
      </w:r>
      <w:r>
        <w:rPr>
          <w:rFonts w:hint="eastAsia"/>
        </w:rPr>
        <w:t>渗</w:t>
      </w:r>
      <w:r>
        <w:t>区、一般防</w:t>
      </w:r>
      <w:r>
        <w:rPr>
          <w:rFonts w:hint="eastAsia"/>
        </w:rPr>
        <w:t>渗</w:t>
      </w:r>
      <w:r>
        <w:t>区和</w:t>
      </w:r>
      <w:r>
        <w:rPr>
          <w:rFonts w:hint="eastAsia"/>
        </w:rPr>
        <w:t>简单防渗</w:t>
      </w:r>
      <w:r>
        <w:t>区采取有区别的防渗原则。</w:t>
      </w:r>
    </w:p>
    <w:p>
      <w:pPr>
        <w:ind w:firstLine="480"/>
      </w:pPr>
      <w:r>
        <w:rPr>
          <w:rFonts w:hint="eastAsia" w:ascii="宋体" w:hAnsi="宋体" w:cs="宋体"/>
        </w:rPr>
        <w:t>⑶</w:t>
      </w:r>
      <w:r>
        <w:rPr>
          <w:rFonts w:hint="eastAsia"/>
        </w:rPr>
        <w:t>地下水环境</w:t>
      </w:r>
      <w:r>
        <w:t>监</w:t>
      </w:r>
      <w:r>
        <w:rPr>
          <w:rFonts w:hint="eastAsia"/>
        </w:rPr>
        <w:t>测与管理</w:t>
      </w:r>
    </w:p>
    <w:p>
      <w:pPr>
        <w:ind w:firstLine="480"/>
      </w:pPr>
      <w:r>
        <w:rPr>
          <w:rFonts w:hint="eastAsia"/>
        </w:rPr>
        <w:t>建立</w:t>
      </w:r>
      <w:r>
        <w:t>地下水</w:t>
      </w:r>
      <w:r>
        <w:rPr>
          <w:rFonts w:hint="eastAsia"/>
        </w:rPr>
        <w:t>环境监测管理体系</w:t>
      </w:r>
      <w:r>
        <w:t>，包括</w:t>
      </w:r>
      <w:r>
        <w:rPr>
          <w:rFonts w:hint="eastAsia"/>
        </w:rPr>
        <w:t>制定地下水环境影响跟踪监测计划、</w:t>
      </w:r>
      <w:r>
        <w:t>建立</w:t>
      </w:r>
      <w:r>
        <w:rPr>
          <w:rFonts w:hint="eastAsia"/>
        </w:rPr>
        <w:t>地下水环境影响跟踪</w:t>
      </w:r>
      <w:r>
        <w:t>监测制度、配备</w:t>
      </w:r>
      <w:r>
        <w:rPr>
          <w:rFonts w:hint="eastAsia"/>
        </w:rPr>
        <w:t>先进的</w:t>
      </w:r>
      <w:r>
        <w:t>检测仪器和设备</w:t>
      </w:r>
      <w:r>
        <w:rPr>
          <w:rFonts w:hint="eastAsia"/>
        </w:rPr>
        <w:t>，</w:t>
      </w:r>
      <w:r>
        <w:t>科学、合理设置地下水污染监控井，</w:t>
      </w:r>
      <w:r>
        <w:rPr>
          <w:rFonts w:hint="eastAsia"/>
        </w:rPr>
        <w:t>以便</w:t>
      </w:r>
      <w:r>
        <w:t>及时发现</w:t>
      </w:r>
      <w:r>
        <w:rPr>
          <w:rFonts w:hint="eastAsia"/>
        </w:rPr>
        <w:t>问题，采取措施</w:t>
      </w:r>
      <w:r>
        <w:t>。</w:t>
      </w:r>
      <w:r>
        <w:rPr>
          <w:rFonts w:hint="eastAsia"/>
        </w:rPr>
        <w:t>制定地下水环境影响跟踪监测与信息公开计划。</w:t>
      </w:r>
    </w:p>
    <w:p>
      <w:pPr>
        <w:ind w:firstLine="480"/>
        <w:rPr>
          <w:rFonts w:hint="eastAsia"/>
        </w:rPr>
      </w:pPr>
      <w:r>
        <w:rPr>
          <w:rFonts w:hint="eastAsia" w:ascii="宋体" w:hAnsi="宋体" w:cs="宋体"/>
        </w:rPr>
        <w:t>⑷</w:t>
      </w:r>
      <w:r>
        <w:t>应急响应</w:t>
      </w:r>
    </w:p>
    <w:p>
      <w:pPr>
        <w:ind w:firstLine="480"/>
      </w:pPr>
      <w:r>
        <w:rPr>
          <w:rFonts w:hint="eastAsia"/>
        </w:rPr>
        <w:t>制定</w:t>
      </w:r>
      <w:r>
        <w:t>地下水污染应急</w:t>
      </w:r>
      <w:r>
        <w:rPr>
          <w:rFonts w:hint="eastAsia"/>
        </w:rPr>
        <w:t>响应</w:t>
      </w:r>
      <w:r>
        <w:t>预案</w:t>
      </w:r>
      <w:r>
        <w:rPr>
          <w:rFonts w:hint="eastAsia"/>
        </w:rPr>
        <w:t>，明确污染状况下应</w:t>
      </w:r>
      <w:r>
        <w:t>采取</w:t>
      </w:r>
      <w:r>
        <w:rPr>
          <w:rFonts w:hint="eastAsia"/>
        </w:rPr>
        <w:t>的</w:t>
      </w:r>
      <w:r>
        <w:t>控制污染</w:t>
      </w:r>
      <w:r>
        <w:rPr>
          <w:rFonts w:hint="eastAsia"/>
        </w:rPr>
        <w:t>源、切断污染途径等措施</w:t>
      </w:r>
      <w:r>
        <w:t>。</w:t>
      </w:r>
    </w:p>
    <w:p>
      <w:pPr>
        <w:ind w:firstLine="482"/>
        <w:rPr>
          <w:b/>
        </w:rPr>
      </w:pPr>
      <w:bookmarkStart w:id="44" w:name="_Toc454702494"/>
      <w:bookmarkStart w:id="45" w:name="_Toc336459763"/>
      <w:bookmarkStart w:id="46" w:name="_Toc454219174"/>
      <w:bookmarkStart w:id="47" w:name="_Toc453668903"/>
      <w:r>
        <w:rPr>
          <w:rFonts w:hint="eastAsia"/>
          <w:b/>
        </w:rPr>
        <w:t>2、</w:t>
      </w:r>
      <w:r>
        <w:rPr>
          <w:b/>
        </w:rPr>
        <w:t xml:space="preserve"> 防渗方案及设计</w:t>
      </w:r>
      <w:bookmarkEnd w:id="44"/>
      <w:bookmarkEnd w:id="45"/>
      <w:bookmarkEnd w:id="46"/>
      <w:bookmarkEnd w:id="47"/>
    </w:p>
    <w:p>
      <w:pPr>
        <w:ind w:firstLine="480"/>
      </w:pPr>
      <w:r>
        <w:rPr>
          <w:rFonts w:hint="eastAsia" w:ascii="宋体" w:hAnsi="宋体" w:cs="宋体"/>
        </w:rPr>
        <w:t>⑴</w:t>
      </w:r>
      <w:r>
        <w:t>防渗区域划分及防渗要求</w:t>
      </w:r>
    </w:p>
    <w:p>
      <w:pPr>
        <w:ind w:firstLine="480"/>
        <w:rPr>
          <w:rFonts w:hint="eastAsia"/>
        </w:rPr>
      </w:pPr>
      <w:r>
        <w:t>根据厂区可能泄漏至地面区域污染物的性质和生产单元的构筑方式，将厂区划分为</w:t>
      </w:r>
      <w:r>
        <w:rPr>
          <w:rFonts w:hint="eastAsia"/>
        </w:rPr>
        <w:t>简单防渗区</w:t>
      </w:r>
      <w:r>
        <w:t>、</w:t>
      </w:r>
      <w:r>
        <w:rPr>
          <w:rFonts w:hint="eastAsia"/>
        </w:rPr>
        <w:t>一般防渗区</w:t>
      </w:r>
      <w:r>
        <w:t>和</w:t>
      </w:r>
      <w:r>
        <w:rPr>
          <w:rFonts w:hint="eastAsia"/>
        </w:rPr>
        <w:t>重点防渗区</w:t>
      </w:r>
      <w:r>
        <w:t>。防渗区域划分及防渗要求见表</w:t>
      </w:r>
      <w:r>
        <w:rPr>
          <w:rFonts w:hint="eastAsia"/>
        </w:rPr>
        <w:t>7.1-1</w:t>
      </w:r>
      <w:r>
        <w:t>。</w:t>
      </w:r>
    </w:p>
    <w:p>
      <w:pPr>
        <w:pStyle w:val="25"/>
      </w:pPr>
      <w:r>
        <w:t>表</w:t>
      </w:r>
      <w:r>
        <w:rPr>
          <w:rFonts w:hint="eastAsia"/>
        </w:rPr>
        <w:t>7</w:t>
      </w:r>
      <w:r>
        <w:t>.</w:t>
      </w:r>
      <w:r>
        <w:rPr>
          <w:rFonts w:hint="eastAsia"/>
        </w:rPr>
        <w:t>1-1</w:t>
      </w:r>
      <w:r>
        <w:t xml:space="preserve">  污染区划分及防渗要求</w:t>
      </w:r>
    </w:p>
    <w:tbl>
      <w:tblPr>
        <w:tblStyle w:val="23"/>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55"/>
        <w:gridCol w:w="4814"/>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tblHeader/>
          <w:jc w:val="center"/>
        </w:trPr>
        <w:tc>
          <w:tcPr>
            <w:tcW w:w="1555" w:type="dxa"/>
            <w:vAlign w:val="center"/>
          </w:tcPr>
          <w:p>
            <w:pPr>
              <w:pStyle w:val="25"/>
              <w:rPr>
                <w:bCs/>
                <w:szCs w:val="21"/>
                <w:lang w:val="en-US" w:eastAsia="zh-CN"/>
              </w:rPr>
            </w:pPr>
            <w:r>
              <w:rPr>
                <w:bCs/>
                <w:szCs w:val="21"/>
                <w:lang w:val="en-US" w:eastAsia="zh-CN"/>
              </w:rPr>
              <w:t>分区类别</w:t>
            </w:r>
          </w:p>
        </w:tc>
        <w:tc>
          <w:tcPr>
            <w:tcW w:w="4814" w:type="dxa"/>
            <w:vAlign w:val="center"/>
          </w:tcPr>
          <w:p>
            <w:pPr>
              <w:pStyle w:val="25"/>
              <w:rPr>
                <w:bCs/>
                <w:szCs w:val="21"/>
                <w:lang w:val="en-US" w:eastAsia="zh-CN"/>
              </w:rPr>
            </w:pPr>
            <w:r>
              <w:rPr>
                <w:bCs/>
                <w:szCs w:val="21"/>
                <w:lang w:val="en-US" w:eastAsia="zh-CN"/>
              </w:rPr>
              <w:t>分区举例</w:t>
            </w:r>
          </w:p>
        </w:tc>
        <w:tc>
          <w:tcPr>
            <w:tcW w:w="2703" w:type="dxa"/>
            <w:vAlign w:val="center"/>
          </w:tcPr>
          <w:p>
            <w:pPr>
              <w:pStyle w:val="25"/>
              <w:rPr>
                <w:bCs/>
                <w:szCs w:val="21"/>
                <w:lang w:val="en-US" w:eastAsia="zh-CN"/>
              </w:rPr>
            </w:pPr>
            <w:r>
              <w:rPr>
                <w:bCs/>
                <w:szCs w:val="21"/>
                <w:lang w:val="en-US" w:eastAsia="zh-CN"/>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555" w:type="dxa"/>
            <w:vAlign w:val="center"/>
          </w:tcPr>
          <w:p>
            <w:pPr>
              <w:pStyle w:val="25"/>
              <w:rPr>
                <w:szCs w:val="21"/>
                <w:lang w:val="en-US" w:eastAsia="zh-CN"/>
              </w:rPr>
            </w:pPr>
            <w:r>
              <w:rPr>
                <w:rFonts w:hint="eastAsia"/>
                <w:szCs w:val="21"/>
                <w:lang w:val="en-US" w:eastAsia="zh-CN"/>
              </w:rPr>
              <w:t>简单防渗区</w:t>
            </w:r>
          </w:p>
        </w:tc>
        <w:tc>
          <w:tcPr>
            <w:tcW w:w="4814" w:type="dxa"/>
            <w:vAlign w:val="center"/>
          </w:tcPr>
          <w:p>
            <w:pPr>
              <w:pStyle w:val="25"/>
              <w:rPr>
                <w:szCs w:val="21"/>
                <w:lang w:val="en-US" w:eastAsia="zh-CN"/>
              </w:rPr>
            </w:pPr>
            <w:r>
              <w:rPr>
                <w:szCs w:val="21"/>
                <w:lang w:val="en-US" w:eastAsia="zh-CN"/>
              </w:rPr>
              <w:t>管理区、厂前区等</w:t>
            </w:r>
          </w:p>
        </w:tc>
        <w:tc>
          <w:tcPr>
            <w:tcW w:w="2703" w:type="dxa"/>
            <w:vAlign w:val="center"/>
          </w:tcPr>
          <w:p>
            <w:pPr>
              <w:pStyle w:val="25"/>
              <w:rPr>
                <w:szCs w:val="21"/>
                <w:lang w:val="en-US" w:eastAsia="zh-CN"/>
              </w:rPr>
            </w:pPr>
            <w:r>
              <w:rPr>
                <w:rFonts w:hint="eastAsia"/>
                <w:szCs w:val="21"/>
                <w:lang w:val="en-US" w:eastAsia="zh-CN"/>
              </w:rPr>
              <w:t>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555" w:type="dxa"/>
            <w:vAlign w:val="center"/>
          </w:tcPr>
          <w:p>
            <w:pPr>
              <w:pStyle w:val="25"/>
              <w:rPr>
                <w:szCs w:val="21"/>
                <w:lang w:val="en-US" w:eastAsia="zh-CN"/>
              </w:rPr>
            </w:pPr>
            <w:r>
              <w:rPr>
                <w:rFonts w:hint="eastAsia"/>
                <w:szCs w:val="21"/>
                <w:lang w:val="en-US" w:eastAsia="zh-CN"/>
              </w:rPr>
              <w:t>一般防渗区</w:t>
            </w:r>
          </w:p>
        </w:tc>
        <w:tc>
          <w:tcPr>
            <w:tcW w:w="4814" w:type="dxa"/>
            <w:vAlign w:val="center"/>
          </w:tcPr>
          <w:p>
            <w:pPr>
              <w:pStyle w:val="25"/>
              <w:rPr>
                <w:szCs w:val="21"/>
                <w:lang w:val="en-US" w:eastAsia="zh-CN"/>
              </w:rPr>
            </w:pPr>
            <w:r>
              <w:rPr>
                <w:szCs w:val="21"/>
                <w:lang w:val="en-US" w:eastAsia="zh-CN"/>
              </w:rPr>
              <w:t>生产区、管廊区、污水管道、道路、循环水场、化验室等</w:t>
            </w:r>
          </w:p>
        </w:tc>
        <w:tc>
          <w:tcPr>
            <w:tcW w:w="2703" w:type="dxa"/>
            <w:vAlign w:val="center"/>
          </w:tcPr>
          <w:p>
            <w:pPr>
              <w:pStyle w:val="25"/>
              <w:rPr>
                <w:szCs w:val="21"/>
                <w:lang w:val="en-US" w:eastAsia="zh-CN"/>
              </w:rPr>
            </w:pPr>
            <w:r>
              <w:rPr>
                <w:rFonts w:hint="eastAsia"/>
                <w:szCs w:val="21"/>
                <w:lang w:val="en-US" w:eastAsia="zh-CN"/>
              </w:rPr>
              <w:t>等效</w:t>
            </w:r>
            <w:r>
              <w:rPr>
                <w:szCs w:val="21"/>
                <w:lang w:val="en-US" w:eastAsia="zh-CN"/>
              </w:rPr>
              <w:t>粘土</w:t>
            </w:r>
            <w:r>
              <w:rPr>
                <w:rFonts w:hint="eastAsia"/>
                <w:szCs w:val="21"/>
                <w:lang w:val="en-US" w:eastAsia="zh-CN"/>
              </w:rPr>
              <w:t>防渗</w:t>
            </w:r>
            <w:r>
              <w:rPr>
                <w:szCs w:val="21"/>
                <w:lang w:val="en-US" w:eastAsia="zh-CN"/>
              </w:rPr>
              <w:t>层</w:t>
            </w:r>
            <w:r>
              <w:rPr>
                <w:rFonts w:hint="eastAsia"/>
                <w:szCs w:val="21"/>
                <w:lang w:val="en-US" w:eastAsia="zh-CN"/>
              </w:rPr>
              <w:t>Mb≥1.5m，</w:t>
            </w:r>
            <w:r>
              <w:rPr>
                <w:szCs w:val="21"/>
                <w:lang w:val="en-US" w:eastAsia="zh-CN"/>
              </w:rPr>
              <w:t>渗透系数≤10</w:t>
            </w:r>
            <w:r>
              <w:rPr>
                <w:szCs w:val="21"/>
                <w:vertAlign w:val="superscript"/>
                <w:lang w:val="en-US" w:eastAsia="zh-CN"/>
              </w:rPr>
              <w:t>-7</w:t>
            </w:r>
            <w:r>
              <w:rPr>
                <w:szCs w:val="21"/>
                <w:lang w:val="en-US" w:eastAsia="zh-CN"/>
              </w:rPr>
              <w:t xml:space="preserve">cm/s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555" w:type="dxa"/>
            <w:vAlign w:val="center"/>
          </w:tcPr>
          <w:p>
            <w:pPr>
              <w:pStyle w:val="25"/>
              <w:rPr>
                <w:szCs w:val="21"/>
                <w:lang w:val="en-US" w:eastAsia="zh-CN"/>
              </w:rPr>
            </w:pPr>
            <w:r>
              <w:rPr>
                <w:szCs w:val="21"/>
                <w:lang w:val="en-US" w:eastAsia="zh-CN"/>
              </w:rPr>
              <w:t>重点污染</w:t>
            </w:r>
          </w:p>
          <w:p>
            <w:pPr>
              <w:pStyle w:val="25"/>
              <w:rPr>
                <w:szCs w:val="21"/>
                <w:lang w:val="en-US" w:eastAsia="zh-CN"/>
              </w:rPr>
            </w:pPr>
            <w:r>
              <w:rPr>
                <w:szCs w:val="21"/>
                <w:lang w:val="en-US" w:eastAsia="zh-CN"/>
              </w:rPr>
              <w:t>防治区</w:t>
            </w:r>
          </w:p>
        </w:tc>
        <w:tc>
          <w:tcPr>
            <w:tcW w:w="4814" w:type="dxa"/>
            <w:vAlign w:val="center"/>
          </w:tcPr>
          <w:p>
            <w:pPr>
              <w:pStyle w:val="25"/>
              <w:rPr>
                <w:szCs w:val="21"/>
                <w:lang w:val="en-US" w:eastAsia="zh-CN"/>
              </w:rPr>
            </w:pPr>
            <w:r>
              <w:rPr>
                <w:szCs w:val="21"/>
                <w:lang w:val="en-US" w:eastAsia="zh-CN"/>
              </w:rPr>
              <w:t>污水收集沟和池、厂区内污水检查井、固废暂存场所等</w:t>
            </w:r>
          </w:p>
        </w:tc>
        <w:tc>
          <w:tcPr>
            <w:tcW w:w="2703" w:type="dxa"/>
            <w:vAlign w:val="center"/>
          </w:tcPr>
          <w:p>
            <w:pPr>
              <w:pStyle w:val="25"/>
              <w:rPr>
                <w:szCs w:val="21"/>
                <w:lang w:val="en-US" w:eastAsia="zh-CN"/>
              </w:rPr>
            </w:pPr>
            <w:r>
              <w:rPr>
                <w:rFonts w:hint="eastAsia"/>
                <w:szCs w:val="21"/>
                <w:lang w:val="en-US" w:eastAsia="zh-CN"/>
              </w:rPr>
              <w:t>等效粘土防渗层Mb≥6m，渗透系数≤10</w:t>
            </w:r>
            <w:r>
              <w:rPr>
                <w:rFonts w:hint="eastAsia"/>
                <w:szCs w:val="21"/>
                <w:vertAlign w:val="superscript"/>
                <w:lang w:val="en-US" w:eastAsia="zh-CN"/>
              </w:rPr>
              <w:t>-7</w:t>
            </w:r>
            <w:r>
              <w:rPr>
                <w:rFonts w:hint="eastAsia"/>
                <w:szCs w:val="21"/>
                <w:lang w:val="en-US" w:eastAsia="zh-CN"/>
              </w:rPr>
              <w:t>cm/s</w:t>
            </w:r>
          </w:p>
        </w:tc>
      </w:tr>
    </w:tbl>
    <w:p>
      <w:pPr>
        <w:ind w:firstLine="480"/>
      </w:pPr>
      <w:r>
        <w:rPr>
          <w:rFonts w:hint="eastAsia" w:ascii="宋体" w:hAnsi="宋体" w:cs="宋体"/>
        </w:rPr>
        <w:t>⑵</w:t>
      </w:r>
      <w:r>
        <w:t>防渗漏措施</w:t>
      </w:r>
    </w:p>
    <w:p>
      <w:pPr>
        <w:ind w:firstLine="480"/>
        <w:rPr>
          <w:rFonts w:hint="eastAsia"/>
        </w:rPr>
      </w:pPr>
      <w:r>
        <w:rPr>
          <w:rFonts w:hint="eastAsia"/>
        </w:rPr>
        <w:t>对</w:t>
      </w:r>
      <w:r>
        <w:t>装有毒有害介质</w:t>
      </w:r>
      <w:r>
        <w:rPr>
          <w:rFonts w:hint="eastAsia"/>
        </w:rPr>
        <w:t>储罐</w:t>
      </w:r>
      <w:r>
        <w:t>的法兰及接管法兰的密封面和垫片提高密封等级，必要时采用焊接连接。</w:t>
      </w:r>
      <w:r>
        <w:rPr>
          <w:rFonts w:hint="eastAsia"/>
        </w:rPr>
        <w:t>储罐</w:t>
      </w:r>
      <w:r>
        <w:t>的排净及排空口不采用螺纹密封结构，且不直接排放。</w:t>
      </w:r>
    </w:p>
    <w:p>
      <w:pPr>
        <w:ind w:firstLine="480"/>
      </w:pPr>
      <w:r>
        <w:rPr>
          <w:rFonts w:hint="eastAsia" w:ascii="宋体" w:hAnsi="宋体" w:cs="宋体"/>
        </w:rPr>
        <w:t>①</w:t>
      </w:r>
      <w:r>
        <w:t>所有转动设备进行有效的设计，尽可能防止有害介质(如系统中的润滑油等)泄漏。对输送有毒有害介质的泵选用无密封泵(磁力泵、屏蔽泵等)。所有输送工艺物料的离心泵及回转泵采用机械密封，对输送重组分介质的离心泵及回转泵，提高密封等级(如增加停车密封、干气密封或采用串联密封等措施)。所有转动设备均提供集液盆式底座，并能将集液全部收集并集中</w:t>
      </w:r>
      <w:r>
        <w:rPr>
          <w:rFonts w:hint="eastAsia"/>
        </w:rPr>
        <w:t>处理</w:t>
      </w:r>
      <w:r>
        <w:t>。</w:t>
      </w:r>
    </w:p>
    <w:p>
      <w:pPr>
        <w:ind w:firstLine="480"/>
      </w:pPr>
      <w:r>
        <w:rPr>
          <w:rFonts w:hint="eastAsia" w:ascii="宋体" w:hAnsi="宋体" w:cs="宋体"/>
        </w:rPr>
        <w:t>②</w:t>
      </w:r>
      <w:r>
        <w:t>污水/雨水收排及处理系统</w:t>
      </w:r>
    </w:p>
    <w:p>
      <w:pPr>
        <w:ind w:firstLine="480"/>
      </w:pPr>
      <w:r>
        <w:t>各装置污染区地面初期雨水、地面冲洗水及使用过的消防水全部收集进入污染雨水收集池，通过泵提升后送污水处理</w:t>
      </w:r>
      <w:r>
        <w:rPr>
          <w:rFonts w:hint="eastAsia"/>
        </w:rPr>
        <w:t>站</w:t>
      </w:r>
      <w:r>
        <w:t>处理。</w:t>
      </w:r>
    </w:p>
    <w:p>
      <w:pPr>
        <w:ind w:firstLine="480"/>
        <w:rPr>
          <w:rFonts w:hint="eastAsia"/>
        </w:rPr>
      </w:pPr>
      <w:r>
        <w:t>输送污水压力管道尽量采用地上敷设，重力收集管道宜采用埋地敷设，埋地敷设的排水管道在穿越厂区干道时采用套管保护，禁止在重力排水的污水管线上使用倒虹吸管。所有穿过污水处理构筑物壁的管道预先设置防水套管，防水套管的环缝隙采用不透水的柔性材料填塞。</w:t>
      </w:r>
    </w:p>
    <w:p>
      <w:pPr>
        <w:ind w:firstLine="482"/>
        <w:rPr>
          <w:b/>
        </w:rPr>
      </w:pPr>
      <w:bookmarkStart w:id="48" w:name="_Toc454219175"/>
      <w:bookmarkStart w:id="49" w:name="_Toc454702495"/>
      <w:bookmarkStart w:id="50" w:name="_Toc336459764"/>
      <w:bookmarkStart w:id="51" w:name="_Toc453668904"/>
      <w:r>
        <w:rPr>
          <w:rFonts w:hint="eastAsia"/>
          <w:b/>
        </w:rPr>
        <w:t>3、</w:t>
      </w:r>
      <w:r>
        <w:rPr>
          <w:b/>
        </w:rPr>
        <w:t>地下水监控</w:t>
      </w:r>
      <w:bookmarkEnd w:id="48"/>
      <w:bookmarkEnd w:id="49"/>
      <w:bookmarkEnd w:id="50"/>
      <w:bookmarkEnd w:id="51"/>
    </w:p>
    <w:p>
      <w:pPr>
        <w:ind w:firstLine="480"/>
      </w:pPr>
      <w:r>
        <w:t>为了掌握本工程周围地下水环境质量状况和地下水体中污染物的动态变化，对</w:t>
      </w:r>
      <w:r>
        <w:rPr>
          <w:rFonts w:hint="eastAsia"/>
        </w:rPr>
        <w:t>企业</w:t>
      </w:r>
      <w:r>
        <w:t>所在地周围的地下水水质进行</w:t>
      </w:r>
      <w:r>
        <w:rPr>
          <w:rFonts w:hint="eastAsia"/>
        </w:rPr>
        <w:t>跟踪</w:t>
      </w:r>
      <w:r>
        <w:t>监测，</w:t>
      </w:r>
      <w:r>
        <w:rPr>
          <w:rFonts w:hint="eastAsia"/>
        </w:rPr>
        <w:t>需设3个水质监测井，即在企业厂区内，</w:t>
      </w:r>
      <w:r>
        <w:t>上</w:t>
      </w:r>
      <w:r>
        <w:rPr>
          <w:rFonts w:hint="eastAsia"/>
        </w:rPr>
        <w:t>、</w:t>
      </w:r>
      <w:r>
        <w:t>下游</w:t>
      </w:r>
      <w:r>
        <w:rPr>
          <w:rFonts w:hint="eastAsia"/>
        </w:rPr>
        <w:t>各</w:t>
      </w:r>
      <w:r>
        <w:t>布设</w:t>
      </w:r>
      <w:r>
        <w:rPr>
          <w:rFonts w:hint="eastAsia"/>
        </w:rPr>
        <w:t>1个</w:t>
      </w:r>
      <w:r>
        <w:t>水质监测井。</w:t>
      </w:r>
    </w:p>
    <w:p>
      <w:pPr>
        <w:pStyle w:val="3"/>
      </w:pPr>
      <w:bookmarkStart w:id="52" w:name="_Toc21480"/>
      <w:r>
        <w:rPr>
          <w:rFonts w:hint="eastAsia"/>
        </w:rPr>
        <w:t>废气</w:t>
      </w:r>
      <w:bookmarkEnd w:id="52"/>
    </w:p>
    <w:p>
      <w:pPr>
        <w:pStyle w:val="4"/>
        <w:rPr>
          <w:u w:val="single"/>
        </w:rPr>
      </w:pPr>
      <w:r>
        <w:rPr>
          <w:rFonts w:hint="eastAsia"/>
          <w:u w:val="single"/>
        </w:rPr>
        <w:t>定型废气</w:t>
      </w:r>
    </w:p>
    <w:p>
      <w:pPr>
        <w:ind w:firstLine="480"/>
        <w:rPr>
          <w:u w:val="single"/>
        </w:rPr>
      </w:pPr>
      <w:r>
        <w:rPr>
          <w:rFonts w:hint="eastAsia"/>
          <w:u w:val="single"/>
        </w:rPr>
        <w:t>拟对新购</w:t>
      </w:r>
      <w:r>
        <w:rPr>
          <w:u w:val="single"/>
        </w:rPr>
        <w:t>2</w:t>
      </w:r>
      <w:r>
        <w:rPr>
          <w:rFonts w:hint="eastAsia"/>
          <w:u w:val="single"/>
        </w:rPr>
        <w:t>台定型机安装高压静电定型废气处处理系统，同时要求企业对定型废气采用负压收集，确保定型废气全部收集，油烟去除效率达到</w:t>
      </w:r>
      <w:r>
        <w:rPr>
          <w:u w:val="single"/>
        </w:rPr>
        <w:t>80%</w:t>
      </w:r>
      <w:r>
        <w:rPr>
          <w:rFonts w:hint="eastAsia"/>
          <w:u w:val="single"/>
        </w:rPr>
        <w:t>，颗粒物去除率达到</w:t>
      </w:r>
      <w:r>
        <w:rPr>
          <w:u w:val="single"/>
        </w:rPr>
        <w:t>85%</w:t>
      </w:r>
      <w:r>
        <w:rPr>
          <w:rFonts w:hint="eastAsia"/>
          <w:u w:val="single"/>
        </w:rPr>
        <w:t>以上。定型废气经处理后通过</w:t>
      </w:r>
      <w:r>
        <w:rPr>
          <w:u w:val="single"/>
        </w:rPr>
        <w:t>20m</w:t>
      </w:r>
      <w:r>
        <w:rPr>
          <w:rFonts w:hint="eastAsia"/>
          <w:u w:val="single"/>
        </w:rPr>
        <w:t>高排气筒高空排放。定型废气经治理后颗粒物和油烟排放浓度均能够达到《大气污染物综合排放标准》</w:t>
      </w:r>
      <w:r>
        <w:rPr>
          <w:u w:val="single"/>
        </w:rPr>
        <w:t>(GB16297-1996)</w:t>
      </w:r>
      <w:r>
        <w:rPr>
          <w:rFonts w:hint="eastAsia"/>
          <w:u w:val="single"/>
        </w:rPr>
        <w:t>表</w:t>
      </w:r>
      <w:r>
        <w:rPr>
          <w:u w:val="single"/>
        </w:rPr>
        <w:t>2</w:t>
      </w:r>
      <w:r>
        <w:rPr>
          <w:rFonts w:hint="eastAsia"/>
          <w:u w:val="single"/>
        </w:rPr>
        <w:t>中限值要求（颗粒物排放浓度为</w:t>
      </w:r>
      <w:r>
        <w:rPr>
          <w:u w:val="single"/>
        </w:rPr>
        <w:t>120mg/m</w:t>
      </w:r>
      <w:r>
        <w:rPr>
          <w:u w:val="single"/>
          <w:vertAlign w:val="superscript"/>
        </w:rPr>
        <w:t>3</w:t>
      </w:r>
      <w:r>
        <w:rPr>
          <w:rFonts w:hint="eastAsia"/>
          <w:u w:val="single"/>
        </w:rPr>
        <w:t>）。</w:t>
      </w:r>
    </w:p>
    <w:p>
      <w:pPr>
        <w:pStyle w:val="4"/>
        <w:rPr>
          <w:u w:val="single"/>
        </w:rPr>
      </w:pPr>
      <w:r>
        <w:rPr>
          <w:rFonts w:hint="eastAsia"/>
          <w:u w:val="single"/>
        </w:rPr>
        <w:t>锅炉废气</w:t>
      </w:r>
    </w:p>
    <w:p>
      <w:pPr>
        <w:ind w:firstLine="480"/>
        <w:rPr>
          <w:u w:val="single"/>
        </w:rPr>
      </w:pPr>
      <w:r>
        <w:rPr>
          <w:rFonts w:hint="eastAsia"/>
          <w:u w:val="single"/>
        </w:rPr>
        <w:t>技改后，项目采用的锅炉均使用成型生物质作为燃料。本项目锅炉废气采用布袋除尘系统进行处理后高空排放。</w:t>
      </w:r>
    </w:p>
    <w:p>
      <w:pPr>
        <w:ind w:firstLine="480"/>
        <w:rPr>
          <w:u w:val="single"/>
        </w:rPr>
      </w:pPr>
      <w:r>
        <w:rPr>
          <w:rFonts w:hint="eastAsia"/>
          <w:u w:val="single"/>
        </w:rPr>
        <w:t>布袋除尘装置设备正常工作时，含尘气体由进风口进入灰斗，由于气体体积急速膨胀，一部分较粗的尘粒受惯性碰撞或自然沉降等原因落入灰斗，其余大部分尘粒随气流上升进入袋室，经滤袋过滤后，尘粒被滞留在滤袋的外侧，净化后的气体由滤袋内部进入箱体，再由阀板孔、排风口排入大气，从而达到滞尘的目的。随着过滤的不断进行，收尘器阻力也随之上升，当阻力达到一定值时，清灰控制器发出清灰命令，首先将提升阀板关闭，切断气流；然后，清灰控制器向电磁阀发出信号，随着电磁阀把用作清灰度高压逆向气流送入袋内，滤袋迅速膨胀，并产生强烈的抖动，导致滤袋外侧的粉尘抖落，达到清灰的目的。由于设备分为若干个箱区，所以上述过程是逐箱进行的，一个箱区在清灰时，其余箱区仍在正常工作，保证了设备的连续正常运转。之所以能处理高浓度，关键在于这种强清灰所需清灰时间极短（喷吹一次只需</w:t>
      </w:r>
      <w:r>
        <w:rPr>
          <w:u w:val="single"/>
        </w:rPr>
        <w:t>0.1-0.2s</w:t>
      </w:r>
      <w:r>
        <w:rPr>
          <w:rFonts w:hint="eastAsia"/>
          <w:u w:val="single"/>
        </w:rPr>
        <w:t>）。</w:t>
      </w:r>
    </w:p>
    <w:p>
      <w:pPr>
        <w:ind w:firstLine="480"/>
        <w:rPr>
          <w:u w:val="single"/>
        </w:rPr>
      </w:pPr>
      <w:r>
        <w:rPr>
          <w:rFonts w:hint="eastAsia"/>
          <w:u w:val="single"/>
        </w:rPr>
        <w:t>技术特点：无需预收尘设备，能一次性处理高达</w:t>
      </w:r>
      <w:r>
        <w:rPr>
          <w:u w:val="single"/>
        </w:rPr>
        <w:t>1000g/Nm</w:t>
      </w:r>
      <w:r>
        <w:rPr>
          <w:u w:val="single"/>
          <w:vertAlign w:val="superscript"/>
        </w:rPr>
        <w:t>3</w:t>
      </w:r>
      <w:r>
        <w:rPr>
          <w:rFonts w:hint="eastAsia"/>
          <w:u w:val="single"/>
        </w:rPr>
        <w:t>浓度的烟尘，排放浓度小于</w:t>
      </w:r>
      <w:r>
        <w:rPr>
          <w:u w:val="single"/>
        </w:rPr>
        <w:t>30mg/Nm</w:t>
      </w:r>
      <w:r>
        <w:rPr>
          <w:u w:val="single"/>
          <w:vertAlign w:val="superscript"/>
        </w:rPr>
        <w:t>3</w:t>
      </w:r>
      <w:r>
        <w:rPr>
          <w:rFonts w:hint="eastAsia"/>
          <w:u w:val="single"/>
        </w:rPr>
        <w:t>，工艺流程简单；袋室内无需喷吹管，机外换袋方便；嵌入式弹性窗口，密封性能好；脉冲阀数量少，清灰强度大，动作迅速；整机采用微机自动控制，各参数易于调节，可实现无岗位工操作；滤袋使用寿命</w:t>
      </w:r>
      <w:r>
        <w:rPr>
          <w:u w:val="single"/>
        </w:rPr>
        <w:t>2a</w:t>
      </w:r>
      <w:r>
        <w:rPr>
          <w:rFonts w:hint="eastAsia"/>
          <w:u w:val="single"/>
        </w:rPr>
        <w:t>以上；易实现隔离检修，收尘器相对主机运转率</w:t>
      </w:r>
      <w:r>
        <w:rPr>
          <w:u w:val="single"/>
        </w:rPr>
        <w:t>100%</w:t>
      </w:r>
      <w:r>
        <w:rPr>
          <w:rFonts w:hint="eastAsia"/>
          <w:u w:val="single"/>
        </w:rPr>
        <w:t>。通过类比调查和资料介绍，本项目除尘设备选用袋式除尘器，其除尘效率可达到</w:t>
      </w:r>
      <w:r>
        <w:rPr>
          <w:u w:val="single"/>
        </w:rPr>
        <w:t>99.9%</w:t>
      </w:r>
      <w:r>
        <w:rPr>
          <w:rFonts w:hint="eastAsia"/>
          <w:u w:val="single"/>
        </w:rPr>
        <w:t>。出口浓度可以满足《大气污染物排放标准》中的要求，因此本项目除尘选用布袋除尘器措施可行。</w:t>
      </w:r>
    </w:p>
    <w:p>
      <w:pPr>
        <w:pStyle w:val="4"/>
        <w:rPr>
          <w:u w:val="single"/>
        </w:rPr>
      </w:pPr>
      <w:r>
        <w:rPr>
          <w:rFonts w:hint="eastAsia"/>
          <w:u w:val="single"/>
        </w:rPr>
        <w:t>食堂油烟</w:t>
      </w:r>
    </w:p>
    <w:p>
      <w:pPr>
        <w:ind w:firstLine="480"/>
        <w:rPr>
          <w:u w:val="single"/>
        </w:rPr>
      </w:pPr>
      <w:r>
        <w:rPr>
          <w:rFonts w:hint="eastAsia"/>
          <w:u w:val="single"/>
        </w:rPr>
        <w:t>食堂油烟经收集后应采用静电高效油烟净化器处理，根据同类静电高效油烟净化器说明书，通过处理后，处理效率达到</w:t>
      </w:r>
      <w:r>
        <w:rPr>
          <w:u w:val="single"/>
        </w:rPr>
        <w:t>84%</w:t>
      </w:r>
      <w:r>
        <w:rPr>
          <w:rFonts w:hint="eastAsia"/>
          <w:u w:val="single"/>
        </w:rPr>
        <w:t>，油烟排放浓度为</w:t>
      </w:r>
      <w:r>
        <w:rPr>
          <w:u w:val="single"/>
        </w:rPr>
        <w:t>0.87mg/m</w:t>
      </w:r>
      <w:r>
        <w:rPr>
          <w:u w:val="single"/>
          <w:vertAlign w:val="superscript"/>
        </w:rPr>
        <w:t>3</w:t>
      </w:r>
      <w:r>
        <w:rPr>
          <w:rFonts w:hint="eastAsia"/>
          <w:u w:val="single"/>
        </w:rPr>
        <w:t>，能达到《饮食业油烟排放标准（试行）》（</w:t>
      </w:r>
      <w:r>
        <w:rPr>
          <w:u w:val="single"/>
        </w:rPr>
        <w:t>GB18483-2001</w:t>
      </w:r>
      <w:r>
        <w:rPr>
          <w:rFonts w:hint="eastAsia"/>
          <w:u w:val="single"/>
        </w:rPr>
        <w:t>）的标准。</w:t>
      </w:r>
    </w:p>
    <w:p>
      <w:pPr>
        <w:pStyle w:val="3"/>
      </w:pPr>
      <w:bookmarkStart w:id="53" w:name="_Toc15006"/>
      <w:r>
        <w:rPr>
          <w:rFonts w:hint="eastAsia"/>
        </w:rPr>
        <w:t>噪声</w:t>
      </w:r>
      <w:bookmarkEnd w:id="53"/>
    </w:p>
    <w:p>
      <w:pPr>
        <w:ind w:firstLine="480"/>
      </w:pPr>
      <w:r>
        <w:rPr>
          <w:rFonts w:hint="eastAsia"/>
        </w:rPr>
        <w:t>（</w:t>
      </w:r>
      <w:r>
        <w:t>1</w:t>
      </w:r>
      <w:r>
        <w:rPr>
          <w:rFonts w:hint="eastAsia"/>
        </w:rPr>
        <w:t>）为确保厂界噪声稳定达标，要求企业采取以下噪声防治措施：</w:t>
      </w:r>
    </w:p>
    <w:p>
      <w:pPr>
        <w:ind w:firstLine="480"/>
      </w:pPr>
      <w:r>
        <w:rPr>
          <w:rFonts w:hint="eastAsia"/>
        </w:rPr>
        <w:t>①对所有泵房、空压机房及污水处理罗茨风机房采取全封闭形式，罗茨风机进出风口安装消声器，可降低噪声源强约</w:t>
      </w:r>
      <w:r>
        <w:t>15dB</w:t>
      </w:r>
      <w:r>
        <w:rPr>
          <w:rFonts w:hint="eastAsia"/>
        </w:rPr>
        <w:t>，以减轻噪声对周围环境的影响。</w:t>
      </w:r>
    </w:p>
    <w:p>
      <w:pPr>
        <w:ind w:firstLine="480"/>
      </w:pPr>
      <w:r>
        <w:rPr>
          <w:rFonts w:hint="eastAsia"/>
        </w:rPr>
        <w:fldChar w:fldCharType="begin"/>
      </w:r>
      <w:r>
        <w:instrText xml:space="preserve"> = 2 \* GB3 </w:instrText>
      </w:r>
      <w:r>
        <w:rPr>
          <w:rFonts w:hint="eastAsia"/>
        </w:rPr>
        <w:fldChar w:fldCharType="separate"/>
      </w:r>
      <w:r>
        <w:rPr>
          <w:rFonts w:hint="eastAsia"/>
        </w:rPr>
        <w:t>②</w:t>
      </w:r>
      <w:r>
        <w:rPr>
          <w:rFonts w:hint="eastAsia"/>
        </w:rPr>
        <w:fldChar w:fldCharType="end"/>
      </w:r>
      <w:r>
        <w:rPr>
          <w:rFonts w:hint="eastAsia"/>
        </w:rPr>
        <w:t>生产车间安装隔声门窗。</w:t>
      </w:r>
    </w:p>
    <w:p>
      <w:pPr>
        <w:ind w:firstLine="480"/>
      </w:pPr>
      <w:r>
        <w:rPr>
          <w:rFonts w:hint="eastAsia"/>
        </w:rPr>
        <w:fldChar w:fldCharType="begin"/>
      </w:r>
      <w:r>
        <w:instrText xml:space="preserve"> = 3 \* GB3 </w:instrText>
      </w:r>
      <w:r>
        <w:rPr>
          <w:rFonts w:hint="eastAsia"/>
        </w:rPr>
        <w:fldChar w:fldCharType="separate"/>
      </w:r>
      <w:r>
        <w:rPr>
          <w:rFonts w:hint="eastAsia"/>
        </w:rPr>
        <w:t>③</w:t>
      </w:r>
      <w:r>
        <w:rPr>
          <w:rFonts w:hint="eastAsia"/>
        </w:rPr>
        <w:fldChar w:fldCharType="end"/>
      </w:r>
      <w:r>
        <w:rPr>
          <w:rFonts w:hint="eastAsia"/>
        </w:rPr>
        <w:t>对高噪声印染设备安装减振垫、消声器或设立隔声罩。</w:t>
      </w:r>
    </w:p>
    <w:p>
      <w:pPr>
        <w:ind w:firstLine="480"/>
      </w:pPr>
      <w:r>
        <w:rPr>
          <w:rFonts w:hint="eastAsia"/>
        </w:rPr>
        <w:fldChar w:fldCharType="begin"/>
      </w:r>
      <w:r>
        <w:instrText xml:space="preserve"> = 4 \* GB3 </w:instrText>
      </w:r>
      <w:r>
        <w:rPr>
          <w:rFonts w:hint="eastAsia"/>
        </w:rPr>
        <w:fldChar w:fldCharType="separate"/>
      </w:r>
      <w:r>
        <w:rPr>
          <w:rFonts w:hint="eastAsia"/>
        </w:rPr>
        <w:t>④</w:t>
      </w:r>
      <w:r>
        <w:rPr>
          <w:rFonts w:hint="eastAsia"/>
        </w:rPr>
        <w:fldChar w:fldCharType="end"/>
      </w:r>
      <w:r>
        <w:rPr>
          <w:rFonts w:hint="eastAsia"/>
        </w:rPr>
        <w:t>加强噪声设备的管理，避免因不正常运行所导致的噪声增大。</w:t>
      </w:r>
    </w:p>
    <w:p>
      <w:pPr>
        <w:ind w:firstLine="480"/>
      </w:pPr>
      <w:r>
        <w:rPr>
          <w:rFonts w:hint="eastAsia"/>
        </w:rPr>
        <w:t>（</w:t>
      </w:r>
      <w:r>
        <w:t>2</w:t>
      </w:r>
      <w:r>
        <w:rPr>
          <w:rFonts w:hint="eastAsia"/>
        </w:rPr>
        <w:t>）为确保减少对周边居民造成影响，要求企业采取以下噪声防治措施：</w:t>
      </w:r>
    </w:p>
    <w:p>
      <w:pPr>
        <w:ind w:firstLine="480"/>
      </w:pPr>
      <w:r>
        <w:rPr>
          <w:rFonts w:hint="eastAsia"/>
        </w:rPr>
        <w:t>①合理平面布局，将高噪声设备安装在车间东面；</w:t>
      </w:r>
    </w:p>
    <w:p>
      <w:pPr>
        <w:ind w:firstLine="480"/>
      </w:pPr>
      <w:r>
        <w:rPr>
          <w:rFonts w:hint="eastAsia"/>
        </w:rPr>
        <w:t>②对西面厂界一侧采取绿化进行降噪；</w:t>
      </w:r>
    </w:p>
    <w:p>
      <w:pPr>
        <w:ind w:firstLine="480"/>
      </w:pPr>
      <w:r>
        <w:rPr>
          <w:rFonts w:hint="eastAsia"/>
        </w:rPr>
        <w:t>③严禁夜间（</w:t>
      </w:r>
      <w:r>
        <w:t>22:00~</w:t>
      </w:r>
      <w:r>
        <w:rPr>
          <w:rFonts w:hint="eastAsia"/>
        </w:rPr>
        <w:t>次日</w:t>
      </w:r>
      <w:r>
        <w:t>6:00</w:t>
      </w:r>
      <w:r>
        <w:rPr>
          <w:rFonts w:hint="eastAsia"/>
        </w:rPr>
        <w:t>）进行生产。</w:t>
      </w:r>
    </w:p>
    <w:p>
      <w:pPr>
        <w:pStyle w:val="3"/>
      </w:pPr>
      <w:bookmarkStart w:id="54" w:name="_Toc7835"/>
      <w:r>
        <w:rPr>
          <w:rFonts w:hint="eastAsia"/>
        </w:rPr>
        <w:t>固体废物</w:t>
      </w:r>
      <w:bookmarkEnd w:id="54"/>
    </w:p>
    <w:p>
      <w:pPr>
        <w:ind w:firstLine="480"/>
        <w:rPr>
          <w:rFonts w:hint="eastAsia"/>
        </w:rPr>
      </w:pPr>
      <w:r>
        <w:rPr>
          <w:rFonts w:hint="eastAsia"/>
        </w:rPr>
        <w:t>企业应进一步加强固废的管理，严格按照《一般工业固体废物贮存、处置场污染控制标准》（</w:t>
      </w:r>
      <w:r>
        <w:t>GB18599-2001</w:t>
      </w:r>
      <w:r>
        <w:rPr>
          <w:rFonts w:hint="eastAsia"/>
        </w:rPr>
        <w:t>）及修改单和《危险废物贮存污染控制标准》（</w:t>
      </w:r>
      <w:r>
        <w:t>GB18597-2001</w:t>
      </w:r>
      <w:r>
        <w:rPr>
          <w:rFonts w:hint="eastAsia"/>
        </w:rPr>
        <w:t>）及修改单中的规范要求，做好固体废物收集、贮存、运输和处置等工作。</w:t>
      </w:r>
    </w:p>
    <w:p>
      <w:pPr>
        <w:ind w:firstLine="480"/>
      </w:pPr>
      <w:r>
        <w:rPr>
          <w:rFonts w:hint="eastAsia"/>
        </w:rPr>
        <w:t>根据现场踏勘，企业需新建危废暂存间。</w:t>
      </w:r>
      <w:r>
        <w:rPr>
          <w:rFonts w:hint="eastAsia"/>
          <w:u w:val="single"/>
        </w:rPr>
        <w:t>危废暂存间建设必须符合《危险废物贮存污染控制标准》（GB18597-2001）规定贮存控制标准，具体要求如下：必须与生活垃圾分开存放地分开，有防雨淋的设施，低级高度应确保设施内不受雨水冲击或浸泡；</w:t>
      </w:r>
      <w:r>
        <w:rPr>
          <w:u w:val="single"/>
        </w:rPr>
        <w:t>应有严密的封闭措施，设专人管理，避免非工作人员进出，以及防鼠</w:t>
      </w:r>
      <w:r>
        <w:rPr>
          <w:rFonts w:hint="eastAsia"/>
          <w:u w:val="single"/>
        </w:rPr>
        <w:t>、</w:t>
      </w:r>
      <w:r>
        <w:rPr>
          <w:u w:val="single"/>
        </w:rPr>
        <w:t>防盗等安全措施；</w:t>
      </w:r>
      <w:r>
        <w:rPr>
          <w:rFonts w:hint="eastAsia"/>
          <w:u w:val="single"/>
        </w:rPr>
        <w:t>暂存间外应张贴环保部门制定的专用危险废物标签；应设计堵截泄露的裙脚；危险废物必须分类别分开存放；废物贮存容器须有明显标志，具有耐腐蚀、耐压、密封和不与所贮存的其它废物发生反应等特性。</w:t>
      </w:r>
      <w:r>
        <w:t xml:space="preserve"> </w:t>
      </w:r>
    </w:p>
    <w:p>
      <w:pPr>
        <w:pStyle w:val="3"/>
      </w:pPr>
      <w:bookmarkStart w:id="55" w:name="_Toc2747"/>
      <w:r>
        <w:rPr>
          <w:rFonts w:hint="eastAsia"/>
        </w:rPr>
        <w:t>环保投资估算</w:t>
      </w:r>
      <w:bookmarkEnd w:id="55"/>
    </w:p>
    <w:p>
      <w:pPr>
        <w:ind w:firstLine="480"/>
        <w:rPr>
          <w:rFonts w:hint="eastAsia"/>
        </w:rPr>
      </w:pPr>
      <w:r>
        <w:rPr>
          <w:rFonts w:hint="eastAsia"/>
        </w:rPr>
        <w:t>本次技改项目环保投资见表</w:t>
      </w:r>
      <w:r>
        <w:t>7.5-1</w:t>
      </w:r>
      <w:r>
        <w:rPr>
          <w:rFonts w:hint="eastAsia"/>
        </w:rPr>
        <w:t>。</w:t>
      </w:r>
    </w:p>
    <w:p>
      <w:pPr>
        <w:ind w:firstLine="480"/>
        <w:rPr>
          <w:rFonts w:hint="eastAsia"/>
        </w:rPr>
      </w:pPr>
    </w:p>
    <w:p>
      <w:pPr>
        <w:ind w:firstLine="480"/>
        <w:rPr>
          <w:rFonts w:hint="eastAsia"/>
        </w:rPr>
      </w:pPr>
    </w:p>
    <w:p>
      <w:pPr>
        <w:ind w:firstLine="480"/>
        <w:rPr>
          <w:rFonts w:hint="eastAsia"/>
        </w:rPr>
      </w:pPr>
    </w:p>
    <w:p>
      <w:pPr>
        <w:pStyle w:val="26"/>
        <w:rPr>
          <w:b/>
          <w:bCs/>
          <w:u w:val="single"/>
        </w:rPr>
      </w:pPr>
      <w:r>
        <w:rPr>
          <w:rFonts w:hint="eastAsia"/>
          <w:b/>
          <w:bCs/>
          <w:u w:val="single"/>
        </w:rPr>
        <w:t>表</w:t>
      </w:r>
      <w:r>
        <w:rPr>
          <w:b/>
          <w:bCs/>
          <w:u w:val="single"/>
        </w:rPr>
        <w:t xml:space="preserve">7.5-1   </w:t>
      </w:r>
      <w:r>
        <w:rPr>
          <w:rFonts w:hint="eastAsia"/>
          <w:b/>
          <w:bCs/>
          <w:u w:val="single"/>
        </w:rPr>
        <w:t>技改项目环保投资估算一览表</w:t>
      </w:r>
    </w:p>
    <w:tbl>
      <w:tblPr>
        <w:tblStyle w:val="23"/>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910"/>
        <w:gridCol w:w="2735"/>
        <w:gridCol w:w="360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560" w:type="dxa"/>
            <w:gridSpan w:val="2"/>
            <w:vMerge w:val="restart"/>
            <w:vAlign w:val="center"/>
          </w:tcPr>
          <w:p>
            <w:pPr>
              <w:pStyle w:val="26"/>
              <w:rPr>
                <w:kern w:val="2"/>
                <w:szCs w:val="21"/>
                <w:u w:val="single"/>
                <w:lang w:val="en-US" w:eastAsia="zh-CN"/>
              </w:rPr>
            </w:pPr>
            <w:r>
              <w:rPr>
                <w:rFonts w:hint="eastAsia"/>
                <w:kern w:val="2"/>
                <w:szCs w:val="21"/>
                <w:u w:val="single"/>
                <w:lang w:val="en-US" w:eastAsia="zh-CN"/>
              </w:rPr>
              <w:t>类别</w:t>
            </w:r>
          </w:p>
        </w:tc>
        <w:tc>
          <w:tcPr>
            <w:tcW w:w="6342" w:type="dxa"/>
            <w:gridSpan w:val="2"/>
            <w:vAlign w:val="center"/>
          </w:tcPr>
          <w:p>
            <w:pPr>
              <w:pStyle w:val="26"/>
              <w:rPr>
                <w:kern w:val="2"/>
                <w:szCs w:val="21"/>
                <w:u w:val="single"/>
                <w:lang w:val="en-US" w:eastAsia="zh-CN"/>
              </w:rPr>
            </w:pPr>
            <w:r>
              <w:rPr>
                <w:rFonts w:hint="eastAsia"/>
                <w:kern w:val="2"/>
                <w:szCs w:val="21"/>
                <w:u w:val="single"/>
                <w:lang w:val="en-US" w:eastAsia="zh-CN"/>
              </w:rPr>
              <w:t>治理内容</w:t>
            </w:r>
          </w:p>
        </w:tc>
        <w:tc>
          <w:tcPr>
            <w:tcW w:w="1737" w:type="dxa"/>
            <w:vMerge w:val="restart"/>
            <w:vAlign w:val="center"/>
          </w:tcPr>
          <w:p>
            <w:pPr>
              <w:pStyle w:val="26"/>
              <w:rPr>
                <w:kern w:val="2"/>
                <w:szCs w:val="21"/>
                <w:u w:val="single"/>
                <w:lang w:val="en-US" w:eastAsia="zh-CN"/>
              </w:rPr>
            </w:pPr>
            <w:r>
              <w:rPr>
                <w:rFonts w:hint="eastAsia"/>
                <w:kern w:val="2"/>
                <w:szCs w:val="21"/>
                <w:u w:val="single"/>
                <w:lang w:val="en-US" w:eastAsia="zh-CN"/>
              </w:rPr>
              <w:t>拟建费用</w:t>
            </w:r>
            <w:r>
              <w:rPr>
                <w:kern w:val="2"/>
                <w:szCs w:val="21"/>
                <w:u w:val="single"/>
                <w:lang w:val="en-US" w:eastAsia="zh-CN"/>
              </w:rPr>
              <w:t>(</w:t>
            </w:r>
            <w:r>
              <w:rPr>
                <w:rFonts w:hint="eastAsia"/>
                <w:kern w:val="2"/>
                <w:szCs w:val="21"/>
                <w:u w:val="single"/>
                <w:lang w:val="en-US" w:eastAsia="zh-CN"/>
              </w:rPr>
              <w:t>万元</w:t>
            </w:r>
            <w:r>
              <w:rPr>
                <w:kern w:val="2"/>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560" w:type="dxa"/>
            <w:gridSpan w:val="2"/>
            <w:vMerge w:val="continue"/>
            <w:vAlign w:val="center"/>
          </w:tcPr>
          <w:p>
            <w:pPr>
              <w:pStyle w:val="26"/>
              <w:rPr>
                <w:kern w:val="2"/>
                <w:szCs w:val="21"/>
                <w:u w:val="single"/>
                <w:lang w:val="en-US" w:eastAsia="zh-CN"/>
              </w:rPr>
            </w:pPr>
          </w:p>
        </w:tc>
        <w:tc>
          <w:tcPr>
            <w:tcW w:w="2735" w:type="dxa"/>
            <w:vAlign w:val="center"/>
          </w:tcPr>
          <w:p>
            <w:pPr>
              <w:pStyle w:val="26"/>
              <w:rPr>
                <w:kern w:val="2"/>
                <w:szCs w:val="21"/>
                <w:u w:val="single"/>
                <w:lang w:val="en-US" w:eastAsia="zh-CN"/>
              </w:rPr>
            </w:pPr>
            <w:r>
              <w:rPr>
                <w:rFonts w:hint="eastAsia"/>
                <w:kern w:val="2"/>
                <w:szCs w:val="21"/>
                <w:u w:val="single"/>
                <w:lang w:val="en-US" w:eastAsia="zh-CN"/>
              </w:rPr>
              <w:t>已实施</w:t>
            </w:r>
          </w:p>
        </w:tc>
        <w:tc>
          <w:tcPr>
            <w:tcW w:w="3607" w:type="dxa"/>
            <w:vAlign w:val="center"/>
          </w:tcPr>
          <w:p>
            <w:pPr>
              <w:pStyle w:val="26"/>
              <w:rPr>
                <w:kern w:val="2"/>
                <w:szCs w:val="21"/>
                <w:u w:val="single"/>
                <w:lang w:val="en-US" w:eastAsia="zh-CN"/>
              </w:rPr>
            </w:pPr>
            <w:r>
              <w:rPr>
                <w:rFonts w:hint="eastAsia"/>
                <w:kern w:val="2"/>
                <w:szCs w:val="21"/>
                <w:u w:val="single"/>
                <w:lang w:val="en-US" w:eastAsia="zh-CN"/>
              </w:rPr>
              <w:t>拟建</w:t>
            </w:r>
          </w:p>
        </w:tc>
        <w:tc>
          <w:tcPr>
            <w:tcW w:w="1737" w:type="dxa"/>
            <w:vMerge w:val="continue"/>
            <w:vAlign w:val="center"/>
          </w:tcPr>
          <w:p>
            <w:pPr>
              <w:pStyle w:val="26"/>
              <w:rPr>
                <w:kern w:val="2"/>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650" w:type="dxa"/>
            <w:vAlign w:val="center"/>
          </w:tcPr>
          <w:p>
            <w:pPr>
              <w:pStyle w:val="26"/>
              <w:rPr>
                <w:kern w:val="2"/>
                <w:szCs w:val="21"/>
                <w:u w:val="single"/>
                <w:lang w:val="en-US" w:eastAsia="zh-CN"/>
              </w:rPr>
            </w:pPr>
            <w:r>
              <w:rPr>
                <w:rFonts w:hint="eastAsia"/>
                <w:kern w:val="2"/>
                <w:szCs w:val="21"/>
                <w:u w:val="single"/>
                <w:lang w:val="en-US" w:eastAsia="zh-CN"/>
              </w:rPr>
              <w:t>废水</w:t>
            </w:r>
          </w:p>
        </w:tc>
        <w:tc>
          <w:tcPr>
            <w:tcW w:w="910" w:type="dxa"/>
            <w:vAlign w:val="center"/>
          </w:tcPr>
          <w:p>
            <w:pPr>
              <w:pStyle w:val="26"/>
              <w:rPr>
                <w:kern w:val="2"/>
                <w:szCs w:val="21"/>
                <w:u w:val="single"/>
                <w:lang w:val="en-US" w:eastAsia="zh-CN"/>
              </w:rPr>
            </w:pPr>
            <w:r>
              <w:rPr>
                <w:rFonts w:hint="eastAsia"/>
                <w:kern w:val="2"/>
                <w:szCs w:val="21"/>
                <w:u w:val="single"/>
                <w:lang w:val="en-US" w:eastAsia="zh-CN"/>
              </w:rPr>
              <w:t>污水</w:t>
            </w:r>
          </w:p>
          <w:p>
            <w:pPr>
              <w:pStyle w:val="26"/>
              <w:rPr>
                <w:kern w:val="2"/>
                <w:szCs w:val="21"/>
                <w:u w:val="single"/>
                <w:lang w:val="en-US" w:eastAsia="zh-CN"/>
              </w:rPr>
            </w:pPr>
            <w:r>
              <w:rPr>
                <w:rFonts w:hint="eastAsia"/>
                <w:kern w:val="2"/>
                <w:szCs w:val="21"/>
                <w:u w:val="single"/>
                <w:lang w:val="en-US" w:eastAsia="zh-CN"/>
              </w:rPr>
              <w:t>处理</w:t>
            </w:r>
          </w:p>
        </w:tc>
        <w:tc>
          <w:tcPr>
            <w:tcW w:w="2735" w:type="dxa"/>
            <w:vAlign w:val="center"/>
          </w:tcPr>
          <w:p>
            <w:pPr>
              <w:pStyle w:val="26"/>
              <w:spacing w:line="240" w:lineRule="auto"/>
              <w:rPr>
                <w:kern w:val="2"/>
                <w:szCs w:val="21"/>
                <w:u w:val="single"/>
                <w:lang w:val="en-US" w:eastAsia="zh-CN"/>
              </w:rPr>
            </w:pPr>
            <w:r>
              <w:rPr>
                <w:rFonts w:hint="eastAsia"/>
                <w:kern w:val="2"/>
                <w:szCs w:val="21"/>
                <w:u w:val="single"/>
                <w:lang w:val="en-US" w:eastAsia="zh-CN"/>
              </w:rPr>
              <w:t>雨污分流、清污分流管网建设。</w:t>
            </w:r>
            <w:r>
              <w:rPr>
                <w:kern w:val="2"/>
                <w:szCs w:val="21"/>
                <w:u w:val="single"/>
                <w:lang w:val="en-US" w:eastAsia="zh-CN"/>
              </w:rPr>
              <w:t>1</w:t>
            </w:r>
            <w:r>
              <w:rPr>
                <w:rFonts w:hint="eastAsia"/>
                <w:kern w:val="2"/>
                <w:szCs w:val="21"/>
                <w:u w:val="single"/>
                <w:lang w:val="en-US" w:eastAsia="zh-CN"/>
              </w:rPr>
              <w:t>套设计规模为</w:t>
            </w:r>
            <w:r>
              <w:rPr>
                <w:kern w:val="2"/>
                <w:szCs w:val="21"/>
                <w:u w:val="single"/>
                <w:lang w:val="en-US" w:eastAsia="zh-CN"/>
              </w:rPr>
              <w:t>2000t/d</w:t>
            </w:r>
            <w:r>
              <w:rPr>
                <w:rFonts w:hint="eastAsia"/>
                <w:kern w:val="2"/>
                <w:szCs w:val="21"/>
                <w:u w:val="single"/>
                <w:lang w:val="en-US" w:eastAsia="zh-CN"/>
              </w:rPr>
              <w:t>污水处理站。</w:t>
            </w:r>
          </w:p>
        </w:tc>
        <w:tc>
          <w:tcPr>
            <w:tcW w:w="3607" w:type="dxa"/>
            <w:vAlign w:val="center"/>
          </w:tcPr>
          <w:p>
            <w:pPr>
              <w:pStyle w:val="26"/>
              <w:spacing w:line="240" w:lineRule="auto"/>
              <w:rPr>
                <w:kern w:val="2"/>
                <w:szCs w:val="21"/>
                <w:u w:val="single"/>
                <w:lang w:val="en-US" w:eastAsia="zh-CN"/>
              </w:rPr>
            </w:pPr>
            <w:r>
              <w:rPr>
                <w:rFonts w:hint="eastAsia"/>
                <w:kern w:val="2"/>
                <w:szCs w:val="21"/>
                <w:u w:val="single"/>
                <w:lang w:val="en-US" w:eastAsia="zh-CN"/>
              </w:rPr>
              <w:t>新建</w:t>
            </w:r>
            <w:r>
              <w:rPr>
                <w:kern w:val="2"/>
                <w:szCs w:val="21"/>
                <w:u w:val="single"/>
                <w:lang w:val="en-US" w:eastAsia="zh-CN"/>
              </w:rPr>
              <w:t>864m</w:t>
            </w:r>
            <w:r>
              <w:rPr>
                <w:kern w:val="2"/>
                <w:szCs w:val="21"/>
                <w:u w:val="single"/>
                <w:vertAlign w:val="superscript"/>
                <w:lang w:val="en-US" w:eastAsia="zh-CN"/>
              </w:rPr>
              <w:t>3</w:t>
            </w:r>
            <w:r>
              <w:rPr>
                <w:rFonts w:hint="eastAsia"/>
                <w:kern w:val="2"/>
                <w:szCs w:val="21"/>
                <w:u w:val="single"/>
                <w:lang w:val="en-US" w:eastAsia="zh-CN"/>
              </w:rPr>
              <w:t>的污水回收利用池、</w:t>
            </w:r>
            <w:r>
              <w:rPr>
                <w:kern w:val="2"/>
                <w:szCs w:val="21"/>
                <w:u w:val="single"/>
                <w:lang w:val="en-US" w:eastAsia="zh-CN"/>
              </w:rPr>
              <w:t>2</w:t>
            </w:r>
            <w:r>
              <w:rPr>
                <w:rFonts w:hint="eastAsia"/>
                <w:kern w:val="2"/>
                <w:szCs w:val="21"/>
                <w:u w:val="single"/>
                <w:lang w:val="en-US" w:eastAsia="zh-CN"/>
              </w:rPr>
              <w:t>个</w:t>
            </w:r>
            <w:r>
              <w:rPr>
                <w:kern w:val="2"/>
                <w:szCs w:val="21"/>
                <w:u w:val="single"/>
                <w:lang w:val="en-US" w:eastAsia="zh-CN"/>
              </w:rPr>
              <w:t>60m</w:t>
            </w:r>
            <w:r>
              <w:rPr>
                <w:kern w:val="2"/>
                <w:szCs w:val="21"/>
                <w:u w:val="single"/>
                <w:vertAlign w:val="superscript"/>
                <w:lang w:val="en-US" w:eastAsia="zh-CN"/>
              </w:rPr>
              <w:t>3</w:t>
            </w:r>
            <w:r>
              <w:rPr>
                <w:rFonts w:hint="eastAsia"/>
                <w:kern w:val="2"/>
                <w:szCs w:val="21"/>
                <w:u w:val="single"/>
                <w:lang w:val="en-US" w:eastAsia="zh-CN"/>
              </w:rPr>
              <w:t>污水回收利用罐、</w:t>
            </w:r>
            <w:r>
              <w:rPr>
                <w:kern w:val="2"/>
                <w:szCs w:val="21"/>
                <w:u w:val="single"/>
                <w:lang w:val="en-US" w:eastAsia="zh-CN"/>
              </w:rPr>
              <w:t>1</w:t>
            </w:r>
            <w:r>
              <w:rPr>
                <w:rFonts w:hint="eastAsia"/>
                <w:kern w:val="2"/>
                <w:szCs w:val="21"/>
                <w:u w:val="single"/>
                <w:lang w:val="en-US" w:eastAsia="zh-CN"/>
              </w:rPr>
              <w:t>个</w:t>
            </w:r>
            <w:r>
              <w:rPr>
                <w:kern w:val="2"/>
                <w:szCs w:val="21"/>
                <w:u w:val="single"/>
                <w:lang w:val="en-US" w:eastAsia="zh-CN"/>
              </w:rPr>
              <w:t>50m</w:t>
            </w:r>
            <w:r>
              <w:rPr>
                <w:kern w:val="2"/>
                <w:szCs w:val="21"/>
                <w:u w:val="single"/>
                <w:vertAlign w:val="superscript"/>
                <w:lang w:val="en-US" w:eastAsia="zh-CN"/>
              </w:rPr>
              <w:t>3</w:t>
            </w:r>
            <w:r>
              <w:rPr>
                <w:rFonts w:hint="eastAsia"/>
                <w:kern w:val="2"/>
                <w:szCs w:val="21"/>
                <w:u w:val="single"/>
                <w:lang w:val="en-US" w:eastAsia="zh-CN"/>
              </w:rPr>
              <w:t>染液循环利用池、</w:t>
            </w:r>
            <w:r>
              <w:rPr>
                <w:kern w:val="2"/>
                <w:szCs w:val="21"/>
                <w:u w:val="single"/>
                <w:lang w:val="en-US" w:eastAsia="zh-CN"/>
              </w:rPr>
              <w:t>1</w:t>
            </w:r>
            <w:r>
              <w:rPr>
                <w:rFonts w:hint="eastAsia"/>
                <w:kern w:val="2"/>
                <w:szCs w:val="21"/>
                <w:u w:val="single"/>
                <w:lang w:val="en-US" w:eastAsia="zh-CN"/>
              </w:rPr>
              <w:t>个</w:t>
            </w:r>
            <w:r>
              <w:rPr>
                <w:kern w:val="2"/>
                <w:szCs w:val="21"/>
                <w:u w:val="single"/>
                <w:lang w:val="en-US" w:eastAsia="zh-CN"/>
              </w:rPr>
              <w:t>60m</w:t>
            </w:r>
            <w:r>
              <w:rPr>
                <w:kern w:val="2"/>
                <w:szCs w:val="21"/>
                <w:u w:val="single"/>
                <w:vertAlign w:val="superscript"/>
                <w:lang w:val="en-US" w:eastAsia="zh-CN"/>
              </w:rPr>
              <w:t>3</w:t>
            </w:r>
            <w:r>
              <w:rPr>
                <w:rFonts w:hint="eastAsia"/>
                <w:kern w:val="2"/>
                <w:szCs w:val="21"/>
                <w:u w:val="single"/>
                <w:lang w:val="en-US" w:eastAsia="zh-CN"/>
              </w:rPr>
              <w:t>染液循环利用罐；新建接入市政污水管网的厂区污水管道、污泥暂存池、竖形沉淀池；</w:t>
            </w:r>
            <w:r>
              <w:rPr>
                <w:kern w:val="2"/>
                <w:szCs w:val="21"/>
                <w:u w:val="single"/>
                <w:lang w:val="en-US" w:eastAsia="zh-CN"/>
              </w:rPr>
              <w:t xml:space="preserve"> </w:t>
            </w:r>
          </w:p>
        </w:tc>
        <w:tc>
          <w:tcPr>
            <w:tcW w:w="1737" w:type="dxa"/>
            <w:vAlign w:val="center"/>
          </w:tcPr>
          <w:p>
            <w:pPr>
              <w:pStyle w:val="26"/>
              <w:rPr>
                <w:kern w:val="2"/>
                <w:szCs w:val="21"/>
                <w:u w:val="single"/>
                <w:lang w:val="en-US" w:eastAsia="zh-CN"/>
              </w:rPr>
            </w:pPr>
            <w:r>
              <w:rPr>
                <w:rFonts w:hint="eastAsia"/>
                <w:kern w:val="2"/>
                <w:szCs w:val="21"/>
                <w:u w:val="singl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650" w:type="dxa"/>
            <w:vMerge w:val="restart"/>
            <w:vAlign w:val="center"/>
          </w:tcPr>
          <w:p>
            <w:pPr>
              <w:pStyle w:val="26"/>
              <w:rPr>
                <w:kern w:val="2"/>
                <w:szCs w:val="21"/>
                <w:u w:val="single"/>
                <w:lang w:val="en-US" w:eastAsia="zh-CN"/>
              </w:rPr>
            </w:pPr>
            <w:r>
              <w:rPr>
                <w:rFonts w:hint="eastAsia"/>
                <w:kern w:val="2"/>
                <w:szCs w:val="21"/>
                <w:u w:val="single"/>
                <w:lang w:val="en-US" w:eastAsia="zh-CN"/>
              </w:rPr>
              <w:t>废气</w:t>
            </w:r>
          </w:p>
        </w:tc>
        <w:tc>
          <w:tcPr>
            <w:tcW w:w="910" w:type="dxa"/>
            <w:vAlign w:val="center"/>
          </w:tcPr>
          <w:p>
            <w:pPr>
              <w:pStyle w:val="26"/>
              <w:rPr>
                <w:kern w:val="2"/>
                <w:szCs w:val="21"/>
                <w:u w:val="single"/>
                <w:lang w:val="en-US" w:eastAsia="zh-CN"/>
              </w:rPr>
            </w:pPr>
            <w:r>
              <w:rPr>
                <w:rFonts w:hint="eastAsia"/>
                <w:kern w:val="2"/>
                <w:szCs w:val="21"/>
                <w:u w:val="single"/>
                <w:lang w:val="en-US" w:eastAsia="zh-CN"/>
              </w:rPr>
              <w:t>定型</w:t>
            </w:r>
          </w:p>
          <w:p>
            <w:pPr>
              <w:pStyle w:val="26"/>
              <w:rPr>
                <w:kern w:val="2"/>
                <w:szCs w:val="21"/>
                <w:u w:val="single"/>
                <w:lang w:val="en-US" w:eastAsia="zh-CN"/>
              </w:rPr>
            </w:pPr>
            <w:r>
              <w:rPr>
                <w:rFonts w:hint="eastAsia"/>
                <w:kern w:val="2"/>
                <w:szCs w:val="21"/>
                <w:u w:val="single"/>
                <w:lang w:val="en-US" w:eastAsia="zh-CN"/>
              </w:rPr>
              <w:t>废气</w:t>
            </w:r>
          </w:p>
        </w:tc>
        <w:tc>
          <w:tcPr>
            <w:tcW w:w="2735"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3607" w:type="dxa"/>
            <w:vAlign w:val="center"/>
          </w:tcPr>
          <w:p>
            <w:pPr>
              <w:pStyle w:val="26"/>
              <w:spacing w:line="240" w:lineRule="auto"/>
              <w:rPr>
                <w:kern w:val="2"/>
                <w:szCs w:val="21"/>
                <w:u w:val="single"/>
                <w:lang w:val="en-US" w:eastAsia="zh-CN"/>
              </w:rPr>
            </w:pPr>
            <w:r>
              <w:rPr>
                <w:rFonts w:hint="eastAsia"/>
                <w:kern w:val="2"/>
                <w:szCs w:val="21"/>
                <w:u w:val="single"/>
                <w:lang w:val="en-US" w:eastAsia="zh-CN"/>
              </w:rPr>
              <w:t>安装</w:t>
            </w:r>
            <w:r>
              <w:rPr>
                <w:kern w:val="2"/>
                <w:szCs w:val="21"/>
                <w:u w:val="single"/>
                <w:lang w:val="en-US" w:eastAsia="zh-CN"/>
              </w:rPr>
              <w:t>2</w:t>
            </w:r>
            <w:r>
              <w:rPr>
                <w:rFonts w:hint="eastAsia"/>
                <w:kern w:val="2"/>
                <w:szCs w:val="21"/>
                <w:u w:val="single"/>
                <w:lang w:val="en-US" w:eastAsia="zh-CN"/>
              </w:rPr>
              <w:t>套高压静电定型废气处理系统</w:t>
            </w:r>
          </w:p>
        </w:tc>
        <w:tc>
          <w:tcPr>
            <w:tcW w:w="1737" w:type="dxa"/>
            <w:vAlign w:val="center"/>
          </w:tcPr>
          <w:p>
            <w:pPr>
              <w:pStyle w:val="26"/>
              <w:rPr>
                <w:kern w:val="2"/>
                <w:szCs w:val="21"/>
                <w:u w:val="single"/>
                <w:lang w:val="en-US" w:eastAsia="zh-CN"/>
              </w:rPr>
            </w:pPr>
            <w:r>
              <w:rPr>
                <w:rFonts w:hint="eastAsia"/>
                <w:kern w:val="2"/>
                <w:szCs w:val="21"/>
                <w:u w:val="singl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650" w:type="dxa"/>
            <w:vMerge w:val="continue"/>
            <w:vAlign w:val="center"/>
          </w:tcPr>
          <w:p>
            <w:pPr>
              <w:pStyle w:val="26"/>
              <w:rPr>
                <w:kern w:val="2"/>
                <w:szCs w:val="21"/>
                <w:u w:val="single"/>
                <w:lang w:val="en-US" w:eastAsia="zh-CN"/>
              </w:rPr>
            </w:pPr>
          </w:p>
        </w:tc>
        <w:tc>
          <w:tcPr>
            <w:tcW w:w="910" w:type="dxa"/>
            <w:vAlign w:val="center"/>
          </w:tcPr>
          <w:p>
            <w:pPr>
              <w:pStyle w:val="26"/>
              <w:rPr>
                <w:kern w:val="2"/>
                <w:szCs w:val="21"/>
                <w:u w:val="single"/>
                <w:lang w:val="en-US" w:eastAsia="zh-CN"/>
              </w:rPr>
            </w:pPr>
            <w:r>
              <w:rPr>
                <w:rFonts w:hint="eastAsia"/>
                <w:kern w:val="2"/>
                <w:szCs w:val="21"/>
                <w:u w:val="single"/>
                <w:lang w:val="en-US" w:eastAsia="zh-CN"/>
              </w:rPr>
              <w:t>锅炉废气</w:t>
            </w:r>
          </w:p>
        </w:tc>
        <w:tc>
          <w:tcPr>
            <w:tcW w:w="2735" w:type="dxa"/>
            <w:vAlign w:val="center"/>
          </w:tcPr>
          <w:p>
            <w:pPr>
              <w:pStyle w:val="26"/>
              <w:spacing w:line="240" w:lineRule="auto"/>
              <w:rPr>
                <w:kern w:val="2"/>
                <w:szCs w:val="21"/>
                <w:u w:val="single"/>
                <w:lang w:val="en-US" w:eastAsia="zh-CN"/>
              </w:rPr>
            </w:pPr>
            <w:r>
              <w:rPr>
                <w:rFonts w:hint="eastAsia"/>
                <w:kern w:val="2"/>
                <w:szCs w:val="21"/>
                <w:u w:val="single"/>
                <w:lang w:val="en-US" w:eastAsia="zh-CN"/>
              </w:rPr>
              <w:t>一套麻石水膜除尘系统；一套水膜除尘系统</w:t>
            </w:r>
          </w:p>
        </w:tc>
        <w:tc>
          <w:tcPr>
            <w:tcW w:w="3607" w:type="dxa"/>
            <w:vAlign w:val="center"/>
          </w:tcPr>
          <w:p>
            <w:pPr>
              <w:pStyle w:val="26"/>
              <w:spacing w:line="240" w:lineRule="auto"/>
              <w:rPr>
                <w:kern w:val="2"/>
                <w:szCs w:val="21"/>
                <w:u w:val="single"/>
                <w:lang w:val="en-US" w:eastAsia="zh-CN"/>
              </w:rPr>
            </w:pPr>
            <w:r>
              <w:rPr>
                <w:rFonts w:hint="eastAsia"/>
                <w:kern w:val="2"/>
                <w:szCs w:val="21"/>
                <w:u w:val="single"/>
                <w:lang w:val="en-US" w:eastAsia="zh-CN"/>
              </w:rPr>
              <w:t>燃生物质锅炉均采用布袋除尘系统除尘，拟新建</w:t>
            </w:r>
            <w:r>
              <w:rPr>
                <w:kern w:val="2"/>
                <w:szCs w:val="21"/>
                <w:u w:val="single"/>
                <w:lang w:val="en-US" w:eastAsia="zh-CN"/>
              </w:rPr>
              <w:t>3</w:t>
            </w:r>
            <w:r>
              <w:rPr>
                <w:rFonts w:hint="eastAsia"/>
                <w:kern w:val="2"/>
                <w:szCs w:val="21"/>
                <w:u w:val="single"/>
                <w:lang w:val="en-US" w:eastAsia="zh-CN"/>
              </w:rPr>
              <w:t>套布袋除尘系统替换现有除尘设施。</w:t>
            </w:r>
          </w:p>
        </w:tc>
        <w:tc>
          <w:tcPr>
            <w:tcW w:w="1737" w:type="dxa"/>
            <w:vAlign w:val="center"/>
          </w:tcPr>
          <w:p>
            <w:pPr>
              <w:pStyle w:val="26"/>
              <w:rPr>
                <w:kern w:val="2"/>
                <w:szCs w:val="21"/>
                <w:u w:val="single"/>
                <w:lang w:val="en-US" w:eastAsia="zh-CN"/>
              </w:rPr>
            </w:pPr>
            <w:r>
              <w:rPr>
                <w:rFonts w:hint="eastAsia"/>
                <w:kern w:val="2"/>
                <w:szCs w:val="21"/>
                <w:u w:val="single"/>
                <w:lang w:val="en-US" w:eastAsia="zh-CN"/>
              </w:rPr>
              <w:t>1</w:t>
            </w:r>
            <w:r>
              <w:rPr>
                <w:kern w:val="2"/>
                <w:szCs w:val="21"/>
                <w:u w:val="single"/>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650" w:type="dxa"/>
            <w:vMerge w:val="continue"/>
            <w:vAlign w:val="center"/>
          </w:tcPr>
          <w:p>
            <w:pPr>
              <w:pStyle w:val="26"/>
              <w:rPr>
                <w:kern w:val="2"/>
                <w:szCs w:val="21"/>
                <w:u w:val="single"/>
                <w:lang w:val="en-US" w:eastAsia="zh-CN"/>
              </w:rPr>
            </w:pPr>
          </w:p>
        </w:tc>
        <w:tc>
          <w:tcPr>
            <w:tcW w:w="910" w:type="dxa"/>
            <w:vAlign w:val="center"/>
          </w:tcPr>
          <w:p>
            <w:pPr>
              <w:pStyle w:val="26"/>
              <w:rPr>
                <w:kern w:val="2"/>
                <w:szCs w:val="21"/>
                <w:u w:val="single"/>
                <w:lang w:val="en-US" w:eastAsia="zh-CN"/>
              </w:rPr>
            </w:pPr>
            <w:r>
              <w:rPr>
                <w:rFonts w:hint="eastAsia"/>
                <w:kern w:val="2"/>
                <w:szCs w:val="21"/>
                <w:u w:val="single"/>
                <w:lang w:val="en-US" w:eastAsia="zh-CN"/>
              </w:rPr>
              <w:t>厨房</w:t>
            </w:r>
          </w:p>
          <w:p>
            <w:pPr>
              <w:pStyle w:val="26"/>
              <w:rPr>
                <w:kern w:val="2"/>
                <w:szCs w:val="21"/>
                <w:u w:val="single"/>
                <w:lang w:val="en-US" w:eastAsia="zh-CN"/>
              </w:rPr>
            </w:pPr>
            <w:r>
              <w:rPr>
                <w:rFonts w:hint="eastAsia"/>
                <w:kern w:val="2"/>
                <w:szCs w:val="21"/>
                <w:u w:val="single"/>
                <w:lang w:val="en-US" w:eastAsia="zh-CN"/>
              </w:rPr>
              <w:t>油烟</w:t>
            </w:r>
          </w:p>
        </w:tc>
        <w:tc>
          <w:tcPr>
            <w:tcW w:w="2735"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3607" w:type="dxa"/>
            <w:vAlign w:val="center"/>
          </w:tcPr>
          <w:p>
            <w:pPr>
              <w:pStyle w:val="26"/>
              <w:spacing w:line="240" w:lineRule="auto"/>
              <w:rPr>
                <w:kern w:val="2"/>
                <w:szCs w:val="21"/>
                <w:u w:val="single"/>
                <w:lang w:val="en-US" w:eastAsia="zh-CN"/>
              </w:rPr>
            </w:pPr>
            <w:r>
              <w:rPr>
                <w:rFonts w:hint="eastAsia"/>
                <w:kern w:val="2"/>
                <w:szCs w:val="21"/>
                <w:u w:val="single"/>
                <w:lang w:val="en-US" w:eastAsia="zh-CN"/>
              </w:rPr>
              <w:t>安装油烟净化装置</w:t>
            </w:r>
            <w:r>
              <w:rPr>
                <w:kern w:val="2"/>
                <w:szCs w:val="21"/>
                <w:u w:val="single"/>
                <w:lang w:val="en-US" w:eastAsia="zh-CN"/>
              </w:rPr>
              <w:t>1</w:t>
            </w:r>
            <w:r>
              <w:rPr>
                <w:rFonts w:hint="eastAsia"/>
                <w:kern w:val="2"/>
                <w:szCs w:val="21"/>
                <w:u w:val="single"/>
                <w:lang w:val="en-US" w:eastAsia="zh-CN"/>
              </w:rPr>
              <w:t>套。</w:t>
            </w:r>
          </w:p>
        </w:tc>
        <w:tc>
          <w:tcPr>
            <w:tcW w:w="1737" w:type="dxa"/>
            <w:vAlign w:val="center"/>
          </w:tcPr>
          <w:p>
            <w:pPr>
              <w:pStyle w:val="26"/>
              <w:rPr>
                <w:kern w:val="2"/>
                <w:szCs w:val="21"/>
                <w:u w:val="single"/>
                <w:lang w:val="en-US" w:eastAsia="zh-CN"/>
              </w:rPr>
            </w:pPr>
            <w:r>
              <w:rPr>
                <w:rFonts w:hint="eastAsia"/>
                <w:kern w:val="2"/>
                <w:szCs w:val="21"/>
                <w:u w:val="singl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650" w:type="dxa"/>
            <w:vAlign w:val="center"/>
          </w:tcPr>
          <w:p>
            <w:pPr>
              <w:pStyle w:val="26"/>
              <w:rPr>
                <w:kern w:val="2"/>
                <w:szCs w:val="21"/>
                <w:u w:val="single"/>
                <w:lang w:val="en-US" w:eastAsia="zh-CN"/>
              </w:rPr>
            </w:pPr>
            <w:r>
              <w:rPr>
                <w:rFonts w:hint="eastAsia"/>
                <w:kern w:val="2"/>
                <w:szCs w:val="21"/>
                <w:u w:val="single"/>
                <w:lang w:val="en-US" w:eastAsia="zh-CN"/>
              </w:rPr>
              <w:t>噪声</w:t>
            </w:r>
          </w:p>
        </w:tc>
        <w:tc>
          <w:tcPr>
            <w:tcW w:w="910" w:type="dxa"/>
            <w:vAlign w:val="center"/>
          </w:tcPr>
          <w:p>
            <w:pPr>
              <w:pStyle w:val="26"/>
              <w:rPr>
                <w:kern w:val="2"/>
                <w:szCs w:val="21"/>
                <w:u w:val="single"/>
                <w:lang w:val="en-US" w:eastAsia="zh-CN"/>
              </w:rPr>
            </w:pPr>
            <w:r>
              <w:rPr>
                <w:rFonts w:hint="eastAsia"/>
                <w:kern w:val="2"/>
                <w:szCs w:val="21"/>
                <w:u w:val="single"/>
                <w:lang w:val="en-US" w:eastAsia="zh-CN"/>
              </w:rPr>
              <w:t>噪声</w:t>
            </w:r>
          </w:p>
          <w:p>
            <w:pPr>
              <w:pStyle w:val="26"/>
              <w:rPr>
                <w:kern w:val="2"/>
                <w:szCs w:val="21"/>
                <w:u w:val="single"/>
                <w:lang w:val="en-US" w:eastAsia="zh-CN"/>
              </w:rPr>
            </w:pPr>
            <w:r>
              <w:rPr>
                <w:rFonts w:hint="eastAsia"/>
                <w:kern w:val="2"/>
                <w:szCs w:val="21"/>
                <w:u w:val="single"/>
                <w:lang w:val="en-US" w:eastAsia="zh-CN"/>
              </w:rPr>
              <w:t>防治</w:t>
            </w:r>
          </w:p>
        </w:tc>
        <w:tc>
          <w:tcPr>
            <w:tcW w:w="2735" w:type="dxa"/>
            <w:vAlign w:val="center"/>
          </w:tcPr>
          <w:p>
            <w:pPr>
              <w:pStyle w:val="26"/>
              <w:spacing w:line="240" w:lineRule="auto"/>
              <w:rPr>
                <w:kern w:val="2"/>
                <w:szCs w:val="21"/>
                <w:u w:val="single"/>
                <w:lang w:val="en-US" w:eastAsia="zh-CN"/>
              </w:rPr>
            </w:pPr>
            <w:r>
              <w:rPr>
                <w:rFonts w:hint="eastAsia"/>
                <w:kern w:val="2"/>
                <w:szCs w:val="21"/>
                <w:u w:val="single"/>
                <w:lang w:val="en-US" w:eastAsia="zh-CN"/>
              </w:rPr>
              <w:t>对空压机房和罗茨风机房采取全封闭形式，罗茨风机进出风口装消声器；厂界设置一定高度的隔声屏障，如围墙，减少对车间外或厂区外环境的影响；</w:t>
            </w:r>
          </w:p>
        </w:tc>
        <w:tc>
          <w:tcPr>
            <w:tcW w:w="3607" w:type="dxa"/>
            <w:vAlign w:val="center"/>
          </w:tcPr>
          <w:p>
            <w:pPr>
              <w:pStyle w:val="26"/>
              <w:spacing w:line="240" w:lineRule="auto"/>
              <w:rPr>
                <w:kern w:val="2"/>
                <w:szCs w:val="21"/>
                <w:u w:val="single"/>
                <w:lang w:val="en-US" w:eastAsia="zh-CN"/>
              </w:rPr>
            </w:pPr>
            <w:r>
              <w:rPr>
                <w:rFonts w:hint="eastAsia"/>
                <w:kern w:val="2"/>
                <w:szCs w:val="21"/>
                <w:u w:val="single"/>
                <w:lang w:val="en-US" w:eastAsia="zh-CN"/>
              </w:rPr>
              <w:t>在满足生产需要的前提下选用低噪声的设备和机械，对高噪声印染设备安装减振垫、消声器或设立隔声罩。</w:t>
            </w:r>
          </w:p>
        </w:tc>
        <w:tc>
          <w:tcPr>
            <w:tcW w:w="1737" w:type="dxa"/>
            <w:vAlign w:val="center"/>
          </w:tcPr>
          <w:p>
            <w:pPr>
              <w:pStyle w:val="26"/>
              <w:rPr>
                <w:kern w:val="2"/>
                <w:szCs w:val="21"/>
                <w:u w:val="single"/>
                <w:lang w:val="en-US" w:eastAsia="zh-CN"/>
              </w:rPr>
            </w:pPr>
            <w:r>
              <w:rPr>
                <w:rFonts w:hint="eastAsia"/>
                <w:kern w:val="2"/>
                <w:szCs w:val="21"/>
                <w:u w:val="singl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650" w:type="dxa"/>
            <w:vAlign w:val="center"/>
          </w:tcPr>
          <w:p>
            <w:pPr>
              <w:pStyle w:val="26"/>
              <w:rPr>
                <w:kern w:val="2"/>
                <w:szCs w:val="21"/>
                <w:u w:val="single"/>
                <w:lang w:val="en-US" w:eastAsia="zh-CN"/>
              </w:rPr>
            </w:pPr>
            <w:r>
              <w:rPr>
                <w:rFonts w:hint="eastAsia"/>
                <w:kern w:val="2"/>
                <w:szCs w:val="21"/>
                <w:u w:val="single"/>
                <w:lang w:val="en-US" w:eastAsia="zh-CN"/>
              </w:rPr>
              <w:t>固废</w:t>
            </w:r>
          </w:p>
        </w:tc>
        <w:tc>
          <w:tcPr>
            <w:tcW w:w="910" w:type="dxa"/>
            <w:vAlign w:val="center"/>
          </w:tcPr>
          <w:p>
            <w:pPr>
              <w:pStyle w:val="26"/>
              <w:rPr>
                <w:kern w:val="2"/>
                <w:szCs w:val="21"/>
                <w:u w:val="single"/>
                <w:lang w:val="en-US" w:eastAsia="zh-CN"/>
              </w:rPr>
            </w:pPr>
            <w:r>
              <w:rPr>
                <w:rFonts w:hint="eastAsia"/>
                <w:kern w:val="2"/>
                <w:szCs w:val="21"/>
                <w:u w:val="single"/>
                <w:lang w:val="en-US" w:eastAsia="zh-CN"/>
              </w:rPr>
              <w:t>固废处置</w:t>
            </w:r>
          </w:p>
        </w:tc>
        <w:tc>
          <w:tcPr>
            <w:tcW w:w="2735" w:type="dxa"/>
            <w:vAlign w:val="center"/>
          </w:tcPr>
          <w:p>
            <w:pPr>
              <w:pStyle w:val="26"/>
              <w:spacing w:line="240" w:lineRule="auto"/>
              <w:rPr>
                <w:kern w:val="2"/>
                <w:szCs w:val="21"/>
                <w:u w:val="single"/>
                <w:lang w:val="en-US" w:eastAsia="zh-CN"/>
              </w:rPr>
            </w:pPr>
            <w:r>
              <w:rPr>
                <w:rFonts w:hint="eastAsia"/>
                <w:kern w:val="2"/>
                <w:szCs w:val="21"/>
                <w:u w:val="single"/>
                <w:lang w:val="en-US" w:eastAsia="zh-CN"/>
              </w:rPr>
              <w:t>生活垃圾收集桶</w:t>
            </w:r>
          </w:p>
        </w:tc>
        <w:tc>
          <w:tcPr>
            <w:tcW w:w="3607" w:type="dxa"/>
            <w:vAlign w:val="center"/>
          </w:tcPr>
          <w:p>
            <w:pPr>
              <w:pStyle w:val="26"/>
              <w:spacing w:line="240" w:lineRule="auto"/>
              <w:rPr>
                <w:kern w:val="2"/>
                <w:szCs w:val="21"/>
                <w:u w:val="single"/>
                <w:lang w:val="en-US" w:eastAsia="zh-CN"/>
              </w:rPr>
            </w:pPr>
            <w:r>
              <w:rPr>
                <w:rFonts w:hint="eastAsia"/>
                <w:kern w:val="2"/>
                <w:szCs w:val="21"/>
                <w:u w:val="single"/>
                <w:lang w:val="en-US" w:eastAsia="zh-CN"/>
              </w:rPr>
              <w:t>设置固废室内堆放场和带雨棚污泥堆场，新建危废暂存间</w:t>
            </w:r>
          </w:p>
        </w:tc>
        <w:tc>
          <w:tcPr>
            <w:tcW w:w="1737" w:type="dxa"/>
            <w:vAlign w:val="center"/>
          </w:tcPr>
          <w:p>
            <w:pPr>
              <w:pStyle w:val="26"/>
              <w:rPr>
                <w:kern w:val="2"/>
                <w:szCs w:val="21"/>
                <w:u w:val="single"/>
                <w:lang w:val="en-US" w:eastAsia="zh-CN"/>
              </w:rPr>
            </w:pPr>
            <w:r>
              <w:rPr>
                <w:rFonts w:hint="eastAsia"/>
                <w:kern w:val="2"/>
                <w:szCs w:val="21"/>
                <w:u w:val="singl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650" w:type="dxa"/>
            <w:vAlign w:val="center"/>
          </w:tcPr>
          <w:p>
            <w:pPr>
              <w:pStyle w:val="26"/>
              <w:rPr>
                <w:rFonts w:hint="eastAsia"/>
                <w:kern w:val="2"/>
                <w:szCs w:val="21"/>
                <w:u w:val="single"/>
                <w:lang w:val="en-US" w:eastAsia="zh-CN"/>
              </w:rPr>
            </w:pPr>
            <w:r>
              <w:rPr>
                <w:rFonts w:hint="eastAsia"/>
                <w:kern w:val="2"/>
                <w:szCs w:val="21"/>
                <w:u w:val="single"/>
                <w:lang w:val="en-US" w:eastAsia="zh-CN"/>
              </w:rPr>
              <w:t>风险应急</w:t>
            </w:r>
          </w:p>
        </w:tc>
        <w:tc>
          <w:tcPr>
            <w:tcW w:w="910" w:type="dxa"/>
            <w:vAlign w:val="center"/>
          </w:tcPr>
          <w:p>
            <w:pPr>
              <w:pStyle w:val="26"/>
              <w:rPr>
                <w:rFonts w:hint="eastAsia"/>
                <w:kern w:val="2"/>
                <w:szCs w:val="21"/>
                <w:u w:val="single"/>
                <w:lang w:val="en-US" w:eastAsia="zh-CN"/>
              </w:rPr>
            </w:pPr>
            <w:r>
              <w:rPr>
                <w:rFonts w:hint="eastAsia"/>
                <w:kern w:val="2"/>
                <w:szCs w:val="21"/>
                <w:u w:val="single"/>
                <w:lang w:val="en-US" w:eastAsia="zh-CN"/>
              </w:rPr>
              <w:t>事故应急池</w:t>
            </w:r>
          </w:p>
        </w:tc>
        <w:tc>
          <w:tcPr>
            <w:tcW w:w="2735" w:type="dxa"/>
            <w:vAlign w:val="center"/>
          </w:tcPr>
          <w:p>
            <w:pPr>
              <w:pStyle w:val="26"/>
              <w:spacing w:line="240" w:lineRule="auto"/>
              <w:rPr>
                <w:kern w:val="2"/>
                <w:szCs w:val="21"/>
                <w:u w:val="single"/>
                <w:lang w:val="en-US" w:eastAsia="zh-CN"/>
              </w:rPr>
            </w:pPr>
            <w:r>
              <w:rPr>
                <w:rFonts w:hint="eastAsia"/>
                <w:kern w:val="2"/>
                <w:szCs w:val="21"/>
                <w:u w:val="single"/>
                <w:lang w:val="en-US" w:eastAsia="zh-CN"/>
              </w:rPr>
              <w:t>/</w:t>
            </w:r>
          </w:p>
        </w:tc>
        <w:tc>
          <w:tcPr>
            <w:tcW w:w="3607" w:type="dxa"/>
            <w:vAlign w:val="center"/>
          </w:tcPr>
          <w:p>
            <w:pPr>
              <w:pStyle w:val="26"/>
              <w:spacing w:line="240" w:lineRule="auto"/>
              <w:rPr>
                <w:rFonts w:hint="eastAsia"/>
                <w:kern w:val="2"/>
                <w:szCs w:val="21"/>
                <w:u w:val="single"/>
                <w:lang w:val="en-US" w:eastAsia="zh-CN"/>
              </w:rPr>
            </w:pPr>
            <w:r>
              <w:rPr>
                <w:rFonts w:hint="eastAsia"/>
                <w:kern w:val="2"/>
                <w:szCs w:val="21"/>
                <w:u w:val="single"/>
                <w:lang w:val="en-US" w:eastAsia="zh-CN"/>
              </w:rPr>
              <w:t>新建1个1000</w:t>
            </w:r>
            <w:r>
              <w:rPr>
                <w:kern w:val="2"/>
                <w:szCs w:val="21"/>
                <w:u w:val="single"/>
                <w:lang w:val="en-US" w:eastAsia="zh-CN"/>
              </w:rPr>
              <w:t xml:space="preserve"> m</w:t>
            </w:r>
            <w:r>
              <w:rPr>
                <w:kern w:val="2"/>
                <w:szCs w:val="21"/>
                <w:u w:val="single"/>
                <w:vertAlign w:val="superscript"/>
                <w:lang w:val="en-US" w:eastAsia="zh-CN"/>
              </w:rPr>
              <w:t>3</w:t>
            </w:r>
            <w:r>
              <w:rPr>
                <w:rFonts w:hint="eastAsia"/>
                <w:kern w:val="2"/>
                <w:szCs w:val="21"/>
                <w:u w:val="single"/>
                <w:lang w:val="en-US" w:eastAsia="zh-CN"/>
              </w:rPr>
              <w:t>事故应急池。</w:t>
            </w:r>
          </w:p>
        </w:tc>
        <w:tc>
          <w:tcPr>
            <w:tcW w:w="1737" w:type="dxa"/>
            <w:vAlign w:val="center"/>
          </w:tcPr>
          <w:p>
            <w:pPr>
              <w:pStyle w:val="26"/>
              <w:rPr>
                <w:rFonts w:hint="eastAsia"/>
                <w:kern w:val="2"/>
                <w:szCs w:val="21"/>
                <w:u w:val="single"/>
                <w:lang w:val="en-US" w:eastAsia="zh-CN"/>
              </w:rPr>
            </w:pPr>
            <w:r>
              <w:rPr>
                <w:rFonts w:hint="eastAsia"/>
                <w:kern w:val="2"/>
                <w:szCs w:val="21"/>
                <w:u w:val="singl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560" w:type="dxa"/>
            <w:gridSpan w:val="2"/>
            <w:vAlign w:val="center"/>
          </w:tcPr>
          <w:p>
            <w:pPr>
              <w:pStyle w:val="26"/>
              <w:rPr>
                <w:kern w:val="2"/>
                <w:szCs w:val="21"/>
                <w:lang w:val="en-US" w:eastAsia="zh-CN"/>
              </w:rPr>
            </w:pPr>
            <w:r>
              <w:rPr>
                <w:rFonts w:hint="eastAsia"/>
                <w:kern w:val="2"/>
                <w:szCs w:val="21"/>
                <w:lang w:val="en-US" w:eastAsia="zh-CN"/>
              </w:rPr>
              <w:t>合计</w:t>
            </w:r>
          </w:p>
        </w:tc>
        <w:tc>
          <w:tcPr>
            <w:tcW w:w="2735" w:type="dxa"/>
            <w:vAlign w:val="center"/>
          </w:tcPr>
          <w:p>
            <w:pPr>
              <w:pStyle w:val="26"/>
              <w:rPr>
                <w:kern w:val="2"/>
                <w:szCs w:val="21"/>
                <w:lang w:val="en-US" w:eastAsia="zh-CN"/>
              </w:rPr>
            </w:pPr>
          </w:p>
        </w:tc>
        <w:tc>
          <w:tcPr>
            <w:tcW w:w="3607" w:type="dxa"/>
            <w:vAlign w:val="center"/>
          </w:tcPr>
          <w:p>
            <w:pPr>
              <w:pStyle w:val="26"/>
              <w:rPr>
                <w:kern w:val="2"/>
                <w:szCs w:val="21"/>
                <w:lang w:val="en-US" w:eastAsia="zh-CN"/>
              </w:rPr>
            </w:pPr>
          </w:p>
        </w:tc>
        <w:tc>
          <w:tcPr>
            <w:tcW w:w="1737" w:type="dxa"/>
            <w:vAlign w:val="center"/>
          </w:tcPr>
          <w:p>
            <w:pPr>
              <w:pStyle w:val="26"/>
              <w:rPr>
                <w:kern w:val="2"/>
                <w:szCs w:val="21"/>
                <w:lang w:val="en-US" w:eastAsia="zh-CN"/>
              </w:rPr>
            </w:pPr>
            <w:r>
              <w:rPr>
                <w:rFonts w:hint="eastAsia"/>
                <w:kern w:val="2"/>
                <w:szCs w:val="21"/>
                <w:lang w:val="en-US" w:eastAsia="zh-CN"/>
              </w:rPr>
              <w:t>766</w:t>
            </w:r>
          </w:p>
        </w:tc>
      </w:tr>
    </w:tbl>
    <w:p>
      <w:pPr>
        <w:ind w:firstLine="480"/>
      </w:pPr>
      <w:r>
        <w:rPr>
          <w:rFonts w:hint="eastAsia"/>
        </w:rPr>
        <w:t>技改项目需环保总投资</w:t>
      </w:r>
      <w:r>
        <w:t>7000</w:t>
      </w:r>
      <w:r>
        <w:rPr>
          <w:rFonts w:hint="eastAsia"/>
        </w:rPr>
        <w:t>万元，新增环保投资766万元，新增环保投资占项目总投资比例为10.9</w:t>
      </w:r>
      <w:r>
        <w:t>%</w:t>
      </w:r>
      <w:r>
        <w:rPr>
          <w:rFonts w:hint="eastAsia"/>
        </w:rPr>
        <w:t>。</w:t>
      </w:r>
    </w:p>
    <w:p>
      <w:pPr>
        <w:ind w:firstLine="480"/>
        <w:sectPr>
          <w:pgSz w:w="11906" w:h="16838"/>
          <w:pgMar w:top="1440" w:right="1417" w:bottom="1440" w:left="1417" w:header="851" w:footer="992" w:gutter="0"/>
          <w:cols w:space="0" w:num="1"/>
          <w:docGrid w:type="lines" w:linePitch="332" w:charSpace="0"/>
        </w:sectPr>
      </w:pPr>
    </w:p>
    <w:p>
      <w:pPr>
        <w:pStyle w:val="2"/>
      </w:pPr>
      <w:bookmarkStart w:id="56" w:name="_Toc7364"/>
      <w:r>
        <w:rPr>
          <w:rFonts w:hint="eastAsia"/>
        </w:rPr>
        <w:t>环境风险评价</w:t>
      </w:r>
      <w:bookmarkEnd w:id="56"/>
    </w:p>
    <w:p>
      <w:pPr>
        <w:pStyle w:val="3"/>
      </w:pPr>
      <w:bookmarkStart w:id="57" w:name="_Toc469387637"/>
      <w:bookmarkStart w:id="58" w:name="_Toc18271"/>
      <w:bookmarkStart w:id="59" w:name="_Toc344215729"/>
      <w:bookmarkStart w:id="60" w:name="_Toc245606422"/>
      <w:bookmarkStart w:id="61" w:name="_Toc198879509"/>
      <w:bookmarkStart w:id="62" w:name="_Toc178232642"/>
      <w:bookmarkStart w:id="63" w:name="_Toc219520120"/>
      <w:bookmarkStart w:id="64" w:name="_Toc199823311"/>
      <w:bookmarkStart w:id="65" w:name="_Toc198556921"/>
      <w:bookmarkStart w:id="66" w:name="_Toc226184760"/>
      <w:r>
        <w:rPr>
          <w:rFonts w:hint="eastAsia"/>
        </w:rPr>
        <w:t>概述</w:t>
      </w:r>
      <w:bookmarkEnd w:id="57"/>
      <w:bookmarkEnd w:id="58"/>
      <w:bookmarkEnd w:id="59"/>
    </w:p>
    <w:bookmarkEnd w:id="60"/>
    <w:bookmarkEnd w:id="61"/>
    <w:bookmarkEnd w:id="62"/>
    <w:bookmarkEnd w:id="63"/>
    <w:bookmarkEnd w:id="64"/>
    <w:bookmarkEnd w:id="65"/>
    <w:bookmarkEnd w:id="66"/>
    <w:p>
      <w:pPr>
        <w:ind w:firstLine="480"/>
      </w:pPr>
      <w:r>
        <w:rPr>
          <w:rFonts w:hint="eastAsia"/>
        </w:rPr>
        <w:t>环境风险评价的目的是分析和预测建设项目存在的潜在危险、有害因素，建设项目建设和运行期间可能发生的突发性事件或事故</w:t>
      </w:r>
      <w:r>
        <w:t>(</w:t>
      </w:r>
      <w:r>
        <w:rPr>
          <w:rFonts w:hint="eastAsia"/>
        </w:rPr>
        <w:t>一般不包括人为破坏及自然灾害</w:t>
      </w:r>
      <w:r>
        <w:t>)</w:t>
      </w:r>
      <w:r>
        <w:rPr>
          <w:rFonts w:hint="eastAsia"/>
        </w:rPr>
        <w:t>，引起有毒有害和易燃易爆等物质泄漏，所造成的人身安全与环境影响和损害程度，提出合理可行的防范、应急与减缓措施，以使建设项目事故率、损失和环境影响达到可接受水平。</w:t>
      </w:r>
    </w:p>
    <w:p>
      <w:pPr>
        <w:ind w:firstLine="480"/>
      </w:pPr>
      <w:r>
        <w:rPr>
          <w:rFonts w:hint="eastAsia"/>
        </w:rPr>
        <w:t>根据《环境影响评价技术导则</w:t>
      </w:r>
      <w:r>
        <w:t>-</w:t>
      </w:r>
      <w:r>
        <w:rPr>
          <w:rFonts w:hint="eastAsia"/>
        </w:rPr>
        <w:t>总纲》</w:t>
      </w:r>
      <w:r>
        <w:t>(HJ2.1-2016)</w:t>
      </w:r>
      <w:r>
        <w:rPr>
          <w:rFonts w:hint="eastAsia"/>
        </w:rPr>
        <w:t>中</w:t>
      </w:r>
      <w:r>
        <w:t>6.3.6</w:t>
      </w:r>
      <w:r>
        <w:rPr>
          <w:rFonts w:hint="eastAsia"/>
        </w:rPr>
        <w:t>条“对存在环境风险的建设项目，应分析环境风险源项，计算环境风险后果，开展环境风险评价”。根据《建设项目环境风险评价技术导则》</w:t>
      </w:r>
      <w:r>
        <w:t>(HJ/T 169-2004)</w:t>
      </w:r>
      <w:r>
        <w:rPr>
          <w:rFonts w:hint="eastAsia"/>
        </w:rPr>
        <w:t>“涉及有毒有害和易燃易爆物质的生产、使用、贮运等的新建、改建、扩建和技术改造项目</w:t>
      </w:r>
      <w:r>
        <w:t>(</w:t>
      </w:r>
      <w:r>
        <w:rPr>
          <w:rFonts w:hint="eastAsia"/>
        </w:rPr>
        <w:t>不包括核建设项目</w:t>
      </w:r>
      <w:r>
        <w:t>)</w:t>
      </w:r>
      <w:r>
        <w:rPr>
          <w:rFonts w:hint="eastAsia"/>
        </w:rPr>
        <w:t>”。企业属染整行业，涉及有毒有害和易燃易爆物质数量较少，因此评价中予以适当简化。</w:t>
      </w:r>
    </w:p>
    <w:p>
      <w:pPr>
        <w:pStyle w:val="4"/>
      </w:pPr>
      <w:r>
        <w:rPr>
          <w:rFonts w:hint="eastAsia"/>
        </w:rPr>
        <w:t>风险识别内容</w:t>
      </w:r>
    </w:p>
    <w:p>
      <w:pPr>
        <w:ind w:firstLine="480"/>
      </w:pPr>
      <w:r>
        <w:t>1</w:t>
      </w:r>
      <w:r>
        <w:rPr>
          <w:rFonts w:hint="eastAsia"/>
        </w:rPr>
        <w:t>、物质危险性识别</w:t>
      </w:r>
    </w:p>
    <w:p>
      <w:pPr>
        <w:ind w:firstLine="480"/>
      </w:pPr>
      <w:r>
        <w:rPr>
          <w:rFonts w:hint="eastAsia"/>
        </w:rPr>
        <w:t>按照《建设项目环境风险评价技术导则》和《环境风险评价实用技术和方法》作为识别标准，对前面所确定的物质风险识别范围内有毒有害、易燃易爆物质，进行危险性识别。毒物危害程度分级如表</w:t>
      </w:r>
      <w:r>
        <w:t>8.1-1</w:t>
      </w:r>
      <w:r>
        <w:rPr>
          <w:rFonts w:hint="eastAsia"/>
        </w:rPr>
        <w:t>，危险性判别的标准见表</w:t>
      </w:r>
      <w:r>
        <w:t>8.1-2</w:t>
      </w:r>
      <w:r>
        <w:rPr>
          <w:rFonts w:hint="eastAsia"/>
        </w:rPr>
        <w:t>。</w:t>
      </w:r>
    </w:p>
    <w:p>
      <w:pPr>
        <w:pStyle w:val="26"/>
        <w:rPr>
          <w:b/>
          <w:bCs/>
        </w:rPr>
      </w:pPr>
      <w:r>
        <w:rPr>
          <w:rFonts w:hint="eastAsia"/>
          <w:b/>
          <w:bCs/>
        </w:rPr>
        <w:t>表</w:t>
      </w:r>
      <w:r>
        <w:rPr>
          <w:b/>
          <w:bCs/>
        </w:rPr>
        <w:t xml:space="preserve">8.1-1      </w:t>
      </w:r>
      <w:r>
        <w:rPr>
          <w:rFonts w:hint="eastAsia"/>
          <w:b/>
          <w:bCs/>
        </w:rPr>
        <w:t>毒物危害程度分级</w:t>
      </w:r>
    </w:p>
    <w:tbl>
      <w:tblPr>
        <w:tblStyle w:val="23"/>
        <w:tblW w:w="98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211"/>
        <w:gridCol w:w="1729"/>
        <w:gridCol w:w="1641"/>
        <w:gridCol w:w="1772"/>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936" w:type="dxa"/>
            <w:gridSpan w:val="2"/>
            <w:vMerge w:val="restart"/>
            <w:vAlign w:val="center"/>
          </w:tcPr>
          <w:p>
            <w:pPr>
              <w:pStyle w:val="25"/>
              <w:rPr>
                <w:kern w:val="2"/>
                <w:szCs w:val="21"/>
                <w:lang w:val="en-US" w:eastAsia="zh-CN"/>
              </w:rPr>
            </w:pPr>
            <w:r>
              <w:rPr>
                <w:rFonts w:hint="eastAsia"/>
                <w:kern w:val="2"/>
                <w:szCs w:val="21"/>
                <w:lang w:val="en-US" w:eastAsia="zh-CN"/>
              </w:rPr>
              <w:t>指标</w:t>
            </w:r>
          </w:p>
        </w:tc>
        <w:tc>
          <w:tcPr>
            <w:tcW w:w="6867" w:type="dxa"/>
            <w:gridSpan w:val="4"/>
            <w:tcMar>
              <w:left w:w="57" w:type="dxa"/>
              <w:right w:w="57" w:type="dxa"/>
            </w:tcMar>
          </w:tcPr>
          <w:p>
            <w:pPr>
              <w:pStyle w:val="25"/>
              <w:rPr>
                <w:kern w:val="2"/>
                <w:szCs w:val="21"/>
                <w:lang w:val="en-US" w:eastAsia="zh-CN"/>
              </w:rPr>
            </w:pPr>
            <w:r>
              <w:rPr>
                <w:rFonts w:hint="eastAsia"/>
                <w:kern w:val="2"/>
                <w:szCs w:val="21"/>
                <w:lang w:val="en-US" w:eastAsia="zh-CN"/>
              </w:rPr>
              <w:t>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936" w:type="dxa"/>
            <w:gridSpan w:val="2"/>
            <w:vMerge w:val="continue"/>
          </w:tcPr>
          <w:p>
            <w:pPr>
              <w:pStyle w:val="25"/>
              <w:rPr>
                <w:kern w:val="2"/>
                <w:szCs w:val="21"/>
                <w:lang w:val="en-US" w:eastAsia="zh-CN"/>
              </w:rPr>
            </w:pPr>
          </w:p>
        </w:tc>
        <w:tc>
          <w:tcPr>
            <w:tcW w:w="1729" w:type="dxa"/>
            <w:tcMar>
              <w:left w:w="57" w:type="dxa"/>
              <w:right w:w="57" w:type="dxa"/>
            </w:tcMar>
          </w:tcPr>
          <w:p>
            <w:pPr>
              <w:pStyle w:val="25"/>
              <w:rPr>
                <w:kern w:val="2"/>
                <w:szCs w:val="21"/>
                <w:lang w:val="en-US" w:eastAsia="zh-CN"/>
              </w:rPr>
            </w:pPr>
            <w:r>
              <w:rPr>
                <w:kern w:val="2"/>
                <w:szCs w:val="21"/>
                <w:lang w:val="en-US" w:eastAsia="zh-CN"/>
              </w:rPr>
              <w:t>I (</w:t>
            </w:r>
            <w:r>
              <w:rPr>
                <w:rFonts w:hint="eastAsia"/>
                <w:kern w:val="2"/>
                <w:szCs w:val="21"/>
                <w:lang w:val="en-US" w:eastAsia="zh-CN"/>
              </w:rPr>
              <w:t>极度危害</w:t>
            </w:r>
            <w:r>
              <w:rPr>
                <w:kern w:val="2"/>
                <w:szCs w:val="21"/>
                <w:lang w:val="en-US" w:eastAsia="zh-CN"/>
              </w:rPr>
              <w:t>)</w:t>
            </w:r>
          </w:p>
        </w:tc>
        <w:tc>
          <w:tcPr>
            <w:tcW w:w="1641" w:type="dxa"/>
            <w:tcMar>
              <w:left w:w="57" w:type="dxa"/>
              <w:right w:w="57" w:type="dxa"/>
            </w:tcMar>
          </w:tcPr>
          <w:p>
            <w:pPr>
              <w:pStyle w:val="25"/>
              <w:rPr>
                <w:kern w:val="2"/>
                <w:szCs w:val="21"/>
                <w:lang w:val="en-US" w:eastAsia="zh-CN"/>
              </w:rPr>
            </w:pPr>
            <w:r>
              <w:rPr>
                <w:kern w:val="2"/>
                <w:szCs w:val="21"/>
                <w:lang w:val="en-US" w:eastAsia="zh-CN"/>
              </w:rPr>
              <w:t>II (</w:t>
            </w:r>
            <w:r>
              <w:rPr>
                <w:rFonts w:hint="eastAsia"/>
                <w:kern w:val="2"/>
                <w:szCs w:val="21"/>
                <w:lang w:val="en-US" w:eastAsia="zh-CN"/>
              </w:rPr>
              <w:t>高度危害</w:t>
            </w:r>
            <w:r>
              <w:rPr>
                <w:kern w:val="2"/>
                <w:szCs w:val="21"/>
                <w:lang w:val="en-US" w:eastAsia="zh-CN"/>
              </w:rPr>
              <w:t>)</w:t>
            </w:r>
          </w:p>
        </w:tc>
        <w:tc>
          <w:tcPr>
            <w:tcW w:w="1772" w:type="dxa"/>
            <w:tcMar>
              <w:left w:w="57" w:type="dxa"/>
              <w:right w:w="57" w:type="dxa"/>
            </w:tcMar>
          </w:tcPr>
          <w:p>
            <w:pPr>
              <w:pStyle w:val="25"/>
              <w:rPr>
                <w:kern w:val="2"/>
                <w:szCs w:val="21"/>
                <w:lang w:val="en-US" w:eastAsia="zh-CN"/>
              </w:rPr>
            </w:pPr>
            <w:r>
              <w:rPr>
                <w:kern w:val="2"/>
                <w:szCs w:val="21"/>
                <w:lang w:val="en-US" w:eastAsia="zh-CN"/>
              </w:rPr>
              <w:t>III(</w:t>
            </w:r>
            <w:r>
              <w:rPr>
                <w:rFonts w:hint="eastAsia"/>
                <w:kern w:val="2"/>
                <w:szCs w:val="21"/>
                <w:lang w:val="en-US" w:eastAsia="zh-CN"/>
              </w:rPr>
              <w:t>中度危害</w:t>
            </w:r>
            <w:r>
              <w:rPr>
                <w:kern w:val="2"/>
                <w:szCs w:val="21"/>
                <w:lang w:val="en-US" w:eastAsia="zh-CN"/>
              </w:rPr>
              <w:t>)</w:t>
            </w:r>
          </w:p>
        </w:tc>
        <w:tc>
          <w:tcPr>
            <w:tcW w:w="1725" w:type="dxa"/>
            <w:tcMar>
              <w:left w:w="57" w:type="dxa"/>
              <w:right w:w="57" w:type="dxa"/>
            </w:tcMar>
          </w:tcPr>
          <w:p>
            <w:pPr>
              <w:pStyle w:val="25"/>
              <w:rPr>
                <w:kern w:val="2"/>
                <w:szCs w:val="21"/>
                <w:lang w:val="en-US" w:eastAsia="zh-CN"/>
              </w:rPr>
            </w:pPr>
            <w:r>
              <w:rPr>
                <w:kern w:val="2"/>
                <w:szCs w:val="21"/>
                <w:lang w:val="en-US" w:eastAsia="zh-CN"/>
              </w:rPr>
              <w:t>IV(</w:t>
            </w:r>
            <w:r>
              <w:rPr>
                <w:rFonts w:hint="eastAsia"/>
                <w:kern w:val="2"/>
                <w:szCs w:val="21"/>
                <w:lang w:val="en-US" w:eastAsia="zh-CN"/>
              </w:rPr>
              <w:t>轻度危害</w:t>
            </w:r>
            <w:r>
              <w:rPr>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25" w:type="dxa"/>
            <w:vMerge w:val="restart"/>
            <w:vAlign w:val="center"/>
          </w:tcPr>
          <w:p>
            <w:pPr>
              <w:pStyle w:val="25"/>
              <w:rPr>
                <w:kern w:val="2"/>
                <w:szCs w:val="21"/>
                <w:lang w:val="en-US" w:eastAsia="zh-CN"/>
              </w:rPr>
            </w:pPr>
            <w:r>
              <w:rPr>
                <w:rFonts w:hint="eastAsia"/>
                <w:kern w:val="2"/>
                <w:szCs w:val="21"/>
                <w:lang w:val="en-US" w:eastAsia="zh-CN"/>
              </w:rPr>
              <w:t>危害</w:t>
            </w:r>
          </w:p>
          <w:p>
            <w:pPr>
              <w:pStyle w:val="25"/>
              <w:rPr>
                <w:kern w:val="2"/>
                <w:szCs w:val="21"/>
                <w:lang w:val="en-US" w:eastAsia="zh-CN"/>
              </w:rPr>
            </w:pPr>
            <w:r>
              <w:rPr>
                <w:rFonts w:hint="eastAsia"/>
                <w:kern w:val="2"/>
                <w:szCs w:val="21"/>
                <w:lang w:val="en-US" w:eastAsia="zh-CN"/>
              </w:rPr>
              <w:t>中毒</w:t>
            </w:r>
          </w:p>
        </w:tc>
        <w:tc>
          <w:tcPr>
            <w:tcW w:w="2211" w:type="dxa"/>
            <w:vAlign w:val="center"/>
          </w:tcPr>
          <w:p>
            <w:pPr>
              <w:pStyle w:val="25"/>
              <w:rPr>
                <w:kern w:val="2"/>
                <w:szCs w:val="21"/>
                <w:lang w:val="en-US" w:eastAsia="zh-CN"/>
              </w:rPr>
            </w:pPr>
            <w:r>
              <w:rPr>
                <w:rFonts w:hint="eastAsia"/>
                <w:kern w:val="2"/>
                <w:szCs w:val="21"/>
                <w:lang w:val="en-US" w:eastAsia="zh-CN"/>
              </w:rPr>
              <w:t>吸入</w:t>
            </w:r>
            <w:r>
              <w:rPr>
                <w:kern w:val="2"/>
                <w:szCs w:val="21"/>
                <w:lang w:val="en-US" w:eastAsia="zh-CN"/>
              </w:rPr>
              <w:t>LC50  (mg/m3)</w:t>
            </w:r>
          </w:p>
        </w:tc>
        <w:tc>
          <w:tcPr>
            <w:tcW w:w="1729" w:type="dxa"/>
            <w:tcMar>
              <w:left w:w="57" w:type="dxa"/>
              <w:right w:w="57" w:type="dxa"/>
            </w:tcMar>
            <w:vAlign w:val="center"/>
          </w:tcPr>
          <w:p>
            <w:pPr>
              <w:pStyle w:val="25"/>
              <w:rPr>
                <w:kern w:val="2"/>
                <w:szCs w:val="21"/>
                <w:lang w:val="en-US" w:eastAsia="zh-CN"/>
              </w:rPr>
            </w:pPr>
            <w:r>
              <w:rPr>
                <w:kern w:val="2"/>
                <w:szCs w:val="21"/>
                <w:lang w:val="en-US" w:eastAsia="zh-CN"/>
              </w:rPr>
              <w:t>&lt;200</w:t>
            </w:r>
          </w:p>
        </w:tc>
        <w:tc>
          <w:tcPr>
            <w:tcW w:w="1641" w:type="dxa"/>
            <w:tcMar>
              <w:left w:w="57" w:type="dxa"/>
              <w:right w:w="57" w:type="dxa"/>
            </w:tcMar>
            <w:vAlign w:val="center"/>
          </w:tcPr>
          <w:p>
            <w:pPr>
              <w:pStyle w:val="25"/>
              <w:rPr>
                <w:kern w:val="2"/>
                <w:szCs w:val="21"/>
                <w:lang w:val="en-US" w:eastAsia="zh-CN"/>
              </w:rPr>
            </w:pPr>
            <w:r>
              <w:rPr>
                <w:kern w:val="2"/>
                <w:szCs w:val="21"/>
                <w:lang w:val="en-US" w:eastAsia="zh-CN"/>
              </w:rPr>
              <w:t>200—</w:t>
            </w:r>
          </w:p>
        </w:tc>
        <w:tc>
          <w:tcPr>
            <w:tcW w:w="1772" w:type="dxa"/>
            <w:tcMar>
              <w:left w:w="57" w:type="dxa"/>
              <w:right w:w="57" w:type="dxa"/>
            </w:tcMar>
            <w:vAlign w:val="center"/>
          </w:tcPr>
          <w:p>
            <w:pPr>
              <w:pStyle w:val="25"/>
              <w:rPr>
                <w:kern w:val="2"/>
                <w:szCs w:val="21"/>
                <w:lang w:val="en-US" w:eastAsia="zh-CN"/>
              </w:rPr>
            </w:pPr>
            <w:r>
              <w:rPr>
                <w:kern w:val="2"/>
                <w:szCs w:val="21"/>
                <w:lang w:val="en-US" w:eastAsia="zh-CN"/>
              </w:rPr>
              <w:t>2000—</w:t>
            </w:r>
          </w:p>
        </w:tc>
        <w:tc>
          <w:tcPr>
            <w:tcW w:w="1725" w:type="dxa"/>
            <w:tcMar>
              <w:left w:w="57" w:type="dxa"/>
              <w:right w:w="57" w:type="dxa"/>
            </w:tcMar>
            <w:vAlign w:val="center"/>
          </w:tcPr>
          <w:p>
            <w:pPr>
              <w:pStyle w:val="25"/>
              <w:rPr>
                <w:kern w:val="2"/>
                <w:szCs w:val="21"/>
                <w:lang w:val="en-US" w:eastAsia="zh-CN"/>
              </w:rPr>
            </w:pPr>
            <w:r>
              <w:rPr>
                <w:kern w:val="2"/>
                <w:szCs w:val="21"/>
                <w:lang w:val="en-US" w:eastAsia="zh-CN"/>
              </w:rPr>
              <w:t>&gt;20000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25" w:type="dxa"/>
            <w:vMerge w:val="continue"/>
            <w:vAlign w:val="center"/>
          </w:tcPr>
          <w:p>
            <w:pPr>
              <w:pStyle w:val="25"/>
              <w:rPr>
                <w:kern w:val="2"/>
                <w:szCs w:val="21"/>
                <w:lang w:val="en-US" w:eastAsia="zh-CN"/>
              </w:rPr>
            </w:pPr>
          </w:p>
        </w:tc>
        <w:tc>
          <w:tcPr>
            <w:tcW w:w="2211" w:type="dxa"/>
            <w:vAlign w:val="center"/>
          </w:tcPr>
          <w:p>
            <w:pPr>
              <w:pStyle w:val="25"/>
              <w:rPr>
                <w:kern w:val="2"/>
                <w:szCs w:val="21"/>
                <w:lang w:val="en-US" w:eastAsia="zh-CN"/>
              </w:rPr>
            </w:pPr>
            <w:r>
              <w:rPr>
                <w:rFonts w:hint="eastAsia"/>
                <w:kern w:val="2"/>
                <w:szCs w:val="21"/>
                <w:lang w:val="en-US" w:eastAsia="zh-CN"/>
              </w:rPr>
              <w:t>经皮</w:t>
            </w:r>
            <w:r>
              <w:rPr>
                <w:kern w:val="2"/>
                <w:szCs w:val="21"/>
                <w:lang w:val="en-US" w:eastAsia="zh-CN"/>
              </w:rPr>
              <w:t>LD50  (mg/kg)</w:t>
            </w:r>
          </w:p>
        </w:tc>
        <w:tc>
          <w:tcPr>
            <w:tcW w:w="1729" w:type="dxa"/>
            <w:tcMar>
              <w:left w:w="57" w:type="dxa"/>
              <w:right w:w="57" w:type="dxa"/>
            </w:tcMar>
            <w:vAlign w:val="center"/>
          </w:tcPr>
          <w:p>
            <w:pPr>
              <w:pStyle w:val="25"/>
              <w:rPr>
                <w:kern w:val="2"/>
                <w:szCs w:val="21"/>
                <w:lang w:val="en-US" w:eastAsia="zh-CN"/>
              </w:rPr>
            </w:pPr>
            <w:r>
              <w:rPr>
                <w:kern w:val="2"/>
                <w:szCs w:val="21"/>
                <w:lang w:val="en-US" w:eastAsia="zh-CN"/>
              </w:rPr>
              <w:t>&lt;100</w:t>
            </w:r>
          </w:p>
        </w:tc>
        <w:tc>
          <w:tcPr>
            <w:tcW w:w="1641" w:type="dxa"/>
            <w:tcMar>
              <w:left w:w="57" w:type="dxa"/>
              <w:right w:w="57" w:type="dxa"/>
            </w:tcMar>
            <w:vAlign w:val="center"/>
          </w:tcPr>
          <w:p>
            <w:pPr>
              <w:pStyle w:val="25"/>
              <w:rPr>
                <w:kern w:val="2"/>
                <w:szCs w:val="21"/>
                <w:lang w:val="en-US" w:eastAsia="zh-CN"/>
              </w:rPr>
            </w:pPr>
            <w:r>
              <w:rPr>
                <w:kern w:val="2"/>
                <w:szCs w:val="21"/>
                <w:lang w:val="en-US" w:eastAsia="zh-CN"/>
              </w:rPr>
              <w:t>100—</w:t>
            </w:r>
          </w:p>
        </w:tc>
        <w:tc>
          <w:tcPr>
            <w:tcW w:w="1772" w:type="dxa"/>
            <w:tcMar>
              <w:left w:w="57" w:type="dxa"/>
              <w:right w:w="57" w:type="dxa"/>
            </w:tcMar>
            <w:vAlign w:val="center"/>
          </w:tcPr>
          <w:p>
            <w:pPr>
              <w:pStyle w:val="25"/>
              <w:rPr>
                <w:kern w:val="2"/>
                <w:szCs w:val="21"/>
                <w:lang w:val="en-US" w:eastAsia="zh-CN"/>
              </w:rPr>
            </w:pPr>
            <w:r>
              <w:rPr>
                <w:kern w:val="2"/>
                <w:szCs w:val="21"/>
                <w:lang w:val="en-US" w:eastAsia="zh-CN"/>
              </w:rPr>
              <w:t>500—</w:t>
            </w:r>
          </w:p>
        </w:tc>
        <w:tc>
          <w:tcPr>
            <w:tcW w:w="1725" w:type="dxa"/>
            <w:tcMar>
              <w:left w:w="57" w:type="dxa"/>
              <w:right w:w="57" w:type="dxa"/>
            </w:tcMar>
            <w:vAlign w:val="center"/>
          </w:tcPr>
          <w:p>
            <w:pPr>
              <w:pStyle w:val="25"/>
              <w:rPr>
                <w:kern w:val="2"/>
                <w:szCs w:val="21"/>
                <w:lang w:val="en-US" w:eastAsia="zh-CN"/>
              </w:rPr>
            </w:pPr>
            <w:r>
              <w:rPr>
                <w:kern w:val="2"/>
                <w:szCs w:val="21"/>
                <w:lang w:val="en-US" w:eastAsia="zh-CN"/>
              </w:rPr>
              <w:t>&gt;2500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25" w:type="dxa"/>
            <w:vMerge w:val="continue"/>
            <w:vAlign w:val="center"/>
          </w:tcPr>
          <w:p>
            <w:pPr>
              <w:pStyle w:val="25"/>
              <w:rPr>
                <w:kern w:val="2"/>
                <w:szCs w:val="21"/>
                <w:lang w:val="en-US" w:eastAsia="zh-CN"/>
              </w:rPr>
            </w:pPr>
          </w:p>
        </w:tc>
        <w:tc>
          <w:tcPr>
            <w:tcW w:w="2211" w:type="dxa"/>
            <w:vAlign w:val="center"/>
          </w:tcPr>
          <w:p>
            <w:pPr>
              <w:pStyle w:val="25"/>
              <w:rPr>
                <w:kern w:val="2"/>
                <w:szCs w:val="21"/>
                <w:lang w:val="en-US" w:eastAsia="zh-CN"/>
              </w:rPr>
            </w:pPr>
            <w:r>
              <w:rPr>
                <w:rFonts w:hint="eastAsia"/>
                <w:kern w:val="2"/>
                <w:szCs w:val="21"/>
                <w:lang w:val="en-US" w:eastAsia="zh-CN"/>
              </w:rPr>
              <w:t>经口</w:t>
            </w:r>
            <w:r>
              <w:rPr>
                <w:kern w:val="2"/>
                <w:szCs w:val="21"/>
                <w:lang w:val="en-US" w:eastAsia="zh-CN"/>
              </w:rPr>
              <w:t>LD50  (mg/kg)</w:t>
            </w:r>
          </w:p>
        </w:tc>
        <w:tc>
          <w:tcPr>
            <w:tcW w:w="1729" w:type="dxa"/>
            <w:tcMar>
              <w:left w:w="57" w:type="dxa"/>
              <w:right w:w="57" w:type="dxa"/>
            </w:tcMar>
            <w:vAlign w:val="center"/>
          </w:tcPr>
          <w:p>
            <w:pPr>
              <w:pStyle w:val="25"/>
              <w:rPr>
                <w:kern w:val="2"/>
                <w:szCs w:val="21"/>
                <w:lang w:val="en-US" w:eastAsia="zh-CN"/>
              </w:rPr>
            </w:pPr>
            <w:r>
              <w:rPr>
                <w:kern w:val="2"/>
                <w:szCs w:val="21"/>
                <w:lang w:val="en-US" w:eastAsia="zh-CN"/>
              </w:rPr>
              <w:t>&lt;25</w:t>
            </w:r>
          </w:p>
        </w:tc>
        <w:tc>
          <w:tcPr>
            <w:tcW w:w="1641" w:type="dxa"/>
            <w:tcMar>
              <w:left w:w="57" w:type="dxa"/>
              <w:right w:w="57" w:type="dxa"/>
            </w:tcMar>
            <w:vAlign w:val="center"/>
          </w:tcPr>
          <w:p>
            <w:pPr>
              <w:pStyle w:val="25"/>
              <w:rPr>
                <w:kern w:val="2"/>
                <w:szCs w:val="21"/>
                <w:lang w:val="en-US" w:eastAsia="zh-CN"/>
              </w:rPr>
            </w:pPr>
            <w:r>
              <w:rPr>
                <w:kern w:val="2"/>
                <w:szCs w:val="21"/>
                <w:lang w:val="en-US" w:eastAsia="zh-CN"/>
              </w:rPr>
              <w:t>25—</w:t>
            </w:r>
          </w:p>
        </w:tc>
        <w:tc>
          <w:tcPr>
            <w:tcW w:w="1772" w:type="dxa"/>
            <w:tcMar>
              <w:left w:w="57" w:type="dxa"/>
              <w:right w:w="57" w:type="dxa"/>
            </w:tcMar>
            <w:vAlign w:val="center"/>
          </w:tcPr>
          <w:p>
            <w:pPr>
              <w:pStyle w:val="25"/>
              <w:rPr>
                <w:kern w:val="2"/>
                <w:szCs w:val="21"/>
                <w:lang w:val="en-US" w:eastAsia="zh-CN"/>
              </w:rPr>
            </w:pPr>
            <w:r>
              <w:rPr>
                <w:kern w:val="2"/>
                <w:szCs w:val="21"/>
                <w:lang w:val="en-US" w:eastAsia="zh-CN"/>
              </w:rPr>
              <w:t>500—</w:t>
            </w:r>
          </w:p>
        </w:tc>
        <w:tc>
          <w:tcPr>
            <w:tcW w:w="1725" w:type="dxa"/>
            <w:tcMar>
              <w:left w:w="57" w:type="dxa"/>
              <w:right w:w="57" w:type="dxa"/>
            </w:tcMar>
            <w:vAlign w:val="center"/>
          </w:tcPr>
          <w:p>
            <w:pPr>
              <w:pStyle w:val="25"/>
              <w:rPr>
                <w:kern w:val="2"/>
                <w:szCs w:val="21"/>
                <w:lang w:val="en-US" w:eastAsia="zh-CN"/>
              </w:rPr>
            </w:pPr>
            <w:r>
              <w:rPr>
                <w:kern w:val="2"/>
                <w:szCs w:val="21"/>
                <w:lang w:val="en-US" w:eastAsia="zh-CN"/>
              </w:rPr>
              <w:t>&gt;5000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936" w:type="dxa"/>
            <w:gridSpan w:val="2"/>
          </w:tcPr>
          <w:p>
            <w:pPr>
              <w:pStyle w:val="25"/>
              <w:rPr>
                <w:kern w:val="2"/>
                <w:szCs w:val="21"/>
                <w:lang w:val="en-US" w:eastAsia="zh-CN"/>
              </w:rPr>
            </w:pPr>
            <w:r>
              <w:rPr>
                <w:rFonts w:hint="eastAsia"/>
                <w:kern w:val="2"/>
                <w:szCs w:val="21"/>
                <w:lang w:val="en-US" w:eastAsia="zh-CN"/>
              </w:rPr>
              <w:t>致癌性</w:t>
            </w:r>
          </w:p>
        </w:tc>
        <w:tc>
          <w:tcPr>
            <w:tcW w:w="1729" w:type="dxa"/>
            <w:tcMar>
              <w:left w:w="57" w:type="dxa"/>
              <w:right w:w="57" w:type="dxa"/>
            </w:tcMar>
          </w:tcPr>
          <w:p>
            <w:pPr>
              <w:pStyle w:val="25"/>
              <w:rPr>
                <w:kern w:val="2"/>
                <w:szCs w:val="21"/>
                <w:lang w:val="en-US" w:eastAsia="zh-CN"/>
              </w:rPr>
            </w:pPr>
            <w:r>
              <w:rPr>
                <w:rFonts w:hint="eastAsia"/>
                <w:kern w:val="2"/>
                <w:szCs w:val="21"/>
                <w:lang w:val="en-US" w:eastAsia="zh-CN"/>
              </w:rPr>
              <w:t>人体致癌物</w:t>
            </w:r>
          </w:p>
        </w:tc>
        <w:tc>
          <w:tcPr>
            <w:tcW w:w="1641" w:type="dxa"/>
            <w:tcMar>
              <w:left w:w="57" w:type="dxa"/>
              <w:right w:w="57" w:type="dxa"/>
            </w:tcMar>
          </w:tcPr>
          <w:p>
            <w:pPr>
              <w:pStyle w:val="25"/>
              <w:rPr>
                <w:kern w:val="2"/>
                <w:szCs w:val="21"/>
                <w:lang w:val="en-US" w:eastAsia="zh-CN"/>
              </w:rPr>
            </w:pPr>
            <w:r>
              <w:rPr>
                <w:rFonts w:hint="eastAsia"/>
                <w:kern w:val="2"/>
                <w:szCs w:val="21"/>
                <w:lang w:val="en-US" w:eastAsia="zh-CN"/>
              </w:rPr>
              <w:t>可疑人体致癌</w:t>
            </w:r>
          </w:p>
        </w:tc>
        <w:tc>
          <w:tcPr>
            <w:tcW w:w="1772" w:type="dxa"/>
            <w:tcMar>
              <w:left w:w="57" w:type="dxa"/>
              <w:right w:w="57" w:type="dxa"/>
            </w:tcMar>
          </w:tcPr>
          <w:p>
            <w:pPr>
              <w:pStyle w:val="25"/>
              <w:rPr>
                <w:kern w:val="2"/>
                <w:szCs w:val="21"/>
                <w:lang w:val="en-US" w:eastAsia="zh-CN"/>
              </w:rPr>
            </w:pPr>
            <w:r>
              <w:rPr>
                <w:rFonts w:hint="eastAsia"/>
                <w:kern w:val="2"/>
                <w:szCs w:val="21"/>
                <w:lang w:val="en-US" w:eastAsia="zh-CN"/>
              </w:rPr>
              <w:t>实验动物致癌</w:t>
            </w:r>
          </w:p>
        </w:tc>
        <w:tc>
          <w:tcPr>
            <w:tcW w:w="1725" w:type="dxa"/>
            <w:tcMar>
              <w:left w:w="57" w:type="dxa"/>
              <w:right w:w="57" w:type="dxa"/>
            </w:tcMar>
          </w:tcPr>
          <w:p>
            <w:pPr>
              <w:pStyle w:val="25"/>
              <w:rPr>
                <w:kern w:val="2"/>
                <w:szCs w:val="21"/>
                <w:lang w:val="en-US" w:eastAsia="zh-CN"/>
              </w:rPr>
            </w:pPr>
            <w:r>
              <w:rPr>
                <w:rFonts w:hint="eastAsia"/>
                <w:kern w:val="2"/>
                <w:szCs w:val="21"/>
                <w:lang w:val="en-US" w:eastAsia="zh-CN"/>
              </w:rPr>
              <w:t>无致癌性</w:t>
            </w:r>
          </w:p>
        </w:tc>
      </w:tr>
    </w:tbl>
    <w:p>
      <w:pPr>
        <w:pStyle w:val="25"/>
        <w:rPr>
          <w:b/>
          <w:bCs/>
        </w:rPr>
      </w:pPr>
      <w:r>
        <w:rPr>
          <w:rFonts w:hint="eastAsia"/>
          <w:b/>
          <w:bCs/>
        </w:rPr>
        <w:t>表</w:t>
      </w:r>
      <w:r>
        <w:rPr>
          <w:b/>
          <w:bCs/>
        </w:rPr>
        <w:t xml:space="preserve">8.1-2    </w:t>
      </w:r>
      <w:r>
        <w:rPr>
          <w:rFonts w:hint="eastAsia"/>
          <w:b/>
          <w:bCs/>
        </w:rPr>
        <w:t>物质危险性标准</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11"/>
        <w:gridCol w:w="727"/>
        <w:gridCol w:w="2751"/>
        <w:gridCol w:w="2738"/>
        <w:gridCol w:w="27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blHeader/>
          <w:jc w:val="center"/>
        </w:trPr>
        <w:tc>
          <w:tcPr>
            <w:tcW w:w="911" w:type="dxa"/>
            <w:tcBorders>
              <w:top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物质</w:t>
            </w:r>
          </w:p>
          <w:p>
            <w:pPr>
              <w:pStyle w:val="25"/>
              <w:rPr>
                <w:kern w:val="2"/>
                <w:szCs w:val="21"/>
                <w:lang w:val="en-US" w:eastAsia="zh-CN"/>
              </w:rPr>
            </w:pPr>
            <w:r>
              <w:rPr>
                <w:rFonts w:hint="eastAsia"/>
                <w:kern w:val="2"/>
                <w:szCs w:val="21"/>
                <w:lang w:val="en-US" w:eastAsia="zh-CN"/>
              </w:rPr>
              <w:t>类别</w:t>
            </w:r>
          </w:p>
        </w:tc>
        <w:tc>
          <w:tcPr>
            <w:tcW w:w="727"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等级</w:t>
            </w:r>
          </w:p>
        </w:tc>
        <w:tc>
          <w:tcPr>
            <w:tcW w:w="2751"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LD50 (</w:t>
            </w:r>
            <w:r>
              <w:rPr>
                <w:rFonts w:hint="eastAsia"/>
                <w:kern w:val="2"/>
                <w:szCs w:val="21"/>
                <w:lang w:val="en-US" w:eastAsia="zh-CN"/>
              </w:rPr>
              <w:t>大鼠经口</w:t>
            </w:r>
            <w:r>
              <w:rPr>
                <w:kern w:val="2"/>
                <w:szCs w:val="21"/>
                <w:lang w:val="en-US" w:eastAsia="zh-CN"/>
              </w:rPr>
              <w:t>)</w:t>
            </w:r>
          </w:p>
          <w:p>
            <w:pPr>
              <w:pStyle w:val="25"/>
              <w:rPr>
                <w:kern w:val="2"/>
                <w:szCs w:val="21"/>
                <w:lang w:val="en-US" w:eastAsia="zh-CN"/>
              </w:rPr>
            </w:pPr>
            <w:r>
              <w:rPr>
                <w:kern w:val="2"/>
                <w:szCs w:val="21"/>
                <w:lang w:val="en-US" w:eastAsia="zh-CN"/>
              </w:rPr>
              <w:t>mg/kg</w:t>
            </w:r>
          </w:p>
        </w:tc>
        <w:tc>
          <w:tcPr>
            <w:tcW w:w="2738"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LD50 (</w:t>
            </w:r>
            <w:r>
              <w:rPr>
                <w:rFonts w:hint="eastAsia"/>
                <w:kern w:val="2"/>
                <w:szCs w:val="21"/>
                <w:lang w:val="en-US" w:eastAsia="zh-CN"/>
              </w:rPr>
              <w:t>大鼠经皮</w:t>
            </w:r>
            <w:r>
              <w:rPr>
                <w:kern w:val="2"/>
                <w:szCs w:val="21"/>
                <w:lang w:val="en-US" w:eastAsia="zh-CN"/>
              </w:rPr>
              <w:t>)</w:t>
            </w:r>
          </w:p>
          <w:p>
            <w:pPr>
              <w:pStyle w:val="25"/>
              <w:rPr>
                <w:kern w:val="2"/>
                <w:szCs w:val="21"/>
                <w:lang w:val="en-US" w:eastAsia="zh-CN"/>
              </w:rPr>
            </w:pPr>
            <w:r>
              <w:rPr>
                <w:kern w:val="2"/>
                <w:szCs w:val="21"/>
                <w:lang w:val="en-US" w:eastAsia="zh-CN"/>
              </w:rPr>
              <w:t>mg/kg</w:t>
            </w:r>
          </w:p>
        </w:tc>
        <w:tc>
          <w:tcPr>
            <w:tcW w:w="2727" w:type="dxa"/>
            <w:tcBorders>
              <w:top w:val="single" w:color="auto" w:sz="4" w:space="0"/>
              <w:left w:val="single" w:color="auto" w:sz="4" w:space="0"/>
              <w:bottom w:val="single" w:color="auto" w:sz="4" w:space="0"/>
            </w:tcBorders>
            <w:vAlign w:val="center"/>
          </w:tcPr>
          <w:p>
            <w:pPr>
              <w:pStyle w:val="25"/>
              <w:rPr>
                <w:kern w:val="2"/>
                <w:szCs w:val="21"/>
                <w:lang w:val="en-US" w:eastAsia="zh-CN"/>
              </w:rPr>
            </w:pPr>
            <w:r>
              <w:rPr>
                <w:kern w:val="2"/>
                <w:szCs w:val="21"/>
                <w:lang w:val="en-US" w:eastAsia="zh-CN"/>
              </w:rPr>
              <w:t>LC50(</w:t>
            </w:r>
            <w:r>
              <w:rPr>
                <w:rFonts w:hint="eastAsia"/>
                <w:kern w:val="2"/>
                <w:szCs w:val="21"/>
                <w:lang w:val="en-US" w:eastAsia="zh-CN"/>
              </w:rPr>
              <w:t>小鼠吸入，</w:t>
            </w:r>
          </w:p>
          <w:p>
            <w:pPr>
              <w:pStyle w:val="25"/>
              <w:rPr>
                <w:kern w:val="2"/>
                <w:szCs w:val="21"/>
                <w:lang w:val="en-US" w:eastAsia="zh-CN"/>
              </w:rPr>
            </w:pPr>
            <w:r>
              <w:rPr>
                <w:kern w:val="2"/>
                <w:szCs w:val="21"/>
                <w:lang w:val="en-US" w:eastAsia="zh-CN"/>
              </w:rPr>
              <w:t>4</w:t>
            </w:r>
            <w:r>
              <w:rPr>
                <w:rFonts w:hint="eastAsia"/>
                <w:kern w:val="2"/>
                <w:szCs w:val="21"/>
                <w:lang w:val="en-US" w:eastAsia="zh-CN"/>
              </w:rPr>
              <w:t>小时</w:t>
            </w:r>
            <w:r>
              <w:rPr>
                <w:kern w:val="2"/>
                <w:szCs w:val="21"/>
                <w:lang w:val="en-US" w:eastAsia="zh-CN"/>
              </w:rPr>
              <w:t>)mg/L</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911" w:type="dxa"/>
            <w:vMerge w:val="restart"/>
            <w:tcBorders>
              <w:top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有毒</w:t>
            </w:r>
          </w:p>
          <w:p>
            <w:pPr>
              <w:pStyle w:val="25"/>
              <w:rPr>
                <w:kern w:val="2"/>
                <w:szCs w:val="21"/>
                <w:lang w:val="en-US" w:eastAsia="zh-CN"/>
              </w:rPr>
            </w:pPr>
            <w:r>
              <w:rPr>
                <w:rFonts w:hint="eastAsia"/>
                <w:kern w:val="2"/>
                <w:szCs w:val="21"/>
                <w:lang w:val="en-US" w:eastAsia="zh-CN"/>
              </w:rPr>
              <w:t>物质</w:t>
            </w:r>
          </w:p>
        </w:tc>
        <w:tc>
          <w:tcPr>
            <w:tcW w:w="727"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1</w:t>
            </w:r>
          </w:p>
        </w:tc>
        <w:tc>
          <w:tcPr>
            <w:tcW w:w="2751"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&lt;5</w:t>
            </w:r>
          </w:p>
        </w:tc>
        <w:tc>
          <w:tcPr>
            <w:tcW w:w="2738"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&lt;1</w:t>
            </w:r>
          </w:p>
        </w:tc>
        <w:tc>
          <w:tcPr>
            <w:tcW w:w="2727" w:type="dxa"/>
            <w:tcBorders>
              <w:top w:val="single" w:color="auto" w:sz="4" w:space="0"/>
              <w:left w:val="single" w:color="auto" w:sz="4" w:space="0"/>
              <w:bottom w:val="single" w:color="auto" w:sz="4" w:space="0"/>
            </w:tcBorders>
            <w:vAlign w:val="center"/>
          </w:tcPr>
          <w:p>
            <w:pPr>
              <w:pStyle w:val="25"/>
              <w:rPr>
                <w:kern w:val="2"/>
                <w:szCs w:val="21"/>
                <w:lang w:val="en-US" w:eastAsia="zh-CN"/>
              </w:rPr>
            </w:pPr>
            <w:r>
              <w:rPr>
                <w:kern w:val="2"/>
                <w:szCs w:val="21"/>
                <w:lang w:val="en-US" w:eastAsia="zh-CN"/>
              </w:rPr>
              <w:t>&lt;0.01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911" w:type="dxa"/>
            <w:vMerge w:val="continue"/>
            <w:tcBorders>
              <w:right w:val="single" w:color="auto" w:sz="4" w:space="0"/>
            </w:tcBorders>
            <w:vAlign w:val="center"/>
          </w:tcPr>
          <w:p>
            <w:pPr>
              <w:pStyle w:val="25"/>
              <w:rPr>
                <w:kern w:val="2"/>
                <w:szCs w:val="21"/>
                <w:lang w:val="en-US" w:eastAsia="zh-CN"/>
              </w:rPr>
            </w:pPr>
          </w:p>
        </w:tc>
        <w:tc>
          <w:tcPr>
            <w:tcW w:w="727"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2</w:t>
            </w:r>
          </w:p>
        </w:tc>
        <w:tc>
          <w:tcPr>
            <w:tcW w:w="2751"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5&lt;LD50&lt;25</w:t>
            </w:r>
          </w:p>
        </w:tc>
        <w:tc>
          <w:tcPr>
            <w:tcW w:w="2738"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10&lt;LD50&lt;50</w:t>
            </w:r>
          </w:p>
        </w:tc>
        <w:tc>
          <w:tcPr>
            <w:tcW w:w="2727" w:type="dxa"/>
            <w:tcBorders>
              <w:top w:val="single" w:color="auto" w:sz="4" w:space="0"/>
              <w:left w:val="single" w:color="auto" w:sz="4" w:space="0"/>
              <w:bottom w:val="single" w:color="auto" w:sz="4" w:space="0"/>
            </w:tcBorders>
            <w:vAlign w:val="center"/>
          </w:tcPr>
          <w:p>
            <w:pPr>
              <w:pStyle w:val="25"/>
              <w:rPr>
                <w:kern w:val="2"/>
                <w:szCs w:val="21"/>
                <w:lang w:val="en-US" w:eastAsia="zh-CN"/>
              </w:rPr>
            </w:pPr>
            <w:r>
              <w:rPr>
                <w:kern w:val="2"/>
                <w:szCs w:val="21"/>
                <w:lang w:val="en-US" w:eastAsia="zh-CN"/>
              </w:rPr>
              <w:t>0.1&lt;LC50&lt;0.5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911" w:type="dxa"/>
            <w:vMerge w:val="continue"/>
            <w:tcBorders>
              <w:right w:val="single" w:color="auto" w:sz="4" w:space="0"/>
            </w:tcBorders>
            <w:vAlign w:val="center"/>
          </w:tcPr>
          <w:p>
            <w:pPr>
              <w:pStyle w:val="25"/>
              <w:rPr>
                <w:kern w:val="2"/>
                <w:szCs w:val="21"/>
                <w:lang w:val="en-US" w:eastAsia="zh-CN"/>
              </w:rPr>
            </w:pPr>
          </w:p>
        </w:tc>
        <w:tc>
          <w:tcPr>
            <w:tcW w:w="727"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3</w:t>
            </w:r>
          </w:p>
        </w:tc>
        <w:tc>
          <w:tcPr>
            <w:tcW w:w="2751"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25&lt;LD50&lt;200</w:t>
            </w:r>
          </w:p>
        </w:tc>
        <w:tc>
          <w:tcPr>
            <w:tcW w:w="2738"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50&lt;LD50&lt;400</w:t>
            </w:r>
          </w:p>
        </w:tc>
        <w:tc>
          <w:tcPr>
            <w:tcW w:w="2727" w:type="dxa"/>
            <w:tcBorders>
              <w:top w:val="single" w:color="auto" w:sz="4" w:space="0"/>
              <w:left w:val="single" w:color="auto" w:sz="4" w:space="0"/>
              <w:bottom w:val="single" w:color="auto" w:sz="4" w:space="0"/>
            </w:tcBorders>
            <w:vAlign w:val="center"/>
          </w:tcPr>
          <w:p>
            <w:pPr>
              <w:pStyle w:val="25"/>
              <w:rPr>
                <w:kern w:val="2"/>
                <w:szCs w:val="21"/>
                <w:lang w:val="en-US" w:eastAsia="zh-CN"/>
              </w:rPr>
            </w:pPr>
            <w:r>
              <w:rPr>
                <w:kern w:val="2"/>
                <w:szCs w:val="21"/>
                <w:lang w:val="en-US" w:eastAsia="zh-CN"/>
              </w:rPr>
              <w:t>0.5&lt;LC50&lt;2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911" w:type="dxa"/>
            <w:vMerge w:val="restart"/>
            <w:tcBorders>
              <w:top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易燃</w:t>
            </w:r>
          </w:p>
          <w:p>
            <w:pPr>
              <w:pStyle w:val="25"/>
              <w:rPr>
                <w:kern w:val="2"/>
                <w:szCs w:val="21"/>
                <w:lang w:val="en-US" w:eastAsia="zh-CN"/>
              </w:rPr>
            </w:pPr>
            <w:r>
              <w:rPr>
                <w:rFonts w:hint="eastAsia"/>
                <w:kern w:val="2"/>
                <w:szCs w:val="21"/>
                <w:lang w:val="en-US" w:eastAsia="zh-CN"/>
              </w:rPr>
              <w:t>物质</w:t>
            </w:r>
          </w:p>
        </w:tc>
        <w:tc>
          <w:tcPr>
            <w:tcW w:w="727"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1</w:t>
            </w:r>
          </w:p>
        </w:tc>
        <w:tc>
          <w:tcPr>
            <w:tcW w:w="8216" w:type="dxa"/>
            <w:gridSpan w:val="3"/>
            <w:tcBorders>
              <w:top w:val="single" w:color="auto" w:sz="4" w:space="0"/>
              <w:left w:val="single" w:color="auto" w:sz="4" w:space="0"/>
              <w:bottom w:val="single" w:color="auto" w:sz="4" w:space="0"/>
            </w:tcBorders>
            <w:vAlign w:val="center"/>
          </w:tcPr>
          <w:p>
            <w:pPr>
              <w:pStyle w:val="25"/>
              <w:rPr>
                <w:kern w:val="2"/>
                <w:szCs w:val="21"/>
                <w:lang w:val="en-US" w:eastAsia="zh-CN"/>
              </w:rPr>
            </w:pPr>
            <w:r>
              <w:rPr>
                <w:rFonts w:hint="eastAsia"/>
                <w:kern w:val="2"/>
                <w:szCs w:val="21"/>
                <w:lang w:val="en-US" w:eastAsia="zh-CN"/>
              </w:rPr>
              <w:t>可燃气体，在常压下以气态存在并与空气混合形成可燃混合物；其沸点</w:t>
            </w:r>
            <w:r>
              <w:rPr>
                <w:kern w:val="2"/>
                <w:szCs w:val="21"/>
                <w:lang w:val="en-US" w:eastAsia="zh-CN"/>
              </w:rPr>
              <w:t>(</w:t>
            </w:r>
            <w:r>
              <w:rPr>
                <w:rFonts w:hint="eastAsia"/>
                <w:kern w:val="2"/>
                <w:szCs w:val="21"/>
                <w:lang w:val="en-US" w:eastAsia="zh-CN"/>
              </w:rPr>
              <w:t>常压下</w:t>
            </w:r>
            <w:r>
              <w:rPr>
                <w:kern w:val="2"/>
                <w:szCs w:val="21"/>
                <w:lang w:val="en-US" w:eastAsia="zh-CN"/>
              </w:rPr>
              <w:t>)</w:t>
            </w:r>
            <w:r>
              <w:rPr>
                <w:rFonts w:hint="eastAsia"/>
                <w:kern w:val="2"/>
                <w:szCs w:val="21"/>
                <w:lang w:val="en-US" w:eastAsia="zh-CN"/>
              </w:rPr>
              <w:t>是</w:t>
            </w:r>
            <w:r>
              <w:rPr>
                <w:kern w:val="2"/>
                <w:szCs w:val="21"/>
                <w:lang w:val="en-US" w:eastAsia="zh-CN"/>
              </w:rPr>
              <w:t>20</w:t>
            </w:r>
            <w:r>
              <w:rPr>
                <w:rFonts w:hint="eastAsia"/>
                <w:kern w:val="2"/>
                <w:szCs w:val="21"/>
                <w:lang w:val="en-US" w:eastAsia="zh-CN"/>
              </w:rPr>
              <w:t>℃或</w:t>
            </w:r>
            <w:r>
              <w:rPr>
                <w:kern w:val="2"/>
                <w:szCs w:val="21"/>
                <w:lang w:val="en-US" w:eastAsia="zh-CN"/>
              </w:rPr>
              <w:t>20</w:t>
            </w:r>
            <w:r>
              <w:rPr>
                <w:rFonts w:hint="eastAsia"/>
                <w:kern w:val="2"/>
                <w:szCs w:val="21"/>
                <w:lang w:val="en-US" w:eastAsia="zh-CN"/>
              </w:rPr>
              <w:t>℃以下的物质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911" w:type="dxa"/>
            <w:vMerge w:val="continue"/>
            <w:tcBorders>
              <w:top w:val="single" w:color="auto" w:sz="4" w:space="0"/>
              <w:bottom w:val="single" w:color="auto" w:sz="4" w:space="0"/>
              <w:right w:val="single" w:color="auto" w:sz="4" w:space="0"/>
            </w:tcBorders>
            <w:vAlign w:val="center"/>
          </w:tcPr>
          <w:p>
            <w:pPr>
              <w:pStyle w:val="25"/>
              <w:rPr>
                <w:kern w:val="2"/>
                <w:szCs w:val="21"/>
                <w:lang w:val="en-US" w:eastAsia="zh-CN"/>
              </w:rPr>
            </w:pPr>
          </w:p>
        </w:tc>
        <w:tc>
          <w:tcPr>
            <w:tcW w:w="727"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2</w:t>
            </w:r>
          </w:p>
        </w:tc>
        <w:tc>
          <w:tcPr>
            <w:tcW w:w="8216" w:type="dxa"/>
            <w:gridSpan w:val="3"/>
            <w:tcBorders>
              <w:top w:val="single" w:color="auto" w:sz="4" w:space="0"/>
              <w:left w:val="single" w:color="auto" w:sz="4" w:space="0"/>
              <w:bottom w:val="single" w:color="auto" w:sz="4" w:space="0"/>
            </w:tcBorders>
            <w:vAlign w:val="center"/>
          </w:tcPr>
          <w:p>
            <w:pPr>
              <w:pStyle w:val="25"/>
              <w:rPr>
                <w:kern w:val="2"/>
                <w:szCs w:val="21"/>
                <w:lang w:val="en-US" w:eastAsia="zh-CN"/>
              </w:rPr>
            </w:pPr>
            <w:r>
              <w:rPr>
                <w:rFonts w:hint="eastAsia"/>
                <w:kern w:val="2"/>
                <w:szCs w:val="21"/>
                <w:lang w:val="en-US" w:eastAsia="zh-CN"/>
              </w:rPr>
              <w:t>易燃液体，闪点低于</w:t>
            </w:r>
            <w:r>
              <w:rPr>
                <w:kern w:val="2"/>
                <w:szCs w:val="21"/>
                <w:lang w:val="en-US" w:eastAsia="zh-CN"/>
              </w:rPr>
              <w:t>21</w:t>
            </w:r>
            <w:r>
              <w:rPr>
                <w:rFonts w:hint="eastAsia"/>
                <w:kern w:val="2"/>
                <w:szCs w:val="21"/>
                <w:lang w:val="en-US" w:eastAsia="zh-CN"/>
              </w:rPr>
              <w:t>℃，沸点高于</w:t>
            </w:r>
            <w:r>
              <w:rPr>
                <w:kern w:val="2"/>
                <w:szCs w:val="21"/>
                <w:lang w:val="en-US" w:eastAsia="zh-CN"/>
              </w:rPr>
              <w:t>20</w:t>
            </w:r>
            <w:r>
              <w:rPr>
                <w:rFonts w:hint="eastAsia"/>
                <w:kern w:val="2"/>
                <w:szCs w:val="21"/>
                <w:lang w:val="en-US" w:eastAsia="zh-CN"/>
              </w:rPr>
              <w:t>℃的物质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911" w:type="dxa"/>
            <w:vMerge w:val="continue"/>
            <w:tcBorders>
              <w:top w:val="single" w:color="auto" w:sz="4" w:space="0"/>
              <w:bottom w:val="single" w:color="auto" w:sz="4" w:space="0"/>
              <w:right w:val="single" w:color="auto" w:sz="4" w:space="0"/>
            </w:tcBorders>
            <w:vAlign w:val="center"/>
          </w:tcPr>
          <w:p>
            <w:pPr>
              <w:pStyle w:val="25"/>
              <w:rPr>
                <w:kern w:val="2"/>
                <w:szCs w:val="21"/>
                <w:lang w:val="en-US" w:eastAsia="zh-CN"/>
              </w:rPr>
            </w:pPr>
          </w:p>
        </w:tc>
        <w:tc>
          <w:tcPr>
            <w:tcW w:w="727"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kern w:val="2"/>
                <w:szCs w:val="21"/>
                <w:lang w:val="en-US" w:eastAsia="zh-CN"/>
              </w:rPr>
              <w:t>3</w:t>
            </w:r>
          </w:p>
        </w:tc>
        <w:tc>
          <w:tcPr>
            <w:tcW w:w="8216" w:type="dxa"/>
            <w:gridSpan w:val="3"/>
            <w:tcBorders>
              <w:top w:val="single" w:color="auto" w:sz="4" w:space="0"/>
              <w:left w:val="single" w:color="auto" w:sz="4" w:space="0"/>
              <w:bottom w:val="single" w:color="auto" w:sz="4" w:space="0"/>
            </w:tcBorders>
            <w:vAlign w:val="center"/>
          </w:tcPr>
          <w:p>
            <w:pPr>
              <w:pStyle w:val="25"/>
              <w:rPr>
                <w:kern w:val="2"/>
                <w:szCs w:val="21"/>
                <w:lang w:val="en-US" w:eastAsia="zh-CN"/>
              </w:rPr>
            </w:pPr>
            <w:r>
              <w:rPr>
                <w:rFonts w:hint="eastAsia"/>
                <w:kern w:val="2"/>
                <w:szCs w:val="21"/>
                <w:lang w:val="en-US" w:eastAsia="zh-CN"/>
              </w:rPr>
              <w:t>可燃液体，闪点低于</w:t>
            </w:r>
            <w:r>
              <w:rPr>
                <w:kern w:val="2"/>
                <w:szCs w:val="21"/>
                <w:lang w:val="en-US" w:eastAsia="zh-CN"/>
              </w:rPr>
              <w:t>55</w:t>
            </w:r>
            <w:r>
              <w:rPr>
                <w:rFonts w:hint="eastAsia"/>
                <w:kern w:val="2"/>
                <w:szCs w:val="21"/>
                <w:lang w:val="en-US" w:eastAsia="zh-CN"/>
              </w:rPr>
              <w:t>℃，压力下保持液态，在实际操作条件下</w:t>
            </w:r>
            <w:r>
              <w:rPr>
                <w:kern w:val="2"/>
                <w:szCs w:val="21"/>
                <w:lang w:val="en-US" w:eastAsia="zh-CN"/>
              </w:rPr>
              <w:t>(</w:t>
            </w:r>
            <w:r>
              <w:rPr>
                <w:rFonts w:hint="eastAsia"/>
                <w:kern w:val="2"/>
                <w:szCs w:val="21"/>
                <w:lang w:val="en-US" w:eastAsia="zh-CN"/>
              </w:rPr>
              <w:t>如高温高压</w:t>
            </w:r>
            <w:r>
              <w:rPr>
                <w:kern w:val="2"/>
                <w:szCs w:val="21"/>
                <w:lang w:val="en-US" w:eastAsia="zh-CN"/>
              </w:rPr>
              <w:t>)</w:t>
            </w:r>
            <w:r>
              <w:rPr>
                <w:rFonts w:hint="eastAsia"/>
                <w:kern w:val="2"/>
                <w:szCs w:val="21"/>
                <w:lang w:val="en-US" w:eastAsia="zh-CN"/>
              </w:rPr>
              <w:t>可以引起重大事故的物质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638" w:type="dxa"/>
            <w:gridSpan w:val="2"/>
            <w:tcBorders>
              <w:top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爆炸性物质</w:t>
            </w:r>
          </w:p>
        </w:tc>
        <w:tc>
          <w:tcPr>
            <w:tcW w:w="8216" w:type="dxa"/>
            <w:gridSpan w:val="3"/>
            <w:tcBorders>
              <w:top w:val="single" w:color="auto" w:sz="4" w:space="0"/>
              <w:left w:val="single" w:color="auto" w:sz="4" w:space="0"/>
              <w:bottom w:val="single" w:color="auto" w:sz="4" w:space="0"/>
            </w:tcBorders>
            <w:vAlign w:val="center"/>
          </w:tcPr>
          <w:p>
            <w:pPr>
              <w:pStyle w:val="25"/>
              <w:rPr>
                <w:kern w:val="2"/>
                <w:szCs w:val="21"/>
                <w:lang w:val="en-US" w:eastAsia="zh-CN"/>
              </w:rPr>
            </w:pPr>
            <w:r>
              <w:rPr>
                <w:rFonts w:hint="eastAsia"/>
                <w:kern w:val="2"/>
                <w:szCs w:val="21"/>
                <w:lang w:val="en-US" w:eastAsia="zh-CN"/>
              </w:rPr>
              <w:t>在火焰影响下可以爆炸，或者对冲击、摩擦比硝基苯更为敏感的物质</w:t>
            </w:r>
          </w:p>
        </w:tc>
      </w:tr>
    </w:tbl>
    <w:p>
      <w:pPr>
        <w:ind w:firstLine="480"/>
      </w:pPr>
      <w:r>
        <w:rPr>
          <w:rFonts w:hint="eastAsia"/>
        </w:rPr>
        <w:t>备注：</w:t>
      </w:r>
      <w:r>
        <w:t>(1)</w:t>
      </w:r>
      <w:r>
        <w:rPr>
          <w:rFonts w:hint="eastAsia"/>
        </w:rPr>
        <w:t>有毒物质判定标准序号为</w:t>
      </w:r>
      <w:r>
        <w:t>1</w:t>
      </w:r>
      <w:r>
        <w:rPr>
          <w:rFonts w:hint="eastAsia"/>
        </w:rPr>
        <w:t>、</w:t>
      </w:r>
      <w:r>
        <w:t>2</w:t>
      </w:r>
      <w:r>
        <w:rPr>
          <w:rFonts w:hint="eastAsia"/>
        </w:rPr>
        <w:t>的物质，属于剧毒物质；</w:t>
      </w:r>
    </w:p>
    <w:p>
      <w:pPr>
        <w:ind w:firstLine="480"/>
      </w:pPr>
      <w:r>
        <w:rPr>
          <w:rFonts w:hint="eastAsia"/>
        </w:rPr>
        <w:t>符合有毒物质判定标准序号</w:t>
      </w:r>
      <w:r>
        <w:t>3</w:t>
      </w:r>
      <w:r>
        <w:rPr>
          <w:rFonts w:hint="eastAsia"/>
        </w:rPr>
        <w:t>的属于一般毒物。</w:t>
      </w:r>
    </w:p>
    <w:p>
      <w:pPr>
        <w:ind w:firstLine="480"/>
      </w:pPr>
      <w:r>
        <w:t>(2)</w:t>
      </w:r>
      <w:r>
        <w:rPr>
          <w:rFonts w:hint="eastAsia"/>
        </w:rPr>
        <w:t>凡符合表中易燃物质和爆炸性物质标准的物质，均视为火灾、爆炸危险物质。</w:t>
      </w:r>
    </w:p>
    <w:p>
      <w:pPr>
        <w:pStyle w:val="25"/>
        <w:rPr>
          <w:b/>
          <w:bCs/>
        </w:rPr>
      </w:pPr>
      <w:r>
        <w:rPr>
          <w:rFonts w:hint="eastAsia"/>
          <w:b/>
          <w:bCs/>
        </w:rPr>
        <w:t>表</w:t>
      </w:r>
      <w:r>
        <w:rPr>
          <w:b/>
          <w:bCs/>
        </w:rPr>
        <w:t xml:space="preserve">8.1-3     </w:t>
      </w:r>
      <w:r>
        <w:rPr>
          <w:rFonts w:hint="eastAsia"/>
          <w:b/>
          <w:bCs/>
        </w:rPr>
        <w:t>原材料、燃料主要危化品的理化性质和毒性</w:t>
      </w:r>
    </w:p>
    <w:tbl>
      <w:tblPr>
        <w:tblStyle w:val="23"/>
        <w:tblW w:w="9457" w:type="dxa"/>
        <w:jc w:val="center"/>
        <w:tblInd w:w="2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0"/>
        <w:gridCol w:w="745"/>
        <w:gridCol w:w="754"/>
        <w:gridCol w:w="681"/>
        <w:gridCol w:w="681"/>
        <w:gridCol w:w="658"/>
        <w:gridCol w:w="1005"/>
        <w:gridCol w:w="1244"/>
        <w:gridCol w:w="916"/>
        <w:gridCol w:w="792"/>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28" w:hRule="atLeast"/>
          <w:jc w:val="center"/>
        </w:trPr>
        <w:tc>
          <w:tcPr>
            <w:tcW w:w="1090" w:type="dxa"/>
            <w:vMerge w:val="restart"/>
            <w:vAlign w:val="center"/>
          </w:tcPr>
          <w:p>
            <w:pPr>
              <w:pStyle w:val="25"/>
              <w:rPr>
                <w:kern w:val="2"/>
                <w:szCs w:val="21"/>
                <w:lang w:val="en-US" w:eastAsia="zh-CN"/>
              </w:rPr>
            </w:pPr>
            <w:r>
              <w:rPr>
                <w:rFonts w:hint="eastAsia"/>
                <w:kern w:val="2"/>
                <w:szCs w:val="21"/>
                <w:lang w:val="en-US" w:eastAsia="zh-CN"/>
              </w:rPr>
              <w:t>物质</w:t>
            </w:r>
          </w:p>
          <w:p>
            <w:pPr>
              <w:pStyle w:val="25"/>
              <w:rPr>
                <w:kern w:val="2"/>
                <w:szCs w:val="21"/>
                <w:lang w:val="en-US" w:eastAsia="zh-CN"/>
              </w:rPr>
            </w:pPr>
            <w:r>
              <w:rPr>
                <w:rFonts w:hint="eastAsia"/>
                <w:kern w:val="2"/>
                <w:szCs w:val="21"/>
                <w:lang w:val="en-US" w:eastAsia="zh-CN"/>
              </w:rPr>
              <w:t>名称</w:t>
            </w:r>
          </w:p>
        </w:tc>
        <w:tc>
          <w:tcPr>
            <w:tcW w:w="745" w:type="dxa"/>
            <w:vMerge w:val="restart"/>
            <w:vAlign w:val="center"/>
          </w:tcPr>
          <w:p>
            <w:pPr>
              <w:pStyle w:val="25"/>
              <w:rPr>
                <w:kern w:val="2"/>
                <w:szCs w:val="21"/>
                <w:lang w:val="en-US" w:eastAsia="zh-CN"/>
              </w:rPr>
            </w:pPr>
            <w:r>
              <w:rPr>
                <w:rFonts w:hint="eastAsia"/>
                <w:kern w:val="2"/>
                <w:szCs w:val="21"/>
                <w:lang w:val="en-US" w:eastAsia="zh-CN"/>
              </w:rPr>
              <w:t>相态</w:t>
            </w:r>
          </w:p>
        </w:tc>
        <w:tc>
          <w:tcPr>
            <w:tcW w:w="754" w:type="dxa"/>
            <w:vMerge w:val="restart"/>
            <w:vAlign w:val="center"/>
          </w:tcPr>
          <w:p>
            <w:pPr>
              <w:pStyle w:val="25"/>
              <w:rPr>
                <w:kern w:val="2"/>
                <w:szCs w:val="21"/>
                <w:lang w:val="en-US" w:eastAsia="zh-CN"/>
              </w:rPr>
            </w:pPr>
            <w:r>
              <w:rPr>
                <w:rFonts w:hint="eastAsia"/>
                <w:kern w:val="2"/>
                <w:szCs w:val="21"/>
                <w:lang w:val="en-US" w:eastAsia="zh-CN"/>
              </w:rPr>
              <w:t>储存方式</w:t>
            </w:r>
          </w:p>
        </w:tc>
        <w:tc>
          <w:tcPr>
            <w:tcW w:w="4269" w:type="dxa"/>
            <w:gridSpan w:val="5"/>
            <w:vAlign w:val="center"/>
          </w:tcPr>
          <w:p>
            <w:pPr>
              <w:pStyle w:val="25"/>
              <w:rPr>
                <w:kern w:val="2"/>
                <w:szCs w:val="21"/>
                <w:lang w:val="en-US" w:eastAsia="zh-CN"/>
              </w:rPr>
            </w:pPr>
            <w:r>
              <w:rPr>
                <w:rFonts w:hint="eastAsia"/>
                <w:kern w:val="2"/>
                <w:szCs w:val="21"/>
                <w:lang w:val="en-US" w:eastAsia="zh-CN"/>
              </w:rPr>
              <w:t>易燃、易爆性</w:t>
            </w:r>
          </w:p>
        </w:tc>
        <w:tc>
          <w:tcPr>
            <w:tcW w:w="2599" w:type="dxa"/>
            <w:gridSpan w:val="3"/>
            <w:vAlign w:val="center"/>
          </w:tcPr>
          <w:p>
            <w:pPr>
              <w:pStyle w:val="25"/>
              <w:rPr>
                <w:kern w:val="2"/>
                <w:szCs w:val="21"/>
                <w:lang w:val="en-US" w:eastAsia="zh-CN"/>
              </w:rPr>
            </w:pPr>
            <w:r>
              <w:rPr>
                <w:rFonts w:hint="eastAsia"/>
                <w:kern w:val="2"/>
                <w:szCs w:val="21"/>
                <w:lang w:val="en-US" w:eastAsia="zh-CN"/>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9" w:hRule="atLeast"/>
          <w:jc w:val="center"/>
        </w:trPr>
        <w:tc>
          <w:tcPr>
            <w:tcW w:w="1090" w:type="dxa"/>
            <w:vMerge w:val="continue"/>
            <w:vAlign w:val="center"/>
          </w:tcPr>
          <w:p>
            <w:pPr>
              <w:pStyle w:val="25"/>
              <w:rPr>
                <w:kern w:val="2"/>
                <w:szCs w:val="21"/>
                <w:lang w:val="en-US" w:eastAsia="zh-CN"/>
              </w:rPr>
            </w:pPr>
          </w:p>
        </w:tc>
        <w:tc>
          <w:tcPr>
            <w:tcW w:w="745" w:type="dxa"/>
            <w:vMerge w:val="continue"/>
            <w:vAlign w:val="center"/>
          </w:tcPr>
          <w:p>
            <w:pPr>
              <w:pStyle w:val="25"/>
              <w:rPr>
                <w:kern w:val="2"/>
                <w:szCs w:val="21"/>
                <w:lang w:val="en-US" w:eastAsia="zh-CN"/>
              </w:rPr>
            </w:pPr>
          </w:p>
        </w:tc>
        <w:tc>
          <w:tcPr>
            <w:tcW w:w="754" w:type="dxa"/>
            <w:vMerge w:val="continue"/>
            <w:vAlign w:val="center"/>
          </w:tcPr>
          <w:p>
            <w:pPr>
              <w:pStyle w:val="25"/>
              <w:rPr>
                <w:kern w:val="2"/>
                <w:szCs w:val="21"/>
                <w:lang w:val="en-US" w:eastAsia="zh-CN"/>
              </w:rPr>
            </w:pPr>
          </w:p>
        </w:tc>
        <w:tc>
          <w:tcPr>
            <w:tcW w:w="681" w:type="dxa"/>
            <w:vAlign w:val="center"/>
          </w:tcPr>
          <w:p>
            <w:pPr>
              <w:pStyle w:val="25"/>
              <w:rPr>
                <w:kern w:val="2"/>
                <w:szCs w:val="21"/>
                <w:lang w:val="en-US" w:eastAsia="zh-CN"/>
              </w:rPr>
            </w:pPr>
            <w:r>
              <w:rPr>
                <w:rFonts w:hint="eastAsia"/>
                <w:kern w:val="2"/>
                <w:szCs w:val="21"/>
                <w:lang w:val="en-US" w:eastAsia="zh-CN"/>
              </w:rPr>
              <w:t>燃点</w:t>
            </w:r>
          </w:p>
          <w:p>
            <w:pPr>
              <w:pStyle w:val="25"/>
              <w:rPr>
                <w:kern w:val="2"/>
                <w:szCs w:val="21"/>
                <w:lang w:val="en-US" w:eastAsia="zh-CN"/>
              </w:rPr>
            </w:pPr>
            <w:r>
              <w:rPr>
                <w:kern w:val="2"/>
                <w:szCs w:val="21"/>
                <w:lang w:val="en-US" w:eastAsia="zh-CN"/>
              </w:rPr>
              <w:t>(</w:t>
            </w:r>
            <w:r>
              <w:rPr>
                <w:rFonts w:hint="eastAsia"/>
                <w:kern w:val="2"/>
                <w:szCs w:val="21"/>
                <w:lang w:val="en-US" w:eastAsia="zh-CN"/>
              </w:rPr>
              <w:t>℃</w:t>
            </w:r>
            <w:r>
              <w:rPr>
                <w:kern w:val="2"/>
                <w:szCs w:val="21"/>
                <w:lang w:val="en-US" w:eastAsia="zh-CN"/>
              </w:rPr>
              <w:t>)</w:t>
            </w:r>
          </w:p>
        </w:tc>
        <w:tc>
          <w:tcPr>
            <w:tcW w:w="681" w:type="dxa"/>
            <w:vAlign w:val="center"/>
          </w:tcPr>
          <w:p>
            <w:pPr>
              <w:pStyle w:val="25"/>
              <w:rPr>
                <w:kern w:val="2"/>
                <w:szCs w:val="21"/>
                <w:lang w:val="en-US" w:eastAsia="zh-CN"/>
              </w:rPr>
            </w:pPr>
            <w:r>
              <w:rPr>
                <w:rFonts w:hint="eastAsia"/>
                <w:kern w:val="2"/>
                <w:szCs w:val="21"/>
                <w:lang w:val="en-US" w:eastAsia="zh-CN"/>
              </w:rPr>
              <w:t>闪点</w:t>
            </w:r>
          </w:p>
          <w:p>
            <w:pPr>
              <w:pStyle w:val="25"/>
              <w:rPr>
                <w:kern w:val="2"/>
                <w:szCs w:val="21"/>
                <w:lang w:val="en-US" w:eastAsia="zh-CN"/>
              </w:rPr>
            </w:pPr>
            <w:r>
              <w:rPr>
                <w:kern w:val="2"/>
                <w:szCs w:val="21"/>
                <w:lang w:val="en-US" w:eastAsia="zh-CN"/>
              </w:rPr>
              <w:t>(</w:t>
            </w:r>
            <w:r>
              <w:rPr>
                <w:rFonts w:hint="eastAsia"/>
                <w:kern w:val="2"/>
                <w:szCs w:val="21"/>
                <w:lang w:val="en-US" w:eastAsia="zh-CN"/>
              </w:rPr>
              <w:t>℃</w:t>
            </w:r>
            <w:r>
              <w:rPr>
                <w:kern w:val="2"/>
                <w:szCs w:val="21"/>
                <w:lang w:val="en-US" w:eastAsia="zh-CN"/>
              </w:rPr>
              <w:t>)</w:t>
            </w:r>
          </w:p>
        </w:tc>
        <w:tc>
          <w:tcPr>
            <w:tcW w:w="658" w:type="dxa"/>
            <w:vAlign w:val="center"/>
          </w:tcPr>
          <w:p>
            <w:pPr>
              <w:pStyle w:val="25"/>
              <w:rPr>
                <w:kern w:val="2"/>
                <w:szCs w:val="21"/>
                <w:lang w:val="en-US" w:eastAsia="zh-CN"/>
              </w:rPr>
            </w:pPr>
            <w:r>
              <w:rPr>
                <w:rFonts w:hint="eastAsia"/>
                <w:kern w:val="2"/>
                <w:szCs w:val="21"/>
                <w:lang w:val="en-US" w:eastAsia="zh-CN"/>
              </w:rPr>
              <w:t>沸点</w:t>
            </w:r>
          </w:p>
          <w:p>
            <w:pPr>
              <w:pStyle w:val="25"/>
              <w:rPr>
                <w:kern w:val="2"/>
                <w:szCs w:val="21"/>
                <w:lang w:val="en-US" w:eastAsia="zh-CN"/>
              </w:rPr>
            </w:pPr>
            <w:r>
              <w:rPr>
                <w:kern w:val="2"/>
                <w:szCs w:val="21"/>
                <w:lang w:val="en-US" w:eastAsia="zh-CN"/>
              </w:rPr>
              <w:t>(</w:t>
            </w:r>
            <w:r>
              <w:rPr>
                <w:rFonts w:hint="eastAsia"/>
                <w:kern w:val="2"/>
                <w:szCs w:val="21"/>
                <w:lang w:val="en-US" w:eastAsia="zh-CN"/>
              </w:rPr>
              <w:t>℃</w:t>
            </w:r>
            <w:r>
              <w:rPr>
                <w:kern w:val="2"/>
                <w:szCs w:val="21"/>
                <w:lang w:val="en-US" w:eastAsia="zh-CN"/>
              </w:rPr>
              <w:t>)</w:t>
            </w:r>
          </w:p>
        </w:tc>
        <w:tc>
          <w:tcPr>
            <w:tcW w:w="1005" w:type="dxa"/>
            <w:vAlign w:val="center"/>
          </w:tcPr>
          <w:p>
            <w:pPr>
              <w:pStyle w:val="25"/>
              <w:rPr>
                <w:kern w:val="2"/>
                <w:szCs w:val="21"/>
                <w:lang w:val="en-US" w:eastAsia="zh-CN"/>
              </w:rPr>
            </w:pPr>
            <w:r>
              <w:rPr>
                <w:rFonts w:hint="eastAsia"/>
                <w:kern w:val="2"/>
                <w:szCs w:val="21"/>
                <w:lang w:val="en-US" w:eastAsia="zh-CN"/>
              </w:rPr>
              <w:t>爆炸极限</w:t>
            </w:r>
            <w:r>
              <w:rPr>
                <w:kern w:val="2"/>
                <w:szCs w:val="21"/>
                <w:lang w:val="en-US" w:eastAsia="zh-CN"/>
              </w:rPr>
              <w:t>%(vol)</w:t>
            </w:r>
          </w:p>
        </w:tc>
        <w:tc>
          <w:tcPr>
            <w:tcW w:w="1244" w:type="dxa"/>
            <w:vAlign w:val="center"/>
          </w:tcPr>
          <w:p>
            <w:pPr>
              <w:pStyle w:val="25"/>
              <w:rPr>
                <w:kern w:val="2"/>
                <w:szCs w:val="21"/>
                <w:lang w:val="en-US" w:eastAsia="zh-CN"/>
              </w:rPr>
            </w:pPr>
            <w:r>
              <w:rPr>
                <w:rFonts w:hint="eastAsia"/>
                <w:kern w:val="2"/>
                <w:szCs w:val="21"/>
                <w:lang w:val="en-US" w:eastAsia="zh-CN"/>
              </w:rPr>
              <w:t>危险</w:t>
            </w:r>
          </w:p>
          <w:p>
            <w:pPr>
              <w:pStyle w:val="25"/>
              <w:rPr>
                <w:kern w:val="2"/>
                <w:szCs w:val="21"/>
                <w:lang w:val="en-US" w:eastAsia="zh-CN"/>
              </w:rPr>
            </w:pPr>
            <w:r>
              <w:rPr>
                <w:rFonts w:hint="eastAsia"/>
                <w:kern w:val="2"/>
                <w:szCs w:val="21"/>
                <w:lang w:val="en-US" w:eastAsia="zh-CN"/>
              </w:rPr>
              <w:t>特性</w:t>
            </w:r>
          </w:p>
        </w:tc>
        <w:tc>
          <w:tcPr>
            <w:tcW w:w="916" w:type="dxa"/>
            <w:vAlign w:val="center"/>
          </w:tcPr>
          <w:p>
            <w:pPr>
              <w:pStyle w:val="25"/>
              <w:rPr>
                <w:kern w:val="2"/>
                <w:szCs w:val="21"/>
                <w:lang w:val="en-US" w:eastAsia="zh-CN"/>
              </w:rPr>
            </w:pPr>
            <w:r>
              <w:rPr>
                <w:kern w:val="2"/>
                <w:szCs w:val="21"/>
                <w:lang w:val="en-US" w:eastAsia="zh-CN"/>
              </w:rPr>
              <w:t xml:space="preserve">LD50 </w:t>
            </w:r>
          </w:p>
          <w:p>
            <w:pPr>
              <w:pStyle w:val="25"/>
              <w:rPr>
                <w:kern w:val="2"/>
                <w:szCs w:val="21"/>
                <w:lang w:val="en-US" w:eastAsia="zh-CN"/>
              </w:rPr>
            </w:pPr>
            <w:r>
              <w:rPr>
                <w:kern w:val="2"/>
                <w:szCs w:val="21"/>
                <w:lang w:val="en-US" w:eastAsia="zh-CN"/>
              </w:rPr>
              <w:t>(mg/kg)</w:t>
            </w:r>
          </w:p>
        </w:tc>
        <w:tc>
          <w:tcPr>
            <w:tcW w:w="792" w:type="dxa"/>
            <w:vAlign w:val="center"/>
          </w:tcPr>
          <w:p>
            <w:pPr>
              <w:pStyle w:val="25"/>
              <w:rPr>
                <w:kern w:val="2"/>
                <w:szCs w:val="21"/>
                <w:lang w:val="en-US" w:eastAsia="zh-CN"/>
              </w:rPr>
            </w:pPr>
            <w:r>
              <w:rPr>
                <w:rFonts w:hint="eastAsia"/>
                <w:kern w:val="2"/>
                <w:szCs w:val="21"/>
                <w:lang w:val="en-US" w:eastAsia="zh-CN"/>
              </w:rPr>
              <w:t>毒物</w:t>
            </w:r>
          </w:p>
          <w:p>
            <w:pPr>
              <w:pStyle w:val="25"/>
              <w:rPr>
                <w:kern w:val="2"/>
                <w:szCs w:val="21"/>
                <w:lang w:val="en-US" w:eastAsia="zh-CN"/>
              </w:rPr>
            </w:pPr>
            <w:r>
              <w:rPr>
                <w:rFonts w:hint="eastAsia"/>
                <w:kern w:val="2"/>
                <w:szCs w:val="21"/>
                <w:lang w:val="en-US" w:eastAsia="zh-CN"/>
              </w:rPr>
              <w:t>分级</w:t>
            </w:r>
          </w:p>
        </w:tc>
        <w:tc>
          <w:tcPr>
            <w:tcW w:w="891" w:type="dxa"/>
            <w:vAlign w:val="center"/>
          </w:tcPr>
          <w:p>
            <w:pPr>
              <w:pStyle w:val="25"/>
              <w:rPr>
                <w:kern w:val="2"/>
                <w:szCs w:val="21"/>
                <w:lang w:val="en-US" w:eastAsia="zh-CN"/>
              </w:rPr>
            </w:pPr>
            <w:r>
              <w:rPr>
                <w:rFonts w:hint="eastAsia"/>
                <w:kern w:val="2"/>
                <w:szCs w:val="21"/>
                <w:lang w:val="en-US" w:eastAsia="zh-CN"/>
              </w:rPr>
              <w:t>危害程度分级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50" w:hRule="atLeast"/>
          <w:jc w:val="center"/>
        </w:trPr>
        <w:tc>
          <w:tcPr>
            <w:tcW w:w="1090" w:type="dxa"/>
            <w:vAlign w:val="center"/>
          </w:tcPr>
          <w:p>
            <w:pPr>
              <w:pStyle w:val="25"/>
              <w:rPr>
                <w:kern w:val="2"/>
                <w:szCs w:val="21"/>
                <w:lang w:val="en-US" w:eastAsia="zh-CN"/>
              </w:rPr>
            </w:pPr>
            <w:r>
              <w:rPr>
                <w:rFonts w:hint="eastAsia"/>
                <w:kern w:val="2"/>
                <w:szCs w:val="21"/>
                <w:lang w:val="en-US" w:eastAsia="zh-CN"/>
              </w:rPr>
              <w:t>硫化碱</w:t>
            </w:r>
          </w:p>
        </w:tc>
        <w:tc>
          <w:tcPr>
            <w:tcW w:w="745" w:type="dxa"/>
            <w:vAlign w:val="center"/>
          </w:tcPr>
          <w:p>
            <w:pPr>
              <w:pStyle w:val="25"/>
              <w:rPr>
                <w:kern w:val="2"/>
                <w:szCs w:val="21"/>
                <w:lang w:val="en-US" w:eastAsia="zh-CN"/>
              </w:rPr>
            </w:pPr>
            <w:r>
              <w:rPr>
                <w:rFonts w:hint="eastAsia"/>
                <w:kern w:val="2"/>
                <w:szCs w:val="21"/>
                <w:lang w:val="en-US" w:eastAsia="zh-CN"/>
              </w:rPr>
              <w:t>固</w:t>
            </w:r>
          </w:p>
        </w:tc>
        <w:tc>
          <w:tcPr>
            <w:tcW w:w="754" w:type="dxa"/>
            <w:vAlign w:val="center"/>
          </w:tcPr>
          <w:p>
            <w:pPr>
              <w:pStyle w:val="25"/>
              <w:rPr>
                <w:kern w:val="2"/>
                <w:szCs w:val="21"/>
                <w:lang w:val="en-US" w:eastAsia="zh-CN"/>
              </w:rPr>
            </w:pPr>
            <w:r>
              <w:rPr>
                <w:rFonts w:hint="eastAsia"/>
                <w:kern w:val="2"/>
                <w:szCs w:val="21"/>
                <w:lang w:val="en-US" w:eastAsia="zh-CN"/>
              </w:rPr>
              <w:t>袋装</w:t>
            </w:r>
          </w:p>
        </w:tc>
        <w:tc>
          <w:tcPr>
            <w:tcW w:w="681" w:type="dxa"/>
            <w:vAlign w:val="center"/>
          </w:tcPr>
          <w:p>
            <w:pPr>
              <w:pStyle w:val="25"/>
              <w:rPr>
                <w:kern w:val="2"/>
                <w:szCs w:val="21"/>
                <w:lang w:val="en-US" w:eastAsia="zh-CN"/>
              </w:rPr>
            </w:pPr>
            <w:r>
              <w:rPr>
                <w:rFonts w:hint="eastAsia"/>
                <w:kern w:val="2"/>
                <w:szCs w:val="21"/>
                <w:lang w:val="en-US" w:eastAsia="zh-CN"/>
              </w:rPr>
              <w:t>－</w:t>
            </w:r>
          </w:p>
        </w:tc>
        <w:tc>
          <w:tcPr>
            <w:tcW w:w="681" w:type="dxa"/>
            <w:vAlign w:val="center"/>
          </w:tcPr>
          <w:p>
            <w:pPr>
              <w:pStyle w:val="25"/>
              <w:rPr>
                <w:kern w:val="2"/>
                <w:szCs w:val="21"/>
                <w:lang w:val="en-US" w:eastAsia="zh-CN"/>
              </w:rPr>
            </w:pPr>
            <w:r>
              <w:rPr>
                <w:rFonts w:hint="eastAsia"/>
                <w:kern w:val="2"/>
                <w:szCs w:val="21"/>
                <w:lang w:val="en-US" w:eastAsia="zh-CN"/>
              </w:rPr>
              <w:t>－</w:t>
            </w:r>
          </w:p>
        </w:tc>
        <w:tc>
          <w:tcPr>
            <w:tcW w:w="658" w:type="dxa"/>
            <w:vAlign w:val="center"/>
          </w:tcPr>
          <w:p>
            <w:pPr>
              <w:pStyle w:val="25"/>
              <w:rPr>
                <w:kern w:val="2"/>
                <w:szCs w:val="21"/>
                <w:lang w:val="en-US" w:eastAsia="zh-CN"/>
              </w:rPr>
            </w:pPr>
            <w:r>
              <w:rPr>
                <w:kern w:val="2"/>
                <w:szCs w:val="21"/>
                <w:lang w:val="en-US" w:eastAsia="zh-CN"/>
              </w:rPr>
              <w:t>-</w:t>
            </w:r>
          </w:p>
        </w:tc>
        <w:tc>
          <w:tcPr>
            <w:tcW w:w="1005" w:type="dxa"/>
            <w:vAlign w:val="center"/>
          </w:tcPr>
          <w:p>
            <w:pPr>
              <w:pStyle w:val="25"/>
              <w:rPr>
                <w:kern w:val="2"/>
                <w:szCs w:val="21"/>
                <w:lang w:val="en-US" w:eastAsia="zh-CN"/>
              </w:rPr>
            </w:pPr>
            <w:r>
              <w:rPr>
                <w:rFonts w:hint="eastAsia"/>
                <w:kern w:val="2"/>
                <w:szCs w:val="21"/>
                <w:lang w:val="en-US" w:eastAsia="zh-CN"/>
              </w:rPr>
              <w:t>－</w:t>
            </w:r>
          </w:p>
        </w:tc>
        <w:tc>
          <w:tcPr>
            <w:tcW w:w="1244" w:type="dxa"/>
            <w:vAlign w:val="center"/>
          </w:tcPr>
          <w:p>
            <w:pPr>
              <w:pStyle w:val="25"/>
              <w:rPr>
                <w:kern w:val="2"/>
                <w:szCs w:val="21"/>
                <w:lang w:val="en-US" w:eastAsia="zh-CN"/>
              </w:rPr>
            </w:pPr>
            <w:r>
              <w:rPr>
                <w:rFonts w:hint="eastAsia"/>
                <w:kern w:val="2"/>
                <w:szCs w:val="21"/>
                <w:lang w:val="en-US" w:eastAsia="zh-CN"/>
              </w:rPr>
              <w:t>易燃、腐蚀性</w:t>
            </w:r>
          </w:p>
        </w:tc>
        <w:tc>
          <w:tcPr>
            <w:tcW w:w="916" w:type="dxa"/>
            <w:vAlign w:val="center"/>
          </w:tcPr>
          <w:p>
            <w:pPr>
              <w:pStyle w:val="25"/>
              <w:rPr>
                <w:kern w:val="2"/>
                <w:szCs w:val="21"/>
                <w:lang w:val="en-US" w:eastAsia="zh-CN"/>
              </w:rPr>
            </w:pPr>
            <w:r>
              <w:rPr>
                <w:rFonts w:hint="eastAsia"/>
                <w:kern w:val="2"/>
                <w:szCs w:val="21"/>
                <w:lang w:val="en-US" w:eastAsia="zh-CN"/>
              </w:rPr>
              <w:t>－</w:t>
            </w:r>
          </w:p>
        </w:tc>
        <w:tc>
          <w:tcPr>
            <w:tcW w:w="792" w:type="dxa"/>
            <w:vAlign w:val="center"/>
          </w:tcPr>
          <w:p>
            <w:pPr>
              <w:pStyle w:val="25"/>
              <w:rPr>
                <w:kern w:val="2"/>
                <w:szCs w:val="21"/>
                <w:lang w:val="en-US" w:eastAsia="zh-CN"/>
              </w:rPr>
            </w:pPr>
            <w:r>
              <w:rPr>
                <w:rFonts w:hint="eastAsia"/>
                <w:kern w:val="2"/>
                <w:szCs w:val="21"/>
                <w:lang w:val="en-US" w:eastAsia="zh-CN"/>
              </w:rPr>
              <w:t>－</w:t>
            </w:r>
          </w:p>
        </w:tc>
        <w:tc>
          <w:tcPr>
            <w:tcW w:w="891" w:type="dxa"/>
            <w:vAlign w:val="center"/>
          </w:tcPr>
          <w:p>
            <w:pPr>
              <w:pStyle w:val="25"/>
              <w:rPr>
                <w:kern w:val="2"/>
                <w:szCs w:val="21"/>
                <w:lang w:val="en-US" w:eastAsia="zh-CN"/>
              </w:rPr>
            </w:pPr>
            <w:r>
              <w:rPr>
                <w:rFonts w:hint="eastAsia"/>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50" w:hRule="atLeast"/>
          <w:jc w:val="center"/>
        </w:trPr>
        <w:tc>
          <w:tcPr>
            <w:tcW w:w="1090" w:type="dxa"/>
            <w:vAlign w:val="center"/>
          </w:tcPr>
          <w:p>
            <w:pPr>
              <w:pStyle w:val="25"/>
              <w:rPr>
                <w:kern w:val="2"/>
                <w:szCs w:val="21"/>
                <w:lang w:val="en-US" w:eastAsia="zh-CN"/>
              </w:rPr>
            </w:pPr>
            <w:r>
              <w:rPr>
                <w:rFonts w:hint="eastAsia"/>
                <w:kern w:val="2"/>
                <w:szCs w:val="21"/>
                <w:lang w:val="en-US" w:eastAsia="zh-CN"/>
              </w:rPr>
              <w:t>醋酸</w:t>
            </w:r>
          </w:p>
        </w:tc>
        <w:tc>
          <w:tcPr>
            <w:tcW w:w="745" w:type="dxa"/>
            <w:vAlign w:val="center"/>
          </w:tcPr>
          <w:p>
            <w:pPr>
              <w:pStyle w:val="25"/>
              <w:rPr>
                <w:kern w:val="2"/>
                <w:szCs w:val="21"/>
                <w:lang w:val="en-US" w:eastAsia="zh-CN"/>
              </w:rPr>
            </w:pPr>
            <w:r>
              <w:rPr>
                <w:rFonts w:hint="eastAsia"/>
                <w:kern w:val="2"/>
                <w:szCs w:val="21"/>
                <w:lang w:val="en-US" w:eastAsia="zh-CN"/>
              </w:rPr>
              <w:t>液</w:t>
            </w:r>
          </w:p>
        </w:tc>
        <w:tc>
          <w:tcPr>
            <w:tcW w:w="754" w:type="dxa"/>
            <w:vAlign w:val="center"/>
          </w:tcPr>
          <w:p>
            <w:pPr>
              <w:pStyle w:val="25"/>
              <w:rPr>
                <w:kern w:val="2"/>
                <w:szCs w:val="21"/>
                <w:lang w:val="en-US" w:eastAsia="zh-CN"/>
              </w:rPr>
            </w:pPr>
            <w:r>
              <w:rPr>
                <w:rFonts w:hint="eastAsia"/>
                <w:kern w:val="2"/>
                <w:szCs w:val="21"/>
                <w:lang w:val="en-US" w:eastAsia="zh-CN"/>
              </w:rPr>
              <w:t>桶装</w:t>
            </w:r>
          </w:p>
        </w:tc>
        <w:tc>
          <w:tcPr>
            <w:tcW w:w="681" w:type="dxa"/>
            <w:vAlign w:val="center"/>
          </w:tcPr>
          <w:p>
            <w:pPr>
              <w:pStyle w:val="25"/>
              <w:rPr>
                <w:kern w:val="2"/>
                <w:szCs w:val="21"/>
                <w:lang w:val="en-US" w:eastAsia="zh-CN"/>
              </w:rPr>
            </w:pPr>
            <w:r>
              <w:rPr>
                <w:rFonts w:hint="eastAsia"/>
                <w:kern w:val="2"/>
                <w:szCs w:val="21"/>
                <w:lang w:val="en-US" w:eastAsia="zh-CN"/>
              </w:rPr>
              <w:t>－</w:t>
            </w:r>
          </w:p>
        </w:tc>
        <w:tc>
          <w:tcPr>
            <w:tcW w:w="681" w:type="dxa"/>
            <w:vAlign w:val="center"/>
          </w:tcPr>
          <w:p>
            <w:pPr>
              <w:pStyle w:val="25"/>
              <w:rPr>
                <w:kern w:val="2"/>
                <w:szCs w:val="21"/>
                <w:lang w:val="en-US" w:eastAsia="zh-CN"/>
              </w:rPr>
            </w:pPr>
            <w:r>
              <w:rPr>
                <w:kern w:val="2"/>
                <w:szCs w:val="21"/>
                <w:lang w:val="en-US" w:eastAsia="zh-CN"/>
              </w:rPr>
              <w:t>39</w:t>
            </w:r>
          </w:p>
        </w:tc>
        <w:tc>
          <w:tcPr>
            <w:tcW w:w="658" w:type="dxa"/>
            <w:vAlign w:val="center"/>
          </w:tcPr>
          <w:p>
            <w:pPr>
              <w:pStyle w:val="25"/>
              <w:rPr>
                <w:kern w:val="2"/>
                <w:szCs w:val="21"/>
                <w:lang w:val="en-US" w:eastAsia="zh-CN"/>
              </w:rPr>
            </w:pPr>
            <w:r>
              <w:rPr>
                <w:kern w:val="2"/>
                <w:szCs w:val="21"/>
                <w:lang w:val="en-US" w:eastAsia="zh-CN"/>
              </w:rPr>
              <w:t>118.1</w:t>
            </w:r>
          </w:p>
        </w:tc>
        <w:tc>
          <w:tcPr>
            <w:tcW w:w="1005" w:type="dxa"/>
            <w:vAlign w:val="center"/>
          </w:tcPr>
          <w:p>
            <w:pPr>
              <w:pStyle w:val="25"/>
              <w:rPr>
                <w:kern w:val="2"/>
                <w:szCs w:val="21"/>
                <w:lang w:val="en-US" w:eastAsia="zh-CN"/>
              </w:rPr>
            </w:pPr>
            <w:r>
              <w:rPr>
                <w:kern w:val="2"/>
                <w:szCs w:val="21"/>
                <w:lang w:val="en-US" w:eastAsia="zh-CN"/>
              </w:rPr>
              <w:t>4.0</w:t>
            </w:r>
            <w:r>
              <w:rPr>
                <w:rFonts w:hint="eastAsia"/>
                <w:kern w:val="2"/>
                <w:szCs w:val="21"/>
                <w:lang w:val="en-US" w:eastAsia="zh-CN"/>
              </w:rPr>
              <w:t>～</w:t>
            </w:r>
            <w:r>
              <w:rPr>
                <w:kern w:val="2"/>
                <w:szCs w:val="21"/>
                <w:lang w:val="en-US" w:eastAsia="zh-CN"/>
              </w:rPr>
              <w:t>17.0</w:t>
            </w:r>
          </w:p>
        </w:tc>
        <w:tc>
          <w:tcPr>
            <w:tcW w:w="1244" w:type="dxa"/>
            <w:vAlign w:val="center"/>
          </w:tcPr>
          <w:p>
            <w:pPr>
              <w:pStyle w:val="25"/>
              <w:rPr>
                <w:kern w:val="2"/>
                <w:szCs w:val="21"/>
                <w:lang w:val="en-US" w:eastAsia="zh-CN"/>
              </w:rPr>
            </w:pPr>
            <w:r>
              <w:rPr>
                <w:rFonts w:hint="eastAsia"/>
                <w:kern w:val="2"/>
                <w:szCs w:val="21"/>
                <w:lang w:val="en-US" w:eastAsia="zh-CN"/>
              </w:rPr>
              <w:t>可燃可爆</w:t>
            </w:r>
          </w:p>
        </w:tc>
        <w:tc>
          <w:tcPr>
            <w:tcW w:w="916" w:type="dxa"/>
            <w:vAlign w:val="center"/>
          </w:tcPr>
          <w:p>
            <w:pPr>
              <w:pStyle w:val="25"/>
              <w:rPr>
                <w:kern w:val="2"/>
                <w:szCs w:val="21"/>
                <w:lang w:val="en-US" w:eastAsia="zh-CN"/>
              </w:rPr>
            </w:pPr>
            <w:r>
              <w:rPr>
                <w:kern w:val="2"/>
                <w:szCs w:val="21"/>
                <w:lang w:val="en-US" w:eastAsia="zh-CN"/>
              </w:rPr>
              <w:t>3530</w:t>
            </w:r>
          </w:p>
        </w:tc>
        <w:tc>
          <w:tcPr>
            <w:tcW w:w="792" w:type="dxa"/>
            <w:vAlign w:val="center"/>
          </w:tcPr>
          <w:p>
            <w:pPr>
              <w:pStyle w:val="25"/>
              <w:rPr>
                <w:kern w:val="2"/>
                <w:szCs w:val="21"/>
                <w:lang w:val="en-US" w:eastAsia="zh-CN"/>
              </w:rPr>
            </w:pPr>
            <w:r>
              <w:rPr>
                <w:rFonts w:hint="eastAsia"/>
                <w:kern w:val="2"/>
                <w:szCs w:val="21"/>
                <w:lang w:val="en-US" w:eastAsia="zh-CN"/>
              </w:rPr>
              <w:t>低毒</w:t>
            </w:r>
          </w:p>
        </w:tc>
        <w:tc>
          <w:tcPr>
            <w:tcW w:w="891" w:type="dxa"/>
            <w:vAlign w:val="center"/>
          </w:tcPr>
          <w:p>
            <w:pPr>
              <w:pStyle w:val="25"/>
              <w:rPr>
                <w:kern w:val="2"/>
                <w:szCs w:val="21"/>
                <w:lang w:val="en-US" w:eastAsia="zh-CN"/>
              </w:rPr>
            </w:pPr>
            <w:r>
              <w:rPr>
                <w:kern w:val="2"/>
                <w:szCs w:val="21"/>
                <w:lang w:val="en-US" w:eastAsia="zh-CN"/>
              </w:rPr>
              <w:t>III</w:t>
            </w:r>
          </w:p>
        </w:tc>
      </w:tr>
    </w:tbl>
    <w:p>
      <w:pPr>
        <w:ind w:firstLine="480"/>
        <w:jc w:val="left"/>
      </w:pPr>
      <w:r>
        <w:rPr>
          <w:rFonts w:hint="eastAsia"/>
        </w:rPr>
        <w:t>由表</w:t>
      </w:r>
      <w:r>
        <w:t xml:space="preserve">8.1-3 </w:t>
      </w:r>
      <w:r>
        <w:rPr>
          <w:rFonts w:hint="eastAsia"/>
        </w:rPr>
        <w:t>可见，本项目醋酸为</w:t>
      </w:r>
      <w:r>
        <w:t>III</w:t>
      </w:r>
      <w:r>
        <w:rPr>
          <w:rFonts w:hint="eastAsia"/>
        </w:rPr>
        <w:t>级中度危害。总体上看，企业所使用的物料毒性不大。醋酸为可燃液体，企业使用的醋酸数量较少，爆炸的概率较小。因此，总体上看拟建项目存在火灾和爆炸风险较小。片碱具有腐蚀性，采用室内袋装贮存，风险可控。</w:t>
      </w:r>
    </w:p>
    <w:p>
      <w:pPr>
        <w:pStyle w:val="4"/>
      </w:pPr>
      <w:r>
        <w:rPr>
          <w:rFonts w:hint="eastAsia"/>
        </w:rPr>
        <w:t>潜在危险性分析</w:t>
      </w:r>
    </w:p>
    <w:p>
      <w:pPr>
        <w:ind w:firstLine="480"/>
      </w:pPr>
      <w:r>
        <w:rPr>
          <w:rFonts w:hint="eastAsia"/>
        </w:rPr>
        <w:t>本次事故风险评价不考虑工程外部事故风险因素（如地震、雷电等自然灾害以及战争、人为蓄意破坏等）。</w:t>
      </w:r>
    </w:p>
    <w:p>
      <w:pPr>
        <w:ind w:firstLine="480"/>
      </w:pPr>
      <w:r>
        <w:rPr>
          <w:rFonts w:hint="eastAsia"/>
        </w:rPr>
        <w:t>一、过程环境风险辨识</w:t>
      </w:r>
    </w:p>
    <w:p>
      <w:pPr>
        <w:ind w:firstLine="480"/>
      </w:pPr>
      <w:r>
        <w:rPr>
          <w:rFonts w:hint="eastAsia"/>
        </w:rPr>
        <w:t>本项目建成运行后存在潜在事故风险，主要表现在以下几个方面：</w:t>
      </w:r>
    </w:p>
    <w:p>
      <w:pPr>
        <w:ind w:firstLine="480"/>
      </w:pPr>
      <w:r>
        <w:t>1</w:t>
      </w:r>
      <w:r>
        <w:rPr>
          <w:rFonts w:hint="eastAsia"/>
        </w:rPr>
        <w:t>、生产过程环境风险辨识</w:t>
      </w:r>
    </w:p>
    <w:p>
      <w:pPr>
        <w:ind w:firstLine="480"/>
      </w:pPr>
      <w:r>
        <w:t>(1)</w:t>
      </w:r>
      <w:r>
        <w:rPr>
          <w:rFonts w:hint="eastAsia"/>
        </w:rPr>
        <w:t>大气污染事故风险</w:t>
      </w:r>
    </w:p>
    <w:p>
      <w:pPr>
        <w:ind w:firstLine="480"/>
      </w:pPr>
      <w:r>
        <w:rPr>
          <w:rFonts w:hint="eastAsia"/>
        </w:rPr>
        <w:t>①在生产使用过程中因设备泄漏或操作不当等原因容易造成泄漏；</w:t>
      </w:r>
    </w:p>
    <w:p>
      <w:pPr>
        <w:ind w:firstLine="480"/>
      </w:pPr>
      <w:r>
        <w:rPr>
          <w:rFonts w:hint="eastAsia"/>
        </w:rPr>
        <w:t>②本项目的助剂具有一定的爆炸危险，生产车间排气不顺畅，一旦车间内浓度达到爆炸极限，遇火星即造成燃烧甚至爆炸事故，从而可能对周边生产设施造成破坏性影响，并造成二次污染事件。</w:t>
      </w:r>
    </w:p>
    <w:p>
      <w:pPr>
        <w:ind w:firstLine="480"/>
      </w:pPr>
      <w:r>
        <w:t>(2)</w:t>
      </w:r>
      <w:r>
        <w:rPr>
          <w:rFonts w:hint="eastAsia"/>
        </w:rPr>
        <w:t>水污染事故风险</w:t>
      </w:r>
    </w:p>
    <w:p>
      <w:pPr>
        <w:ind w:firstLine="480"/>
      </w:pPr>
      <w:r>
        <w:rPr>
          <w:rFonts w:hint="eastAsia"/>
        </w:rPr>
        <w:t>根据分析，本项目生产过程中的水污染事故主要是由于各种原因造成的综合废水未经任何处理，直接排入污水管网，或排水管出现问题废水直接排入环境，对周边水环境水质造成较大影响。</w:t>
      </w:r>
    </w:p>
    <w:p>
      <w:pPr>
        <w:ind w:firstLine="480"/>
      </w:pPr>
      <w:r>
        <w:t>2</w:t>
      </w:r>
      <w:r>
        <w:rPr>
          <w:rFonts w:hint="eastAsia"/>
        </w:rPr>
        <w:t>、公用工程环境风险辨识</w:t>
      </w:r>
    </w:p>
    <w:p>
      <w:pPr>
        <w:ind w:firstLine="480"/>
      </w:pPr>
      <w:r>
        <w:t>(1)</w:t>
      </w:r>
      <w:r>
        <w:rPr>
          <w:rFonts w:hint="eastAsia"/>
        </w:rPr>
        <w:t>大气污染事故风险</w:t>
      </w:r>
    </w:p>
    <w:p>
      <w:pPr>
        <w:ind w:firstLine="480"/>
      </w:pPr>
      <w:r>
        <w:rPr>
          <w:rFonts w:hint="eastAsia"/>
        </w:rPr>
        <w:t>公用工程主要是污水处理、废气处理、冷却水系统、供热系统等。一般来说，污水处理站、冷却水系统发生大气污染可能性不大，本项目定型工段产生定型废气，如定型废气处理设备发生故障，将造成超标废气排放。</w:t>
      </w:r>
    </w:p>
    <w:p>
      <w:pPr>
        <w:ind w:firstLine="480"/>
      </w:pPr>
      <w:r>
        <w:t>(2)</w:t>
      </w:r>
      <w:r>
        <w:rPr>
          <w:rFonts w:hint="eastAsia"/>
        </w:rPr>
        <w:t>水污染事故风险</w:t>
      </w:r>
    </w:p>
    <w:p>
      <w:pPr>
        <w:ind w:firstLine="480"/>
      </w:pPr>
      <w:r>
        <w:rPr>
          <w:rFonts w:hint="eastAsia"/>
        </w:rPr>
        <w:t>本工程的污水处理系统出故障，分析原因主要有停电、处理设施故障，污水处理效率下降或污水处理设施停止运转；将会使超标的污水直接排入污水管网，对集中污水预处理厂的正常运行产生冲击。</w:t>
      </w:r>
    </w:p>
    <w:p>
      <w:pPr>
        <w:ind w:firstLine="480"/>
      </w:pPr>
      <w:r>
        <w:rPr>
          <w:rFonts w:hint="eastAsia"/>
        </w:rPr>
        <w:t>二、重大危险源识别</w:t>
      </w:r>
    </w:p>
    <w:p>
      <w:pPr>
        <w:ind w:firstLine="480"/>
      </w:pPr>
      <w:r>
        <w:rPr>
          <w:rFonts w:hint="eastAsia"/>
        </w:rPr>
        <w:t>根据国家标准《危险化学品重大危险源辨识》</w:t>
      </w:r>
      <w:r>
        <w:t>(GB18218-2009)</w:t>
      </w:r>
      <w:r>
        <w:rPr>
          <w:rFonts w:hint="eastAsia"/>
        </w:rPr>
        <w:t>，对本项目进行重大危险源辨识，以下是重大危险源辨识过程中几个相关概念：</w:t>
      </w:r>
    </w:p>
    <w:p>
      <w:pPr>
        <w:ind w:firstLine="480"/>
      </w:pPr>
      <w:r>
        <w:rPr>
          <w:rFonts w:hint="eastAsia"/>
        </w:rPr>
        <w:t>（</w:t>
      </w:r>
      <w:r>
        <w:t>1</w:t>
      </w:r>
      <w:r>
        <w:rPr>
          <w:rFonts w:hint="eastAsia"/>
        </w:rPr>
        <w:t>）重大危险源是指长期地或临时地生产、加工、搬运、使用或储存危险物质，且危险物质的数量等于或超过临界量的单元。辨识依据是物质的危险特性及其数量。</w:t>
      </w:r>
    </w:p>
    <w:p>
      <w:pPr>
        <w:ind w:firstLine="480"/>
      </w:pPr>
      <w:r>
        <w:rPr>
          <w:rFonts w:hint="eastAsia"/>
        </w:rPr>
        <w:t>（</w:t>
      </w:r>
      <w:r>
        <w:t>2</w:t>
      </w:r>
      <w:r>
        <w:rPr>
          <w:rFonts w:hint="eastAsia"/>
        </w:rPr>
        <w:t>）单元是指一个（套）生产装置、设施或场所，或同属一个工厂的且边缘距离小于</w:t>
      </w:r>
      <w:r>
        <w:t>500m</w:t>
      </w:r>
      <w:r>
        <w:rPr>
          <w:rFonts w:hint="eastAsia"/>
        </w:rPr>
        <w:t>的几个（套）生产装置、设施或场所。</w:t>
      </w:r>
    </w:p>
    <w:p>
      <w:pPr>
        <w:ind w:firstLine="480"/>
      </w:pPr>
      <w:r>
        <w:rPr>
          <w:rFonts w:hint="eastAsia"/>
        </w:rPr>
        <w:t>（</w:t>
      </w:r>
      <w:r>
        <w:t>3</w:t>
      </w:r>
      <w:r>
        <w:rPr>
          <w:rFonts w:hint="eastAsia"/>
        </w:rPr>
        <w:t>）重大危险源分类：生产场所重大危险源和储存区重大危险源两种。其中生产场所指危险物质的生产、加工及使用等的场所，包括生产、加工使用等过程中的中间贮罐存放区及半成品、成品的周转仓库；贮存区指专门用于贮存危险物质的贮罐或仓库组成相对独立的区域。</w:t>
      </w:r>
    </w:p>
    <w:p>
      <w:pPr>
        <w:ind w:firstLine="480"/>
      </w:pPr>
      <w:r>
        <w:rPr>
          <w:rFonts w:hint="eastAsia"/>
        </w:rPr>
        <w:t>单元内存在的危险物质为多品种时，根据《危险化学品重大危险源辨识》</w:t>
      </w:r>
      <w:r>
        <w:t>(GB18218-2009)</w:t>
      </w:r>
      <w:r>
        <w:rPr>
          <w:rFonts w:hint="eastAsia"/>
        </w:rPr>
        <w:t>中规定，采取以下的计算式来判断是否属于重大危险源。</w:t>
      </w:r>
    </w:p>
    <w:p>
      <w:pPr>
        <w:ind w:firstLine="480"/>
      </w:pPr>
      <w:r>
        <w:rPr>
          <w:rFonts w:hint="eastAsia"/>
        </w:rPr>
        <w:t>∑（</w:t>
      </w:r>
      <w:r>
        <w:t>qi/Qi</w:t>
      </w:r>
      <w:r>
        <w:rPr>
          <w:rFonts w:hint="eastAsia"/>
        </w:rPr>
        <w:t>）</w:t>
      </w:r>
      <w:r>
        <w:t>=q1/Q1+q2/Q2+</w:t>
      </w:r>
      <w:r>
        <w:rPr>
          <w:rFonts w:hint="eastAsia"/>
        </w:rPr>
        <w:t>…</w:t>
      </w:r>
      <w:r>
        <w:t>+ qn/Qn</w:t>
      </w:r>
      <w:r>
        <w:rPr>
          <w:rFonts w:hint="eastAsia"/>
        </w:rPr>
        <w:t>≥</w:t>
      </w:r>
      <w:r>
        <w:t>1</w:t>
      </w:r>
      <w:r>
        <w:rPr>
          <w:rFonts w:hint="eastAsia"/>
        </w:rPr>
        <w:t>则为重大危险源，反之则不是。</w:t>
      </w:r>
    </w:p>
    <w:p>
      <w:pPr>
        <w:ind w:firstLine="480"/>
      </w:pPr>
      <w:r>
        <w:rPr>
          <w:rFonts w:hint="eastAsia"/>
        </w:rPr>
        <w:t>其中</w:t>
      </w:r>
      <w:r>
        <w:t>q1</w:t>
      </w:r>
      <w:r>
        <w:rPr>
          <w:rFonts w:hint="eastAsia"/>
        </w:rPr>
        <w:t>，</w:t>
      </w:r>
      <w:r>
        <w:t>q2</w:t>
      </w:r>
      <w:r>
        <w:rPr>
          <w:rFonts w:hint="eastAsia"/>
        </w:rPr>
        <w:t>…</w:t>
      </w:r>
      <w:r>
        <w:t>qn——</w:t>
      </w:r>
      <w:r>
        <w:rPr>
          <w:rFonts w:hint="eastAsia"/>
        </w:rPr>
        <w:t>每种危险物实际存在量</w:t>
      </w:r>
      <w:r>
        <w:t>(</w:t>
      </w:r>
      <w:r>
        <w:rPr>
          <w:rFonts w:hint="eastAsia"/>
        </w:rPr>
        <w:t>吨</w:t>
      </w:r>
      <w:r>
        <w:t>)</w:t>
      </w:r>
    </w:p>
    <w:p>
      <w:pPr>
        <w:ind w:firstLine="480"/>
      </w:pPr>
      <w:r>
        <w:t xml:space="preserve">     Q1</w:t>
      </w:r>
      <w:r>
        <w:rPr>
          <w:rFonts w:hint="eastAsia"/>
        </w:rPr>
        <w:t>，</w:t>
      </w:r>
      <w:r>
        <w:t>Q2</w:t>
      </w:r>
      <w:r>
        <w:rPr>
          <w:rFonts w:hint="eastAsia"/>
        </w:rPr>
        <w:t>…</w:t>
      </w:r>
      <w:r>
        <w:t>Qn——</w:t>
      </w:r>
      <w:r>
        <w:rPr>
          <w:rFonts w:hint="eastAsia"/>
        </w:rPr>
        <w:t>与各种危险物质相对应的临界量</w:t>
      </w:r>
      <w:r>
        <w:t>(</w:t>
      </w:r>
      <w:r>
        <w:rPr>
          <w:rFonts w:hint="eastAsia"/>
        </w:rPr>
        <w:t>吨</w:t>
      </w:r>
      <w:r>
        <w:t>)</w:t>
      </w:r>
      <w:r>
        <w:rPr>
          <w:rFonts w:hint="eastAsia"/>
        </w:rPr>
        <w:t>。</w:t>
      </w:r>
    </w:p>
    <w:p>
      <w:pPr>
        <w:ind w:firstLine="480"/>
      </w:pPr>
      <w:r>
        <w:rPr>
          <w:rFonts w:hint="eastAsia"/>
        </w:rPr>
        <w:t>本项目涉及物料的使用情况见表</w:t>
      </w:r>
      <w:r>
        <w:t>8.1-4</w:t>
      </w:r>
      <w:r>
        <w:rPr>
          <w:rFonts w:hint="eastAsia"/>
        </w:rPr>
        <w:t>。</w:t>
      </w:r>
    </w:p>
    <w:p>
      <w:pPr>
        <w:pStyle w:val="25"/>
        <w:rPr>
          <w:b/>
          <w:bCs/>
        </w:rPr>
      </w:pPr>
      <w:r>
        <w:rPr>
          <w:rFonts w:hint="eastAsia"/>
          <w:b/>
          <w:bCs/>
        </w:rPr>
        <w:t>表</w:t>
      </w:r>
      <w:r>
        <w:rPr>
          <w:b/>
          <w:bCs/>
        </w:rPr>
        <w:t xml:space="preserve">8.1-4    </w:t>
      </w:r>
      <w:r>
        <w:rPr>
          <w:rFonts w:hint="eastAsia"/>
          <w:b/>
          <w:bCs/>
        </w:rPr>
        <w:t>危险物质使用情况</w:t>
      </w:r>
    </w:p>
    <w:tbl>
      <w:tblPr>
        <w:tblStyle w:val="23"/>
        <w:tblW w:w="9098" w:type="dxa"/>
        <w:jc w:val="center"/>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412"/>
        <w:gridCol w:w="1542"/>
        <w:gridCol w:w="1821"/>
        <w:gridCol w:w="1640"/>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0" w:hRule="atLeast"/>
          <w:jc w:val="center"/>
        </w:trPr>
        <w:tc>
          <w:tcPr>
            <w:tcW w:w="1431" w:type="dxa"/>
            <w:vAlign w:val="center"/>
          </w:tcPr>
          <w:p>
            <w:pPr>
              <w:pStyle w:val="25"/>
              <w:rPr>
                <w:kern w:val="2"/>
                <w:szCs w:val="21"/>
                <w:lang w:val="en-US" w:eastAsia="zh-CN"/>
              </w:rPr>
            </w:pPr>
            <w:r>
              <w:rPr>
                <w:rFonts w:hint="eastAsia"/>
                <w:kern w:val="2"/>
                <w:szCs w:val="21"/>
                <w:lang w:val="en-US" w:eastAsia="zh-CN"/>
              </w:rPr>
              <w:t>物质名称</w:t>
            </w:r>
          </w:p>
        </w:tc>
        <w:tc>
          <w:tcPr>
            <w:tcW w:w="1412" w:type="dxa"/>
            <w:vAlign w:val="center"/>
          </w:tcPr>
          <w:p>
            <w:pPr>
              <w:pStyle w:val="25"/>
              <w:rPr>
                <w:kern w:val="2"/>
                <w:szCs w:val="21"/>
                <w:lang w:val="en-US" w:eastAsia="zh-CN"/>
              </w:rPr>
            </w:pPr>
            <w:r>
              <w:rPr>
                <w:rFonts w:hint="eastAsia"/>
                <w:kern w:val="2"/>
                <w:szCs w:val="21"/>
                <w:lang w:val="en-US" w:eastAsia="zh-CN"/>
              </w:rPr>
              <w:t>全年使用量</w:t>
            </w:r>
            <w:r>
              <w:rPr>
                <w:kern w:val="2"/>
                <w:szCs w:val="21"/>
                <w:lang w:val="en-US" w:eastAsia="zh-CN"/>
              </w:rPr>
              <w:t>(t/a)</w:t>
            </w:r>
          </w:p>
        </w:tc>
        <w:tc>
          <w:tcPr>
            <w:tcW w:w="1542" w:type="dxa"/>
            <w:vAlign w:val="center"/>
          </w:tcPr>
          <w:p>
            <w:pPr>
              <w:pStyle w:val="25"/>
              <w:rPr>
                <w:kern w:val="2"/>
                <w:szCs w:val="21"/>
                <w:lang w:val="en-US" w:eastAsia="zh-CN"/>
              </w:rPr>
            </w:pPr>
            <w:r>
              <w:rPr>
                <w:rFonts w:hint="eastAsia"/>
                <w:kern w:val="2"/>
                <w:szCs w:val="21"/>
                <w:lang w:val="en-US" w:eastAsia="zh-CN"/>
              </w:rPr>
              <w:t>包装规格</w:t>
            </w:r>
          </w:p>
        </w:tc>
        <w:tc>
          <w:tcPr>
            <w:tcW w:w="1821" w:type="dxa"/>
            <w:vAlign w:val="center"/>
          </w:tcPr>
          <w:p>
            <w:pPr>
              <w:pStyle w:val="25"/>
              <w:rPr>
                <w:kern w:val="2"/>
                <w:szCs w:val="21"/>
                <w:lang w:val="en-US" w:eastAsia="zh-CN"/>
              </w:rPr>
            </w:pPr>
            <w:r>
              <w:rPr>
                <w:rFonts w:hint="eastAsia"/>
                <w:kern w:val="2"/>
                <w:szCs w:val="21"/>
                <w:lang w:val="en-US" w:eastAsia="zh-CN"/>
              </w:rPr>
              <w:t>最大贮存量</w:t>
            </w:r>
            <w:r>
              <w:rPr>
                <w:kern w:val="2"/>
                <w:szCs w:val="21"/>
                <w:lang w:val="en-US" w:eastAsia="zh-CN"/>
              </w:rPr>
              <w:t>(t)</w:t>
            </w:r>
          </w:p>
        </w:tc>
        <w:tc>
          <w:tcPr>
            <w:tcW w:w="1640" w:type="dxa"/>
            <w:vAlign w:val="center"/>
          </w:tcPr>
          <w:p>
            <w:pPr>
              <w:pStyle w:val="25"/>
              <w:rPr>
                <w:kern w:val="2"/>
                <w:szCs w:val="21"/>
                <w:lang w:val="en-US" w:eastAsia="zh-CN"/>
              </w:rPr>
            </w:pPr>
            <w:r>
              <w:rPr>
                <w:rFonts w:hint="eastAsia"/>
                <w:kern w:val="2"/>
                <w:szCs w:val="21"/>
                <w:lang w:val="en-US" w:eastAsia="zh-CN"/>
              </w:rPr>
              <w:t>临界量</w:t>
            </w:r>
            <w:r>
              <w:rPr>
                <w:kern w:val="2"/>
                <w:szCs w:val="21"/>
                <w:lang w:val="en-US" w:eastAsia="zh-CN"/>
              </w:rPr>
              <w:t>(t)</w:t>
            </w:r>
          </w:p>
        </w:tc>
        <w:tc>
          <w:tcPr>
            <w:tcW w:w="1252" w:type="dxa"/>
            <w:vAlign w:val="center"/>
          </w:tcPr>
          <w:p>
            <w:pPr>
              <w:pStyle w:val="25"/>
              <w:rPr>
                <w:kern w:val="2"/>
                <w:szCs w:val="21"/>
                <w:lang w:val="en-US" w:eastAsia="zh-CN"/>
              </w:rPr>
            </w:pPr>
            <w:r>
              <w:rPr>
                <w:rFonts w:hint="eastAsia"/>
                <w:kern w:val="2"/>
                <w:szCs w:val="21"/>
                <w:lang w:val="en-US" w:eastAsia="zh-CN"/>
              </w:rPr>
              <w:t>Σ</w:t>
            </w:r>
            <w:r>
              <w:rPr>
                <w:kern w:val="2"/>
                <w:szCs w:val="21"/>
                <w:lang w:val="en-US" w:eastAsia="zh-CN"/>
              </w:rPr>
              <w:t>qi/Qi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431" w:type="dxa"/>
            <w:vAlign w:val="center"/>
          </w:tcPr>
          <w:p>
            <w:pPr>
              <w:pStyle w:val="25"/>
              <w:rPr>
                <w:kern w:val="2"/>
                <w:szCs w:val="21"/>
                <w:lang w:val="en-US" w:eastAsia="zh-CN"/>
              </w:rPr>
            </w:pPr>
            <w:r>
              <w:rPr>
                <w:rFonts w:hint="eastAsia"/>
                <w:kern w:val="2"/>
                <w:szCs w:val="21"/>
                <w:lang w:val="en-US" w:eastAsia="zh-CN"/>
              </w:rPr>
              <w:t>冰醋酸</w:t>
            </w:r>
          </w:p>
        </w:tc>
        <w:tc>
          <w:tcPr>
            <w:tcW w:w="1412" w:type="dxa"/>
            <w:vAlign w:val="center"/>
          </w:tcPr>
          <w:p>
            <w:pPr>
              <w:pStyle w:val="25"/>
              <w:rPr>
                <w:kern w:val="2"/>
                <w:szCs w:val="21"/>
                <w:lang w:val="en-US" w:eastAsia="zh-CN"/>
              </w:rPr>
            </w:pPr>
            <w:r>
              <w:rPr>
                <w:kern w:val="2"/>
                <w:szCs w:val="21"/>
                <w:lang w:val="en-US" w:eastAsia="zh-CN"/>
              </w:rPr>
              <w:t>7</w:t>
            </w:r>
          </w:p>
        </w:tc>
        <w:tc>
          <w:tcPr>
            <w:tcW w:w="1542" w:type="dxa"/>
            <w:vAlign w:val="center"/>
          </w:tcPr>
          <w:p>
            <w:pPr>
              <w:pStyle w:val="25"/>
              <w:rPr>
                <w:kern w:val="2"/>
                <w:szCs w:val="21"/>
                <w:lang w:val="en-US" w:eastAsia="zh-CN"/>
              </w:rPr>
            </w:pPr>
            <w:r>
              <w:rPr>
                <w:kern w:val="2"/>
                <w:szCs w:val="21"/>
                <w:lang w:val="en-US" w:eastAsia="zh-CN"/>
              </w:rPr>
              <w:t>180kg/</w:t>
            </w:r>
            <w:r>
              <w:rPr>
                <w:rFonts w:hint="eastAsia"/>
                <w:kern w:val="2"/>
                <w:szCs w:val="21"/>
                <w:lang w:val="en-US" w:eastAsia="zh-CN"/>
              </w:rPr>
              <w:t>桶</w:t>
            </w:r>
          </w:p>
        </w:tc>
        <w:tc>
          <w:tcPr>
            <w:tcW w:w="1821" w:type="dxa"/>
            <w:vAlign w:val="center"/>
          </w:tcPr>
          <w:p>
            <w:pPr>
              <w:pStyle w:val="25"/>
              <w:rPr>
                <w:kern w:val="2"/>
                <w:szCs w:val="21"/>
                <w:lang w:val="en-US" w:eastAsia="zh-CN"/>
              </w:rPr>
            </w:pPr>
            <w:r>
              <w:rPr>
                <w:kern w:val="2"/>
                <w:szCs w:val="21"/>
                <w:lang w:val="en-US" w:eastAsia="zh-CN"/>
              </w:rPr>
              <w:t>0.72</w:t>
            </w:r>
          </w:p>
        </w:tc>
        <w:tc>
          <w:tcPr>
            <w:tcW w:w="1640" w:type="dxa"/>
            <w:vAlign w:val="center"/>
          </w:tcPr>
          <w:p>
            <w:pPr>
              <w:pStyle w:val="25"/>
              <w:rPr>
                <w:kern w:val="2"/>
                <w:szCs w:val="21"/>
                <w:lang w:val="en-US" w:eastAsia="zh-CN"/>
              </w:rPr>
            </w:pPr>
            <w:r>
              <w:rPr>
                <w:kern w:val="2"/>
                <w:szCs w:val="21"/>
                <w:lang w:val="en-US" w:eastAsia="zh-CN"/>
              </w:rPr>
              <w:t>5000</w:t>
            </w:r>
          </w:p>
        </w:tc>
        <w:tc>
          <w:tcPr>
            <w:tcW w:w="1252" w:type="dxa"/>
            <w:vAlign w:val="center"/>
          </w:tcPr>
          <w:p>
            <w:pPr>
              <w:pStyle w:val="25"/>
              <w:rPr>
                <w:kern w:val="2"/>
                <w:szCs w:val="21"/>
                <w:lang w:val="en-US" w:eastAsia="zh-CN"/>
              </w:rPr>
            </w:pPr>
            <w:r>
              <w:rPr>
                <w:kern w:val="2"/>
                <w:szCs w:val="21"/>
                <w:lang w:val="en-US" w:eastAsia="zh-CN"/>
              </w:rPr>
              <w:t>0.000144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7846" w:type="dxa"/>
            <w:gridSpan w:val="5"/>
            <w:vAlign w:val="center"/>
          </w:tcPr>
          <w:p>
            <w:pPr>
              <w:pStyle w:val="25"/>
              <w:rPr>
                <w:kern w:val="2"/>
                <w:szCs w:val="21"/>
                <w:lang w:val="en-US" w:eastAsia="zh-CN"/>
              </w:rPr>
            </w:pPr>
            <w:r>
              <w:rPr>
                <w:rFonts w:hint="eastAsia"/>
                <w:kern w:val="2"/>
                <w:szCs w:val="21"/>
                <w:lang w:val="en-US" w:eastAsia="zh-CN"/>
              </w:rPr>
              <w:t>是否超出临界量</w:t>
            </w:r>
          </w:p>
        </w:tc>
        <w:tc>
          <w:tcPr>
            <w:tcW w:w="1252" w:type="dxa"/>
            <w:vAlign w:val="center"/>
          </w:tcPr>
          <w:p>
            <w:pPr>
              <w:pStyle w:val="25"/>
              <w:rPr>
                <w:kern w:val="2"/>
                <w:szCs w:val="21"/>
                <w:lang w:val="en-US" w:eastAsia="zh-CN"/>
              </w:rPr>
            </w:pPr>
            <w:r>
              <w:rPr>
                <w:rFonts w:hint="eastAsia"/>
                <w:kern w:val="2"/>
                <w:szCs w:val="21"/>
                <w:lang w:val="en-US" w:eastAsia="zh-CN"/>
              </w:rPr>
              <w:t>否</w:t>
            </w:r>
          </w:p>
        </w:tc>
      </w:tr>
    </w:tbl>
    <w:p>
      <w:pPr>
        <w:ind w:firstLine="480"/>
      </w:pPr>
      <w:r>
        <w:rPr>
          <w:rFonts w:hint="eastAsia"/>
        </w:rPr>
        <w:t>结合上表可知，本项目无重大危险源。</w:t>
      </w:r>
    </w:p>
    <w:p>
      <w:pPr>
        <w:pStyle w:val="4"/>
      </w:pPr>
      <w:r>
        <w:rPr>
          <w:rFonts w:hint="eastAsia"/>
        </w:rPr>
        <w:t>评价工作等级</w:t>
      </w:r>
    </w:p>
    <w:p>
      <w:pPr>
        <w:ind w:firstLine="480"/>
      </w:pPr>
      <w:r>
        <w:rPr>
          <w:rFonts w:hint="eastAsia"/>
        </w:rPr>
        <w:t>本项目无重大危险源，项目物料毒性、危险性均不大，结合本项目所处地区为非环境敏感区，最终确定环境风险评价工作等级为二级。</w:t>
      </w:r>
    </w:p>
    <w:p>
      <w:pPr>
        <w:pStyle w:val="25"/>
        <w:rPr>
          <w:b/>
          <w:bCs/>
        </w:rPr>
      </w:pPr>
      <w:r>
        <w:rPr>
          <w:rFonts w:hint="eastAsia"/>
          <w:b/>
          <w:bCs/>
        </w:rPr>
        <w:t>表</w:t>
      </w:r>
      <w:r>
        <w:rPr>
          <w:b/>
          <w:bCs/>
        </w:rPr>
        <w:t xml:space="preserve">8.1-5      </w:t>
      </w:r>
      <w:r>
        <w:rPr>
          <w:rFonts w:hint="eastAsia"/>
          <w:b/>
          <w:bCs/>
        </w:rPr>
        <w:t>评价工作级别判定表</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15"/>
        <w:gridCol w:w="1758"/>
        <w:gridCol w:w="1865"/>
        <w:gridCol w:w="1956"/>
        <w:gridCol w:w="19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2315" w:type="dxa"/>
            <w:tcBorders>
              <w:top w:val="single" w:color="auto" w:sz="4" w:space="0"/>
              <w:bottom w:val="single" w:color="auto" w:sz="4" w:space="0"/>
              <w:right w:val="single" w:color="auto" w:sz="4" w:space="0"/>
            </w:tcBorders>
            <w:vAlign w:val="center"/>
          </w:tcPr>
          <w:p>
            <w:pPr>
              <w:pStyle w:val="25"/>
              <w:rPr>
                <w:kern w:val="2"/>
                <w:szCs w:val="21"/>
                <w:lang w:val="en-US" w:eastAsia="zh-CN"/>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剧毒危险性</w:t>
            </w:r>
          </w:p>
          <w:p>
            <w:pPr>
              <w:pStyle w:val="25"/>
              <w:rPr>
                <w:kern w:val="2"/>
                <w:szCs w:val="21"/>
                <w:lang w:val="en-US" w:eastAsia="zh-CN"/>
              </w:rPr>
            </w:pPr>
            <w:r>
              <w:rPr>
                <w:rFonts w:hint="eastAsia"/>
                <w:kern w:val="2"/>
                <w:szCs w:val="21"/>
                <w:lang w:val="en-US" w:eastAsia="zh-CN"/>
              </w:rPr>
              <w:t>物质</w:t>
            </w:r>
          </w:p>
        </w:tc>
        <w:tc>
          <w:tcPr>
            <w:tcW w:w="1865"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一般毒性危险物质</w:t>
            </w:r>
          </w:p>
        </w:tc>
        <w:tc>
          <w:tcPr>
            <w:tcW w:w="1956"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可燃、易燃</w:t>
            </w:r>
          </w:p>
          <w:p>
            <w:pPr>
              <w:pStyle w:val="25"/>
              <w:rPr>
                <w:kern w:val="2"/>
                <w:szCs w:val="21"/>
                <w:lang w:val="en-US" w:eastAsia="zh-CN"/>
              </w:rPr>
            </w:pPr>
            <w:r>
              <w:rPr>
                <w:rFonts w:hint="eastAsia"/>
                <w:kern w:val="2"/>
                <w:szCs w:val="21"/>
                <w:lang w:val="en-US" w:eastAsia="zh-CN"/>
              </w:rPr>
              <w:t>危险性物质</w:t>
            </w:r>
          </w:p>
        </w:tc>
        <w:tc>
          <w:tcPr>
            <w:tcW w:w="1960" w:type="dxa"/>
            <w:tcBorders>
              <w:top w:val="single" w:color="auto" w:sz="4" w:space="0"/>
              <w:left w:val="single" w:color="auto" w:sz="4" w:space="0"/>
              <w:bottom w:val="single" w:color="auto" w:sz="4" w:space="0"/>
            </w:tcBorders>
            <w:vAlign w:val="center"/>
          </w:tcPr>
          <w:p>
            <w:pPr>
              <w:pStyle w:val="25"/>
              <w:rPr>
                <w:kern w:val="2"/>
                <w:szCs w:val="21"/>
                <w:lang w:val="en-US" w:eastAsia="zh-CN"/>
              </w:rPr>
            </w:pPr>
            <w:r>
              <w:rPr>
                <w:rFonts w:hint="eastAsia"/>
                <w:kern w:val="2"/>
                <w:szCs w:val="21"/>
                <w:lang w:val="en-US" w:eastAsia="zh-CN"/>
              </w:rPr>
              <w:t>爆炸危险性</w:t>
            </w:r>
          </w:p>
          <w:p>
            <w:pPr>
              <w:pStyle w:val="25"/>
              <w:rPr>
                <w:kern w:val="2"/>
                <w:szCs w:val="21"/>
                <w:lang w:val="en-US" w:eastAsia="zh-CN"/>
              </w:rPr>
            </w:pPr>
            <w:r>
              <w:rPr>
                <w:rFonts w:hint="eastAsia"/>
                <w:kern w:val="2"/>
                <w:szCs w:val="21"/>
                <w:lang w:val="en-US" w:eastAsia="zh-CN"/>
              </w:rPr>
              <w:t>物质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jc w:val="center"/>
        </w:trPr>
        <w:tc>
          <w:tcPr>
            <w:tcW w:w="2315" w:type="dxa"/>
            <w:tcBorders>
              <w:top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重大危险源</w:t>
            </w:r>
          </w:p>
        </w:tc>
        <w:tc>
          <w:tcPr>
            <w:tcW w:w="1758"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一</w:t>
            </w:r>
          </w:p>
        </w:tc>
        <w:tc>
          <w:tcPr>
            <w:tcW w:w="1865"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二</w:t>
            </w:r>
          </w:p>
        </w:tc>
        <w:tc>
          <w:tcPr>
            <w:tcW w:w="1956"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一</w:t>
            </w:r>
          </w:p>
        </w:tc>
        <w:tc>
          <w:tcPr>
            <w:tcW w:w="1960" w:type="dxa"/>
            <w:tcBorders>
              <w:top w:val="single" w:color="auto" w:sz="4" w:space="0"/>
              <w:left w:val="single" w:color="auto" w:sz="4" w:space="0"/>
              <w:bottom w:val="single" w:color="auto" w:sz="4" w:space="0"/>
            </w:tcBorders>
            <w:vAlign w:val="center"/>
          </w:tcPr>
          <w:p>
            <w:pPr>
              <w:pStyle w:val="25"/>
              <w:rPr>
                <w:kern w:val="2"/>
                <w:szCs w:val="21"/>
                <w:lang w:val="en-US" w:eastAsia="zh-CN"/>
              </w:rPr>
            </w:pPr>
            <w:r>
              <w:rPr>
                <w:rFonts w:hint="eastAsia"/>
                <w:kern w:val="2"/>
                <w:szCs w:val="21"/>
                <w:lang w:val="en-US" w:eastAsia="zh-CN"/>
              </w:rPr>
              <w:t>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315" w:type="dxa"/>
            <w:tcBorders>
              <w:top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非重大危险源</w:t>
            </w:r>
          </w:p>
        </w:tc>
        <w:tc>
          <w:tcPr>
            <w:tcW w:w="1758"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二</w:t>
            </w:r>
          </w:p>
        </w:tc>
        <w:tc>
          <w:tcPr>
            <w:tcW w:w="1865"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二</w:t>
            </w:r>
          </w:p>
        </w:tc>
        <w:tc>
          <w:tcPr>
            <w:tcW w:w="1956"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二</w:t>
            </w:r>
          </w:p>
        </w:tc>
        <w:tc>
          <w:tcPr>
            <w:tcW w:w="1960" w:type="dxa"/>
            <w:tcBorders>
              <w:top w:val="single" w:color="auto" w:sz="4" w:space="0"/>
              <w:left w:val="single" w:color="auto" w:sz="4" w:space="0"/>
              <w:bottom w:val="single" w:color="auto" w:sz="4" w:space="0"/>
            </w:tcBorders>
            <w:vAlign w:val="center"/>
          </w:tcPr>
          <w:p>
            <w:pPr>
              <w:pStyle w:val="25"/>
              <w:rPr>
                <w:kern w:val="2"/>
                <w:szCs w:val="21"/>
                <w:lang w:val="en-US" w:eastAsia="zh-CN"/>
              </w:rPr>
            </w:pPr>
            <w:r>
              <w:rPr>
                <w:rFonts w:hint="eastAsia"/>
                <w:kern w:val="2"/>
                <w:szCs w:val="21"/>
                <w:lang w:val="en-US" w:eastAsia="zh-CN"/>
              </w:rPr>
              <w:t>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5" w:hRule="atLeast"/>
          <w:jc w:val="center"/>
        </w:trPr>
        <w:tc>
          <w:tcPr>
            <w:tcW w:w="2315" w:type="dxa"/>
            <w:tcBorders>
              <w:top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环境敏感地区</w:t>
            </w:r>
          </w:p>
        </w:tc>
        <w:tc>
          <w:tcPr>
            <w:tcW w:w="1758"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一</w:t>
            </w:r>
          </w:p>
        </w:tc>
        <w:tc>
          <w:tcPr>
            <w:tcW w:w="1865"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一</w:t>
            </w:r>
          </w:p>
        </w:tc>
        <w:tc>
          <w:tcPr>
            <w:tcW w:w="1956" w:type="dxa"/>
            <w:tcBorders>
              <w:top w:val="single" w:color="auto" w:sz="4" w:space="0"/>
              <w:left w:val="single" w:color="auto" w:sz="4" w:space="0"/>
              <w:bottom w:val="single" w:color="auto" w:sz="4" w:space="0"/>
              <w:right w:val="single" w:color="auto" w:sz="4" w:space="0"/>
            </w:tcBorders>
            <w:vAlign w:val="center"/>
          </w:tcPr>
          <w:p>
            <w:pPr>
              <w:pStyle w:val="25"/>
              <w:rPr>
                <w:kern w:val="2"/>
                <w:szCs w:val="21"/>
                <w:lang w:val="en-US" w:eastAsia="zh-CN"/>
              </w:rPr>
            </w:pPr>
            <w:r>
              <w:rPr>
                <w:rFonts w:hint="eastAsia"/>
                <w:kern w:val="2"/>
                <w:szCs w:val="21"/>
                <w:lang w:val="en-US" w:eastAsia="zh-CN"/>
              </w:rPr>
              <w:t>一</w:t>
            </w:r>
          </w:p>
        </w:tc>
        <w:tc>
          <w:tcPr>
            <w:tcW w:w="1960" w:type="dxa"/>
            <w:tcBorders>
              <w:top w:val="single" w:color="auto" w:sz="4" w:space="0"/>
              <w:left w:val="single" w:color="auto" w:sz="4" w:space="0"/>
              <w:bottom w:val="single" w:color="auto" w:sz="4" w:space="0"/>
            </w:tcBorders>
            <w:vAlign w:val="center"/>
          </w:tcPr>
          <w:p>
            <w:pPr>
              <w:pStyle w:val="25"/>
              <w:rPr>
                <w:kern w:val="2"/>
                <w:szCs w:val="21"/>
                <w:lang w:val="en-US" w:eastAsia="zh-CN"/>
              </w:rPr>
            </w:pPr>
            <w:r>
              <w:rPr>
                <w:rFonts w:hint="eastAsia"/>
                <w:kern w:val="2"/>
                <w:szCs w:val="21"/>
                <w:lang w:val="en-US" w:eastAsia="zh-CN"/>
              </w:rPr>
              <w:t>一</w:t>
            </w:r>
          </w:p>
        </w:tc>
      </w:tr>
    </w:tbl>
    <w:p>
      <w:pPr>
        <w:pStyle w:val="4"/>
      </w:pPr>
      <w:r>
        <w:rPr>
          <w:rFonts w:hint="eastAsia"/>
        </w:rPr>
        <w:t>评价内容</w:t>
      </w:r>
    </w:p>
    <w:p>
      <w:pPr>
        <w:ind w:firstLine="480"/>
      </w:pPr>
      <w:r>
        <w:rPr>
          <w:rFonts w:hint="eastAsia"/>
        </w:rPr>
        <w:t>按《建设项目环境风险评价技术导则》</w:t>
      </w:r>
      <w:r>
        <w:t>(TJ/T169-2004)</w:t>
      </w:r>
      <w:r>
        <w:rPr>
          <w:rFonts w:hint="eastAsia"/>
        </w:rPr>
        <w:t>的要求，二级评价应进行风险识别、源项分析和对事故影响进行简要分析，提出防范、减缓和应急措施。</w:t>
      </w:r>
    </w:p>
    <w:p>
      <w:pPr>
        <w:pStyle w:val="3"/>
      </w:pPr>
      <w:bookmarkStart w:id="67" w:name="_Toc469387638"/>
      <w:bookmarkStart w:id="68" w:name="_Toc14743"/>
      <w:bookmarkStart w:id="69" w:name="_Toc413313098"/>
      <w:bookmarkStart w:id="70" w:name="_Toc338452730"/>
      <w:r>
        <w:rPr>
          <w:rFonts w:hint="eastAsia"/>
        </w:rPr>
        <w:t>环境敏感性排查</w:t>
      </w:r>
      <w:bookmarkEnd w:id="67"/>
      <w:bookmarkEnd w:id="68"/>
      <w:bookmarkEnd w:id="69"/>
      <w:bookmarkEnd w:id="70"/>
    </w:p>
    <w:p>
      <w:pPr>
        <w:ind w:firstLine="480"/>
      </w:pPr>
      <w:bookmarkStart w:id="71" w:name="_Toc338452731"/>
      <w:bookmarkStart w:id="72" w:name="_Toc413313099"/>
      <w:r>
        <w:t>(1)</w:t>
      </w:r>
      <w:r>
        <w:rPr>
          <w:rFonts w:hint="eastAsia"/>
        </w:rPr>
        <w:t>环境保护目标与危险源的关系</w:t>
      </w:r>
    </w:p>
    <w:p>
      <w:pPr>
        <w:ind w:firstLine="480"/>
      </w:pPr>
      <w:r>
        <w:rPr>
          <w:rFonts w:hint="eastAsia"/>
        </w:rPr>
        <w:t>企业位于位于屈原管理区营田镇，根据调查，项目所在地周围环境敏感点分布情况详见表</w:t>
      </w:r>
      <w:r>
        <w:t>5.1-1</w:t>
      </w:r>
      <w:r>
        <w:rPr>
          <w:rFonts w:hint="eastAsia"/>
        </w:rPr>
        <w:t>。</w:t>
      </w:r>
    </w:p>
    <w:p>
      <w:pPr>
        <w:ind w:firstLine="480"/>
      </w:pPr>
      <w:r>
        <w:t>(2)</w:t>
      </w:r>
      <w:r>
        <w:rPr>
          <w:rFonts w:hint="eastAsia"/>
        </w:rPr>
        <w:t>水环境敏感性排查</w:t>
      </w:r>
    </w:p>
    <w:p>
      <w:pPr>
        <w:ind w:firstLine="480"/>
      </w:pPr>
      <w:r>
        <w:rPr>
          <w:rFonts w:hint="eastAsia"/>
        </w:rPr>
        <w:t>企业厂区附近无饮用水源保护区，也没有自然保护区和珍稀水生生物保护区。另外，项目废水先经厂内污水处理站处理达进管标准送营田镇污水处理厂进一步集中处理。在正常生产和雨污分流情况下对该区域地表水水质影响较小。</w:t>
      </w:r>
    </w:p>
    <w:p>
      <w:pPr>
        <w:pStyle w:val="3"/>
      </w:pPr>
      <w:bookmarkStart w:id="73" w:name="_Toc4161"/>
      <w:bookmarkStart w:id="74" w:name="_Toc469387639"/>
      <w:r>
        <w:rPr>
          <w:rFonts w:hint="eastAsia"/>
        </w:rPr>
        <w:t>环境风险评价</w:t>
      </w:r>
      <w:bookmarkEnd w:id="71"/>
      <w:bookmarkEnd w:id="72"/>
      <w:bookmarkEnd w:id="73"/>
      <w:bookmarkEnd w:id="74"/>
    </w:p>
    <w:p>
      <w:pPr>
        <w:pStyle w:val="4"/>
      </w:pPr>
      <w:r>
        <w:rPr>
          <w:rFonts w:hint="eastAsia"/>
        </w:rPr>
        <w:t>废水事故性排放环境影响分析</w:t>
      </w:r>
    </w:p>
    <w:p>
      <w:pPr>
        <w:ind w:firstLine="480"/>
      </w:pPr>
      <w:r>
        <w:t>1</w:t>
      </w:r>
      <w:r>
        <w:rPr>
          <w:rFonts w:hint="eastAsia"/>
        </w:rPr>
        <w:t>、事故状态下废水量估算</w:t>
      </w:r>
    </w:p>
    <w:p>
      <w:pPr>
        <w:ind w:firstLine="480"/>
      </w:pPr>
      <w:r>
        <w:rPr>
          <w:rFonts w:hint="eastAsia"/>
        </w:rPr>
        <w:t>在发生火灾、爆炸、泄漏事故时，除了对周围环境空气产生影响外，事故污水也会对周围的环境水体造成风险影响，可引发一系列的次生水环境风险事故。按性质的不同，事故污水可以分为消防污水和被污染的清净下水。</w:t>
      </w:r>
    </w:p>
    <w:p>
      <w:pPr>
        <w:ind w:firstLine="480"/>
      </w:pPr>
      <w:r>
        <w:rPr>
          <w:rFonts w:hint="eastAsia"/>
        </w:rPr>
        <w:t>根据《建筑设计防火规范》（</w:t>
      </w:r>
      <w:r>
        <w:t>GB50056-2006</w:t>
      </w:r>
      <w:r>
        <w:rPr>
          <w:rFonts w:hint="eastAsia"/>
        </w:rPr>
        <w:t>）有关规定，本项目单个车间的最大消防供水能力</w:t>
      </w:r>
      <w:r>
        <w:t>100m</w:t>
      </w:r>
      <w:r>
        <w:rPr>
          <w:vertAlign w:val="superscript"/>
        </w:rPr>
        <w:t>3</w:t>
      </w:r>
      <w:r>
        <w:t>/h</w:t>
      </w:r>
      <w:r>
        <w:rPr>
          <w:rFonts w:hint="eastAsia"/>
        </w:rPr>
        <w:t>，本项目最大的可能导致火灾事故的地点为各生产车间。当生产车间出现事故状态，消防废水按照</w:t>
      </w:r>
      <w:r>
        <w:t>3</w:t>
      </w:r>
      <w:r>
        <w:rPr>
          <w:rFonts w:hint="eastAsia"/>
        </w:rPr>
        <w:t>小时消防水量计，则合计</w:t>
      </w:r>
      <w:r>
        <w:t>300m</w:t>
      </w:r>
      <w:r>
        <w:rPr>
          <w:vertAlign w:val="superscript"/>
        </w:rPr>
        <w:t>3</w:t>
      </w:r>
      <w:r>
        <w:rPr>
          <w:rFonts w:hint="eastAsia"/>
        </w:rPr>
        <w:t>。</w:t>
      </w:r>
    </w:p>
    <w:p>
      <w:pPr>
        <w:ind w:firstLine="480"/>
      </w:pPr>
      <w:r>
        <w:t>2</w:t>
      </w:r>
      <w:r>
        <w:rPr>
          <w:rFonts w:hint="eastAsia"/>
        </w:rPr>
        <w:t>、废水事故性排放环境影响分析</w:t>
      </w:r>
    </w:p>
    <w:p>
      <w:pPr>
        <w:ind w:firstLine="480"/>
      </w:pPr>
      <w:r>
        <w:rPr>
          <w:rFonts w:hint="eastAsia"/>
        </w:rPr>
        <w:t>企业生产废水经厂区预处理达标后，出水进入营田镇污水处理厂集中处理达《城镇污水处理厂污染物排放标准》（</w:t>
      </w:r>
      <w:r>
        <w:t>GB18918-2002</w:t>
      </w:r>
      <w:r>
        <w:rPr>
          <w:rFonts w:hint="eastAsia"/>
        </w:rPr>
        <w:t>）中一级</w:t>
      </w:r>
      <w:r>
        <w:t>A</w:t>
      </w:r>
      <w:r>
        <w:rPr>
          <w:rFonts w:hint="eastAsia"/>
        </w:rPr>
        <w:t>标准后排放湘江。</w:t>
      </w:r>
    </w:p>
    <w:p>
      <w:pPr>
        <w:ind w:firstLine="480"/>
      </w:pPr>
      <w:r>
        <w:rPr>
          <w:rFonts w:hint="eastAsia"/>
        </w:rPr>
        <w:t>水污染物事故性排放主要表现为废水外排的截污管道破裂或污水泵发生故障而造成污水外泄，污染周围水环境。</w:t>
      </w:r>
    </w:p>
    <w:p>
      <w:pPr>
        <w:ind w:firstLine="480"/>
      </w:pPr>
      <w:r>
        <w:rPr>
          <w:rFonts w:hint="eastAsia"/>
        </w:rPr>
        <w:t>⑴风险事故产生的事故废水对周围水环境的影响</w:t>
      </w:r>
    </w:p>
    <w:p>
      <w:pPr>
        <w:ind w:firstLine="480"/>
      </w:pPr>
      <w:r>
        <w:rPr>
          <w:rFonts w:hint="eastAsia"/>
        </w:rPr>
        <w:t>在发生风险事故时产生的事故废水对周围水环境的影响途径有两条：一是事故废水没有控制在厂区内，进入附近地表水体，污染地表水水体水质；二是事故废水虽然控制在厂区内，但是出现大量超标废水进入废水预处理系统，影响污水处理系统的正常运行，导致企业外排污水超标。</w:t>
      </w:r>
    </w:p>
    <w:p>
      <w:pPr>
        <w:ind w:firstLine="480"/>
      </w:pPr>
      <w:r>
        <w:rPr>
          <w:rFonts w:hint="eastAsia"/>
        </w:rPr>
        <w:t>事故发生时，为保证废水不会排到环境水体当中，企业需要建设有相应的事故废水收集暂存系统，及配套泵、管线，收集生产装置发生重大事故进行事故应急处理时产生的废水，再对收集后的废水进行化验分析后根据废水的受污染程度送入配套的污水处理装置进行预处理达进网标准后进入营田镇污水处理厂进行集中处理。</w:t>
      </w:r>
    </w:p>
    <w:p>
      <w:pPr>
        <w:ind w:firstLine="480"/>
      </w:pPr>
      <w:r>
        <w:rPr>
          <w:rFonts w:hint="eastAsia"/>
        </w:rPr>
        <w:t>⑵生产废水事故性排放的影响</w:t>
      </w:r>
    </w:p>
    <w:p>
      <w:pPr>
        <w:ind w:firstLine="480"/>
      </w:pPr>
      <w:r>
        <w:rPr>
          <w:rFonts w:hint="eastAsia"/>
        </w:rPr>
        <w:t>本项目生产废水事故性排放对周围水环境的影响途径也有两条：一是外排管道破裂，污水溢流至氧化塘流至湘江，从而污染湘江水质。应立即关闭外排泵，组织抢修，必要时临时停止生产，待修复后再恢复生产。二是废水预处理系统出现故障，影响污水处理系统的正常运行，导致外排污水超标，对营田镇污水处理厂造成一定冲击。</w:t>
      </w:r>
    </w:p>
    <w:p>
      <w:pPr>
        <w:pStyle w:val="4"/>
      </w:pPr>
      <w:r>
        <w:rPr>
          <w:rFonts w:hint="eastAsia"/>
        </w:rPr>
        <w:t>废气事故性排放环境影响分析</w:t>
      </w:r>
    </w:p>
    <w:p>
      <w:pPr>
        <w:ind w:firstLine="480"/>
      </w:pPr>
      <w:r>
        <w:rPr>
          <w:rFonts w:hint="eastAsia"/>
        </w:rPr>
        <w:t>对于本项目的区域环境风险而言，定型废气治理设施发生故障、液态助剂桶破裂经挥发进入环境，造成大气环境污染。为避免事故废气排放造成环境风险，企业应设立专人负责厂内环保工作，负责对定型废气治理设施的管理与维护，加强危险化学品的管理，发现异常及时作出处理。</w:t>
      </w:r>
    </w:p>
    <w:p>
      <w:pPr>
        <w:pStyle w:val="3"/>
      </w:pPr>
      <w:bookmarkStart w:id="75" w:name="_Toc469387640"/>
      <w:bookmarkStart w:id="76" w:name="_Toc14847"/>
      <w:bookmarkStart w:id="77" w:name="_Toc413313100"/>
      <w:bookmarkStart w:id="78" w:name="_Toc338452732"/>
      <w:r>
        <w:rPr>
          <w:rFonts w:hint="eastAsia"/>
        </w:rPr>
        <w:t>事故防范措施</w:t>
      </w:r>
      <w:bookmarkEnd w:id="75"/>
      <w:bookmarkEnd w:id="76"/>
      <w:bookmarkEnd w:id="77"/>
      <w:bookmarkEnd w:id="78"/>
    </w:p>
    <w:p>
      <w:pPr>
        <w:pStyle w:val="4"/>
      </w:pPr>
      <w:r>
        <w:rPr>
          <w:rFonts w:hint="eastAsia"/>
        </w:rPr>
        <w:t>废水事故性排放应采取的应急措施</w:t>
      </w:r>
    </w:p>
    <w:p>
      <w:pPr>
        <w:ind w:firstLine="480"/>
      </w:pPr>
      <w:r>
        <w:rPr>
          <w:rFonts w:hint="eastAsia"/>
        </w:rPr>
        <w:t>本环评就废水污染物事故性排放提出以下事故性防范措施：</w:t>
      </w:r>
    </w:p>
    <w:p>
      <w:pPr>
        <w:ind w:firstLine="480"/>
      </w:pPr>
      <w:r>
        <w:rPr>
          <w:rFonts w:hint="eastAsia"/>
        </w:rPr>
        <w:t>①输送泵发生故障时，生产部应及时组织抢修，必要时临时停止生产，待修复后再恢复生产。</w:t>
      </w:r>
    </w:p>
    <w:p>
      <w:pPr>
        <w:ind w:firstLine="480"/>
      </w:pPr>
      <w:r>
        <w:rPr>
          <w:rFonts w:hint="eastAsia"/>
        </w:rPr>
        <w:t>②集污沟、集污池需经常巡视检查，定期清理沟内、池内的污泥及其杂质，防止堵塞现象发生。</w:t>
      </w:r>
    </w:p>
    <w:p>
      <w:pPr>
        <w:ind w:firstLine="480"/>
      </w:pPr>
      <w:r>
        <w:rPr>
          <w:rFonts w:hint="eastAsia"/>
        </w:rPr>
        <w:t>③如外排管网出现故障而停排时，应启动公司内污水暂贮应急系统，必要时停止生产，防止公司内污水溢流到周边环境。</w:t>
      </w:r>
    </w:p>
    <w:p>
      <w:pPr>
        <w:ind w:firstLine="480"/>
      </w:pPr>
      <w:r>
        <w:rPr>
          <w:rFonts w:hint="eastAsia"/>
        </w:rPr>
        <w:t>④生产车间污水管理人员要巡回检查车间内的污水排放设施，做到预防为主，防止污水漫溢现象发生。</w:t>
      </w:r>
    </w:p>
    <w:p>
      <w:pPr>
        <w:ind w:firstLine="480"/>
      </w:pPr>
      <w:r>
        <w:rPr>
          <w:rFonts w:hint="eastAsia"/>
        </w:rPr>
        <w:t>⑤公司应不断整改生产过程中潜在的或已发生事故的生产设备和工艺，采用先进技术、设备，合理利用资源，增加回收利用，减少用水量，减少污水排放量。</w:t>
      </w:r>
    </w:p>
    <w:p>
      <w:pPr>
        <w:ind w:firstLine="480"/>
      </w:pPr>
      <w:r>
        <w:rPr>
          <w:rFonts w:hint="eastAsia"/>
        </w:rPr>
        <w:t>⑥事故发生、整改后，做好事故应急记录。</w:t>
      </w:r>
    </w:p>
    <w:p>
      <w:pPr>
        <w:pStyle w:val="4"/>
      </w:pPr>
      <w:r>
        <w:rPr>
          <w:rFonts w:hint="eastAsia"/>
        </w:rPr>
        <w:t>废气事故排放应采取的应急措施</w:t>
      </w:r>
    </w:p>
    <w:p>
      <w:pPr>
        <w:ind w:firstLine="480"/>
      </w:pPr>
      <w:r>
        <w:t>1</w:t>
      </w:r>
      <w:r>
        <w:rPr>
          <w:rFonts w:hint="eastAsia"/>
        </w:rPr>
        <w:t>、定型废气处理装置故障</w:t>
      </w:r>
    </w:p>
    <w:p>
      <w:pPr>
        <w:ind w:firstLine="480"/>
      </w:pPr>
      <w:r>
        <w:rPr>
          <w:rFonts w:hint="eastAsia"/>
        </w:rPr>
        <w:t>项目废气处理设施事故主要为定型废气处理装置发生故障导致定型废气超标排放，企业应定定期对定型废气处理装置进行巡查，如处理装置故障，应及时维修，并停止定型机生产加工。</w:t>
      </w:r>
    </w:p>
    <w:p>
      <w:pPr>
        <w:ind w:firstLine="480"/>
      </w:pPr>
      <w:r>
        <w:t>2</w:t>
      </w:r>
      <w:r>
        <w:rPr>
          <w:rFonts w:hint="eastAsia"/>
        </w:rPr>
        <w:t>、</w:t>
      </w:r>
      <w:bookmarkStart w:id="79" w:name="_Toc212473459"/>
      <w:bookmarkStart w:id="80" w:name="_Toc318139901"/>
      <w:bookmarkStart w:id="81" w:name="_Toc210301045"/>
      <w:r>
        <w:rPr>
          <w:rFonts w:hint="eastAsia"/>
        </w:rPr>
        <w:t>导热油</w:t>
      </w:r>
    </w:p>
    <w:p>
      <w:pPr>
        <w:ind w:firstLine="480"/>
      </w:pPr>
      <w:r>
        <w:rPr>
          <w:rFonts w:hint="eastAsia"/>
        </w:rPr>
        <w:t>导热油潜在火灾的应急计划：引起导热油锅炉火灾的因素有：导热油化验指标不合格，导热油每年应送劳动部门油品检验中心进行化验，对动力粘度、闪点、残炭值、酸值等指标考核，若发现不合格，则必须更换油品，否则将因闪点等指标不合格引发火灾；管路系统中存在油的渗漏，尤其是阀门和油泵接口处，治漏的油在一定的温度和明火情况，加上一定的环境因素会引起燃烧；由于导热油锅炉周边的环境温度较高，在附近堆放的杂物很容易干燥脱水，因而一旦有火星出现，将会引起锅炉房内的火灾；电气设备的火灾，循环泵、引风机、鼓风机等电动机在环境温度高、散热效果差的情况下，可能会引起电机绕组发热烧坯，在此种情况下若遇木材等易燃物时，很可能引发火险。</w:t>
      </w:r>
    </w:p>
    <w:p>
      <w:pPr>
        <w:ind w:firstLine="480"/>
      </w:pPr>
      <w:r>
        <w:rPr>
          <w:rFonts w:hint="eastAsia"/>
        </w:rPr>
        <w:t>若导热油锅炉发生火灾，则应采取以下措施：紧急切断电源，防止意外的触电事故的发生；拨打消防警电话；由于导热油泄漏引起的火灾，不能用水灭火，只能用灭火器。</w:t>
      </w:r>
    </w:p>
    <w:p>
      <w:pPr>
        <w:pStyle w:val="3"/>
        <w:rPr>
          <w:u w:val="single"/>
        </w:rPr>
      </w:pPr>
      <w:bookmarkStart w:id="82" w:name="_Toc413313101"/>
      <w:bookmarkStart w:id="83" w:name="_Toc469387641"/>
      <w:bookmarkStart w:id="84" w:name="_Toc21125"/>
      <w:r>
        <w:rPr>
          <w:rFonts w:hint="eastAsia"/>
          <w:u w:val="single"/>
        </w:rPr>
        <w:t>风险防范措施</w:t>
      </w:r>
      <w:bookmarkEnd w:id="79"/>
      <w:bookmarkEnd w:id="80"/>
      <w:bookmarkEnd w:id="81"/>
      <w:bookmarkEnd w:id="82"/>
      <w:bookmarkEnd w:id="83"/>
      <w:bookmarkEnd w:id="84"/>
    </w:p>
    <w:p>
      <w:pPr>
        <w:pStyle w:val="4"/>
        <w:rPr>
          <w:u w:val="single"/>
        </w:rPr>
      </w:pPr>
      <w:r>
        <w:rPr>
          <w:rFonts w:hint="eastAsia"/>
          <w:u w:val="single"/>
        </w:rPr>
        <w:t>危化品风险防范措施</w:t>
      </w:r>
    </w:p>
    <w:p>
      <w:pPr>
        <w:ind w:firstLine="480"/>
        <w:rPr>
          <w:u w:val="single"/>
        </w:rPr>
      </w:pPr>
      <w:r>
        <w:rPr>
          <w:rFonts w:hint="eastAsia"/>
          <w:u w:val="single"/>
        </w:rPr>
        <w:t>尽管项目为染整行业，但生产过程使用大量的化学品，如醋酸等，如管理不善，易造成火灾或泄漏，危险品进入大气或水环境，造成污染。因此企业要做好如下几点：</w:t>
      </w:r>
    </w:p>
    <w:p>
      <w:pPr>
        <w:ind w:firstLine="480"/>
        <w:rPr>
          <w:u w:val="single"/>
        </w:rPr>
      </w:pPr>
      <w:r>
        <w:rPr>
          <w:u w:val="single"/>
        </w:rPr>
        <w:t>(1)</w:t>
      </w:r>
      <w:r>
        <w:rPr>
          <w:rFonts w:hint="eastAsia"/>
          <w:u w:val="single"/>
        </w:rPr>
        <w:t>危险品与其他普通助剂不宜放在同一库房，应单独分开，设立专门危化品贮存专用房。库房要装有通风设施，并配有消防设施。</w:t>
      </w:r>
    </w:p>
    <w:p>
      <w:pPr>
        <w:ind w:firstLine="480"/>
        <w:rPr>
          <w:u w:val="single"/>
        </w:rPr>
      </w:pPr>
      <w:r>
        <w:rPr>
          <w:u w:val="single"/>
        </w:rPr>
        <w:t>(2)</w:t>
      </w:r>
      <w:r>
        <w:rPr>
          <w:rFonts w:hint="eastAsia"/>
          <w:u w:val="single"/>
        </w:rPr>
        <w:t>本项目醋酸等助剂为桶装液体，存放时防止被撞击等其他原因造成泄漏。</w:t>
      </w:r>
    </w:p>
    <w:p>
      <w:pPr>
        <w:pStyle w:val="4"/>
        <w:rPr>
          <w:u w:val="single"/>
        </w:rPr>
      </w:pPr>
      <w:r>
        <w:rPr>
          <w:rFonts w:hint="eastAsia"/>
          <w:u w:val="single"/>
        </w:rPr>
        <w:t>工艺技术设计安全防范措施</w:t>
      </w:r>
    </w:p>
    <w:p>
      <w:pPr>
        <w:ind w:firstLine="480"/>
        <w:rPr>
          <w:u w:val="single"/>
        </w:rPr>
      </w:pPr>
      <w:r>
        <w:rPr>
          <w:rFonts w:hint="eastAsia"/>
          <w:u w:val="single"/>
        </w:rPr>
        <w:t>企业应按照有关规定和标准设置安全监测系统，包括自动监测、报警、紧急切断及紧急停车系统，防火、防爆等事故处理系统，还要完善应急救援设施和救援通道。</w:t>
      </w:r>
    </w:p>
    <w:p>
      <w:pPr>
        <w:pStyle w:val="4"/>
        <w:rPr>
          <w:u w:val="single"/>
        </w:rPr>
      </w:pPr>
      <w:r>
        <w:rPr>
          <w:rFonts w:hint="eastAsia"/>
          <w:u w:val="single"/>
        </w:rPr>
        <w:t>电气、电讯安全防范措施</w:t>
      </w:r>
    </w:p>
    <w:p>
      <w:pPr>
        <w:ind w:firstLine="480"/>
        <w:rPr>
          <w:u w:val="single"/>
        </w:rPr>
      </w:pPr>
      <w:r>
        <w:rPr>
          <w:rFonts w:hint="eastAsia"/>
          <w:u w:val="single"/>
        </w:rPr>
        <w:t>应根据危险区域的等级，正确选择相应类型的级别和组别的电气设备。电气设备的组级别只能高于环境组级别，不能随意降低标准。设计、安装、运行、维修电气设备、线路、仪表等应符合国家有关标准、规程和规范的要求；电气控制设备及导线尽可能远离易燃物质。</w:t>
      </w:r>
    </w:p>
    <w:p>
      <w:pPr>
        <w:ind w:firstLine="480"/>
        <w:rPr>
          <w:u w:val="single"/>
        </w:rPr>
      </w:pPr>
      <w:r>
        <w:rPr>
          <w:rFonts w:hint="eastAsia"/>
          <w:u w:val="single"/>
        </w:rPr>
        <w:t>采用三相五线制加漏电保护体制。将中性线与接地线分开，中性线对地绝缘，接地线</w:t>
      </w:r>
      <w:r>
        <w:rPr>
          <w:u w:val="single"/>
        </w:rPr>
        <w:t>(</w:t>
      </w:r>
      <w:r>
        <w:rPr>
          <w:rFonts w:hint="eastAsia"/>
          <w:u w:val="single"/>
        </w:rPr>
        <w:t>保护零线</w:t>
      </w:r>
      <w:r>
        <w:rPr>
          <w:u w:val="single"/>
        </w:rPr>
        <w:t>)</w:t>
      </w:r>
      <w:r>
        <w:rPr>
          <w:rFonts w:hint="eastAsia"/>
          <w:u w:val="single"/>
        </w:rPr>
        <w:t>专用接地，以减少对地产生火花的可能性。安装漏电保护应严格按照有关规范要求执行。禁止使用临时线路，尽可能少用移动式电具。如必须使用，要有严格的安全措施。</w:t>
      </w:r>
    </w:p>
    <w:p>
      <w:pPr>
        <w:ind w:firstLine="480"/>
        <w:rPr>
          <w:u w:val="single"/>
        </w:rPr>
      </w:pPr>
      <w:r>
        <w:rPr>
          <w:rFonts w:hint="eastAsia"/>
          <w:u w:val="single"/>
        </w:rPr>
        <w:t>建立和健全电气安全规章制度和安全操作规程，并严格执行。加强对电气设施进行维护、保养、检修，保持电气设备正常运行：包括保持电气设备的电压、电流、温升等参数不超过允许值，保持电气设备足够的绝缘能力，保持电气连接良好等。</w:t>
      </w:r>
    </w:p>
    <w:p>
      <w:pPr>
        <w:ind w:firstLine="480"/>
        <w:rPr>
          <w:u w:val="single"/>
        </w:rPr>
      </w:pPr>
      <w:r>
        <w:rPr>
          <w:rFonts w:hint="eastAsia"/>
          <w:u w:val="single"/>
        </w:rPr>
        <w:t>企业应按规定定期进行防雷检测，保持完好状态，使之有可靠的保护作用，尤其是每年雷雨季节来临之前，要对接地系统进行一次检查，发现有不合格现象进行整改，确保接地线无松动、无断开、无锈蚀现象。</w:t>
      </w:r>
    </w:p>
    <w:p>
      <w:pPr>
        <w:ind w:firstLine="480"/>
        <w:rPr>
          <w:u w:val="single"/>
        </w:rPr>
      </w:pPr>
      <w:r>
        <w:rPr>
          <w:rFonts w:hint="eastAsia"/>
          <w:u w:val="single"/>
        </w:rPr>
        <w:t>做好配电室、电气线路和单相电气设备、电动机、电焊机、手持电动工具、临时用电的安全作业和维护保养；定期进行安全检查，杜绝“三违”。</w:t>
      </w:r>
    </w:p>
    <w:p>
      <w:pPr>
        <w:ind w:firstLine="480"/>
        <w:rPr>
          <w:u w:val="single"/>
        </w:rPr>
      </w:pPr>
      <w:r>
        <w:rPr>
          <w:rFonts w:hint="eastAsia"/>
          <w:u w:val="single"/>
        </w:rPr>
        <w:t>对职工进行电气安全教育，掌握触电急救方法，严禁非电工进行电气操作。</w:t>
      </w:r>
    </w:p>
    <w:p>
      <w:pPr>
        <w:pStyle w:val="4"/>
        <w:rPr>
          <w:u w:val="single"/>
        </w:rPr>
      </w:pPr>
      <w:r>
        <w:rPr>
          <w:rFonts w:hint="eastAsia"/>
          <w:u w:val="single"/>
        </w:rPr>
        <w:t>消防及火灾报警系统</w:t>
      </w:r>
    </w:p>
    <w:p>
      <w:pPr>
        <w:ind w:firstLine="480"/>
        <w:rPr>
          <w:u w:val="single"/>
        </w:rPr>
      </w:pPr>
      <w:r>
        <w:rPr>
          <w:rFonts w:hint="eastAsia"/>
          <w:u w:val="single"/>
        </w:rPr>
        <w:t>按规定建设消防设施，划分禁火区域，严格按设计要求制订动火制度，消防设施配置安全报警系统、灭火器、消防栓、泡沫灭火站等消防设施。消防给水压力低压给水时，水压应不低于</w:t>
      </w:r>
      <w:r>
        <w:rPr>
          <w:u w:val="single"/>
        </w:rPr>
        <w:t>0.2MPa</w:t>
      </w:r>
      <w:r>
        <w:rPr>
          <w:rFonts w:hint="eastAsia"/>
          <w:u w:val="single"/>
        </w:rPr>
        <w:t>，高压给水时，水压宜在</w:t>
      </w:r>
      <w:r>
        <w:rPr>
          <w:u w:val="single"/>
        </w:rPr>
        <w:t>0.7</w:t>
      </w:r>
      <w:r>
        <w:rPr>
          <w:rFonts w:hint="eastAsia"/>
          <w:u w:val="single"/>
        </w:rPr>
        <w:t>～</w:t>
      </w:r>
      <w:r>
        <w:rPr>
          <w:u w:val="single"/>
        </w:rPr>
        <w:t>1.2Mpa</w:t>
      </w:r>
      <w:r>
        <w:rPr>
          <w:rFonts w:hint="eastAsia"/>
          <w:u w:val="single"/>
        </w:rPr>
        <w:t>；水量应能保证连续供应最大需水量</w:t>
      </w:r>
      <w:r>
        <w:rPr>
          <w:u w:val="single"/>
        </w:rPr>
        <w:t>4h</w:t>
      </w:r>
      <w:r>
        <w:rPr>
          <w:rFonts w:hint="eastAsia"/>
          <w:u w:val="single"/>
        </w:rPr>
        <w:t>。</w:t>
      </w:r>
    </w:p>
    <w:p>
      <w:pPr>
        <w:ind w:firstLine="480"/>
        <w:rPr>
          <w:u w:val="single"/>
        </w:rPr>
      </w:pPr>
      <w:r>
        <w:rPr>
          <w:rFonts w:hint="eastAsia"/>
          <w:u w:val="single"/>
        </w:rPr>
        <w:t>消火栓用水量、消防给水管道、消火栓配置、消防水池的配置应符合</w:t>
      </w:r>
      <w:r>
        <w:rPr>
          <w:u w:val="single"/>
        </w:rPr>
        <w:t>GB50016-2014</w:t>
      </w:r>
      <w:r>
        <w:rPr>
          <w:rFonts w:hint="eastAsia"/>
          <w:u w:val="single"/>
        </w:rPr>
        <w:t>《建筑设计防火规范》的相关要求；固定式泡沫灭火站的设计安装应按照</w:t>
      </w:r>
      <w:r>
        <w:rPr>
          <w:u w:val="single"/>
        </w:rPr>
        <w:t>GB50151-2010</w:t>
      </w:r>
      <w:r>
        <w:rPr>
          <w:rFonts w:hint="eastAsia"/>
          <w:u w:val="single"/>
        </w:rPr>
        <w:t>《低倍数泡沫灭火系统设计规范》进行；灭火器的配置应按照</w:t>
      </w:r>
      <w:r>
        <w:rPr>
          <w:u w:val="single"/>
        </w:rPr>
        <w:t>GB50140-2005</w:t>
      </w:r>
      <w:r>
        <w:rPr>
          <w:rFonts w:hint="eastAsia"/>
          <w:u w:val="single"/>
        </w:rPr>
        <w:t>《建筑灭火器配置设计规范》进行。</w:t>
      </w:r>
    </w:p>
    <w:p>
      <w:pPr>
        <w:pStyle w:val="4"/>
        <w:rPr>
          <w:u w:val="single"/>
        </w:rPr>
      </w:pPr>
      <w:r>
        <w:rPr>
          <w:rFonts w:hint="eastAsia"/>
          <w:u w:val="single"/>
        </w:rPr>
        <w:t>火灾风险防范措施</w:t>
      </w:r>
    </w:p>
    <w:p>
      <w:pPr>
        <w:ind w:firstLine="480"/>
        <w:rPr>
          <w:u w:val="single"/>
        </w:rPr>
      </w:pPr>
      <w:r>
        <w:rPr>
          <w:rFonts w:hint="eastAsia"/>
          <w:u w:val="single"/>
        </w:rPr>
        <w:t>贮存中发生火灾风险提出如下防范措施：</w:t>
      </w:r>
    </w:p>
    <w:p>
      <w:pPr>
        <w:ind w:firstLine="480"/>
        <w:rPr>
          <w:u w:val="single"/>
        </w:rPr>
      </w:pPr>
      <w:r>
        <w:rPr>
          <w:u w:val="single"/>
        </w:rPr>
        <w:t>(1)</w:t>
      </w:r>
      <w:r>
        <w:rPr>
          <w:rFonts w:hint="eastAsia"/>
          <w:u w:val="single"/>
        </w:rPr>
        <w:t>仓库消防器材应设置在明显位置，消防设施和器材准备充足并定期检查维护。对职工加强消防安全教育，组织学习并掌握防火、灭火的基本知识。指定消防应急措施，定期组织消防演习；</w:t>
      </w:r>
    </w:p>
    <w:p>
      <w:pPr>
        <w:ind w:firstLine="480"/>
        <w:rPr>
          <w:u w:val="single"/>
        </w:rPr>
      </w:pPr>
      <w:r>
        <w:rPr>
          <w:u w:val="single"/>
        </w:rPr>
        <w:t>(2)</w:t>
      </w:r>
      <w:r>
        <w:rPr>
          <w:rFonts w:hint="eastAsia"/>
          <w:u w:val="single"/>
        </w:rPr>
        <w:t>仓库设置避雷针，防止雷击造成火灾；</w:t>
      </w:r>
    </w:p>
    <w:p>
      <w:pPr>
        <w:ind w:firstLine="480"/>
        <w:rPr>
          <w:u w:val="single"/>
        </w:rPr>
      </w:pPr>
      <w:r>
        <w:rPr>
          <w:u w:val="single"/>
        </w:rPr>
        <w:t>(3)</w:t>
      </w:r>
      <w:r>
        <w:rPr>
          <w:rFonts w:hint="eastAsia"/>
          <w:u w:val="single"/>
        </w:rPr>
        <w:t>若发生火灾，消防废水不得直接排入附近河道，而应纳入厂污水处理站处理后才能排放。</w:t>
      </w:r>
    </w:p>
    <w:p>
      <w:pPr>
        <w:pStyle w:val="4"/>
        <w:rPr>
          <w:u w:val="single"/>
        </w:rPr>
      </w:pPr>
      <w:r>
        <w:rPr>
          <w:rFonts w:hint="eastAsia"/>
          <w:u w:val="single"/>
        </w:rPr>
        <w:t>其它事故防范措施</w:t>
      </w:r>
    </w:p>
    <w:p>
      <w:pPr>
        <w:ind w:firstLine="480"/>
        <w:rPr>
          <w:u w:val="single"/>
        </w:rPr>
      </w:pPr>
      <w:r>
        <w:rPr>
          <w:rFonts w:hint="eastAsia"/>
          <w:u w:val="single"/>
        </w:rPr>
        <w:t>物料仓库四周设环形集水沟，完善集水系统，一旦发生火灾事故，消防废水可通过该系统收集后送污水处理池，不允许有直接排放或超标现象产生。</w:t>
      </w:r>
    </w:p>
    <w:p>
      <w:pPr>
        <w:pStyle w:val="3"/>
      </w:pPr>
      <w:bookmarkStart w:id="85" w:name="_Toc413313102"/>
      <w:bookmarkStart w:id="86" w:name="_Toc338452734"/>
      <w:bookmarkStart w:id="87" w:name="_Toc10980"/>
      <w:bookmarkStart w:id="88" w:name="_Toc469387642"/>
      <w:r>
        <w:rPr>
          <w:rFonts w:hint="eastAsia"/>
        </w:rPr>
        <w:t>事故应急预案</w:t>
      </w:r>
      <w:bookmarkEnd w:id="85"/>
      <w:bookmarkEnd w:id="86"/>
      <w:bookmarkEnd w:id="87"/>
      <w:bookmarkEnd w:id="88"/>
    </w:p>
    <w:p>
      <w:pPr>
        <w:pStyle w:val="4"/>
      </w:pPr>
      <w:r>
        <w:rPr>
          <w:rFonts w:hint="eastAsia"/>
        </w:rPr>
        <w:t>危险物料的安全应急措施</w:t>
      </w:r>
    </w:p>
    <w:p>
      <w:pPr>
        <w:ind w:firstLine="480"/>
      </w:pPr>
      <w:r>
        <w:t>(1)</w:t>
      </w:r>
      <w:r>
        <w:rPr>
          <w:rFonts w:hint="eastAsia"/>
        </w:rPr>
        <w:t>醋酸</w:t>
      </w:r>
    </w:p>
    <w:p>
      <w:pPr>
        <w:ind w:firstLine="480"/>
      </w:pPr>
      <w:r>
        <w:rPr>
          <w:rFonts w:hint="eastAsia"/>
        </w:rPr>
        <w:t>健康危害：吸入后对鼻、喉和呼吸道有刺激性。对眼有强烈刺激作用。皮肤接触，轻者出现红斑，重者引起化学灼伤。误服浓醋酸，口腔和消化道可产生糜烂，重者可因休克而致死。危险特性：其蒸气与空气形成爆炸性混合物，遇明火、高热能引起燃烧爆炸。与强氧化剂可发生反应。</w:t>
      </w:r>
    </w:p>
    <w:p>
      <w:pPr>
        <w:ind w:firstLine="480"/>
      </w:pPr>
      <w:r>
        <w:rPr>
          <w:rFonts w:hint="eastAsia"/>
        </w:rPr>
        <w:t>泄漏应急处理：疏散泄漏污染区人员至安全区，禁止无关人员进入污染区，切断火源。建议应急处理人员戴自给式呼吸器，穿化学防护服。不要直接接触泄漏物，在确保安全情况下堵漏。喷水雾能减少蒸发但不要使水进入储存容器内。用沙土、蛭石或其它惰性材料吸收，然后收集运至废物处理场所处置。也可以用大量水冲洗，经稀释的冲洗水放入废水系统。如大量泄漏，利用围堤收容，然后收集、转移、回收或无害处理后废弃。</w:t>
      </w:r>
    </w:p>
    <w:p>
      <w:pPr>
        <w:ind w:firstLine="480"/>
      </w:pPr>
      <w:r>
        <w:rPr>
          <w:rFonts w:hint="eastAsia"/>
        </w:rPr>
        <w:t>防护措施：呼吸系统防护：空气中浓度超标时，应该佩带防毒面具。紧急事态抢救或逃生时，佩带自给式呼吸器；眼睛防护：戴化学安全防护眼镜；防护服：穿工作服</w:t>
      </w:r>
      <w:r>
        <w:t xml:space="preserve"> (</w:t>
      </w:r>
      <w:r>
        <w:rPr>
          <w:rFonts w:hint="eastAsia"/>
        </w:rPr>
        <w:t>防腐材料制作</w:t>
      </w:r>
      <w:r>
        <w:t>)</w:t>
      </w:r>
      <w:r>
        <w:rPr>
          <w:rFonts w:hint="eastAsia"/>
        </w:rPr>
        <w:t>；手防护：戴橡皮手套；其它：工作后，淋浴更衣。注意个人清洁卫生。</w:t>
      </w:r>
    </w:p>
    <w:p>
      <w:pPr>
        <w:ind w:firstLine="480"/>
      </w:pPr>
      <w:r>
        <w:rPr>
          <w:rFonts w:hint="eastAsia"/>
        </w:rPr>
        <w:t>急救措施：皮肤接触：脱去污染的衣着，立即用水冲洗至少</w:t>
      </w:r>
      <w:r>
        <w:t>15</w:t>
      </w:r>
      <w:r>
        <w:rPr>
          <w:rFonts w:hint="eastAsia"/>
        </w:rPr>
        <w:t>分钟，若有灼伤，就医治疗；眼睛接触：立即提起眼睑，用流动清水或生理盐水冲洗至少</w:t>
      </w:r>
      <w:r>
        <w:t>15</w:t>
      </w:r>
      <w:r>
        <w:rPr>
          <w:rFonts w:hint="eastAsia"/>
        </w:rPr>
        <w:t>分钟，就医；吸入：迅速脱离现场至空气新鲜处。保持呼吸道通畅。呼吸困难时给输氧。给予</w:t>
      </w:r>
      <w:r>
        <w:t>2-4%</w:t>
      </w:r>
      <w:r>
        <w:rPr>
          <w:rFonts w:hint="eastAsia"/>
        </w:rPr>
        <w:t>碳酸氢钠溶液雾化吸入，就医；食入：误服者给饮大量温水，催吐，就医。</w:t>
      </w:r>
    </w:p>
    <w:p>
      <w:pPr>
        <w:ind w:firstLine="480"/>
      </w:pPr>
      <w:r>
        <w:rPr>
          <w:rFonts w:hint="eastAsia"/>
        </w:rPr>
        <w:t>灭火方法：雾状水、泡沫、二氧化碳、砂土。</w:t>
      </w:r>
    </w:p>
    <w:p>
      <w:pPr>
        <w:pStyle w:val="3"/>
      </w:pPr>
      <w:bookmarkStart w:id="89" w:name="_Toc469387643"/>
      <w:bookmarkStart w:id="90" w:name="_Toc390718321"/>
      <w:bookmarkStart w:id="91" w:name="_Toc338452735"/>
      <w:bookmarkStart w:id="92" w:name="_Toc413313103"/>
      <w:bookmarkStart w:id="93" w:name="_Toc21088"/>
      <w:r>
        <w:rPr>
          <w:rFonts w:hint="eastAsia"/>
        </w:rPr>
        <w:t>环境风险评价结论</w:t>
      </w:r>
      <w:bookmarkEnd w:id="89"/>
      <w:bookmarkEnd w:id="90"/>
      <w:bookmarkEnd w:id="91"/>
      <w:bookmarkEnd w:id="92"/>
      <w:bookmarkEnd w:id="93"/>
    </w:p>
    <w:p>
      <w:pPr>
        <w:ind w:firstLine="480"/>
      </w:pPr>
      <w:r>
        <w:rPr>
          <w:rFonts w:hint="eastAsia"/>
        </w:rPr>
        <w:t>企业不存在重大危险源，但使用的部分原料在运输、贮存和使用过程中均存在一定的环境风险，其环境风险主要是废水事故性排放、原料储运发生破裂泄漏、废气火灾爆炸风险事故等。</w:t>
      </w:r>
    </w:p>
    <w:p>
      <w:pPr>
        <w:ind w:firstLine="480"/>
      </w:pPr>
      <w:r>
        <w:rPr>
          <w:rFonts w:hint="eastAsia"/>
        </w:rPr>
        <w:t>企业在生产、贮运过程中，严格按照《危险废物贮存污染控制标准》（</w:t>
      </w:r>
      <w:r>
        <w:t>GB18597-2001</w:t>
      </w:r>
      <w:r>
        <w:rPr>
          <w:rFonts w:hint="eastAsia"/>
        </w:rPr>
        <w:t>）及修改单（环保部公告</w:t>
      </w:r>
      <w:r>
        <w:t>2013</w:t>
      </w:r>
      <w:r>
        <w:rPr>
          <w:rFonts w:hint="eastAsia"/>
        </w:rPr>
        <w:t>年第</w:t>
      </w:r>
      <w:r>
        <w:t>36</w:t>
      </w:r>
      <w:r>
        <w:rPr>
          <w:rFonts w:hint="eastAsia"/>
        </w:rPr>
        <w:t>号）等相关规范要求执行，多方面积极采取防护措施，加强风险管理，通过相应的技术手段降低风险发生概率，并在风险事故发生后，及时采取风险防范措施及应急预案，可以使风险事故对环境的危害得到有效控制，将事故风险控制在可以接受的范围内。</w:t>
      </w:r>
    </w:p>
    <w:p>
      <w:pPr>
        <w:ind w:firstLine="480"/>
        <w:sectPr>
          <w:pgSz w:w="11906" w:h="16838"/>
          <w:pgMar w:top="1440" w:right="1417" w:bottom="1440" w:left="1417" w:header="851" w:footer="992" w:gutter="0"/>
          <w:cols w:space="0" w:num="1"/>
          <w:docGrid w:type="lines" w:linePitch="332" w:charSpace="0"/>
        </w:sectPr>
      </w:pPr>
    </w:p>
    <w:p>
      <w:pPr>
        <w:pStyle w:val="2"/>
        <w:spacing w:line="480" w:lineRule="exact"/>
      </w:pPr>
      <w:bookmarkStart w:id="94" w:name="_Toc18134"/>
      <w:bookmarkStart w:id="95" w:name="_Toc469387651"/>
      <w:bookmarkStart w:id="96" w:name="_Toc344215741"/>
      <w:r>
        <w:rPr>
          <w:rFonts w:hint="eastAsia"/>
        </w:rPr>
        <w:t>清洁生产分析和循环经济</w:t>
      </w:r>
      <w:bookmarkEnd w:id="94"/>
      <w:bookmarkEnd w:id="95"/>
      <w:bookmarkEnd w:id="96"/>
    </w:p>
    <w:p>
      <w:pPr>
        <w:pStyle w:val="3"/>
        <w:spacing w:line="480" w:lineRule="exact"/>
      </w:pPr>
      <w:bookmarkStart w:id="97" w:name="_Toc344215742"/>
      <w:bookmarkStart w:id="98" w:name="_Toc338452741"/>
      <w:bookmarkStart w:id="99" w:name="_Toc469387652"/>
      <w:bookmarkStart w:id="100" w:name="_Toc29350"/>
      <w:r>
        <w:rPr>
          <w:rFonts w:hint="eastAsia"/>
        </w:rPr>
        <w:t>清洁生产</w:t>
      </w:r>
      <w:bookmarkEnd w:id="97"/>
      <w:bookmarkEnd w:id="98"/>
      <w:r>
        <w:rPr>
          <w:rFonts w:hint="eastAsia"/>
        </w:rPr>
        <w:t>要求</w:t>
      </w:r>
      <w:bookmarkEnd w:id="99"/>
      <w:bookmarkEnd w:id="100"/>
    </w:p>
    <w:p>
      <w:pPr>
        <w:spacing w:line="460" w:lineRule="exact"/>
        <w:ind w:firstLine="480"/>
        <w:rPr>
          <w:sz w:val="21"/>
          <w:szCs w:val="21"/>
        </w:rPr>
      </w:pPr>
      <w:r>
        <w:rPr>
          <w:rFonts w:hint="eastAsia"/>
        </w:rPr>
        <w:t>清洁生产是指使用更清洁的原料、采用更清洁的生产过程、生产更清洁的产品或提供更清洁的服务。推行清洁生产可以达到</w:t>
      </w:r>
      <w:r>
        <w:t>“</w:t>
      </w:r>
      <w:r>
        <w:rPr>
          <w:rFonts w:hint="eastAsia"/>
        </w:rPr>
        <w:t>节能、降耗、减污、增效</w:t>
      </w:r>
      <w:r>
        <w:t>”</w:t>
      </w:r>
      <w:r>
        <w:rPr>
          <w:rFonts w:hint="eastAsia"/>
        </w:rPr>
        <w:t>的目的，是保护环境，实现经济可持续发展必由之路，为使建设项目实现经济效益、环境效益和社会效益的统一，使项目环境影响尽量减少到最小，企业必须认真贯彻执行《中华人民共和国清洁生产促进法》和国家环保局、国家经贸委提出的《印染行业废水污染防治技术政策》，通过采取清洁生产措施进行源头削减，变末端治理为全过程减污。</w:t>
      </w:r>
    </w:p>
    <w:p>
      <w:pPr>
        <w:pStyle w:val="3"/>
        <w:spacing w:line="460" w:lineRule="exact"/>
      </w:pPr>
      <w:bookmarkStart w:id="101" w:name="_Toc390718330"/>
      <w:bookmarkStart w:id="102" w:name="_Toc463691539"/>
      <w:bookmarkStart w:id="103" w:name="_Toc469387653"/>
      <w:bookmarkStart w:id="104" w:name="_Toc338452743"/>
      <w:bookmarkStart w:id="105" w:name="_Toc413313112"/>
      <w:bookmarkStart w:id="106" w:name="_Toc13773"/>
      <w:r>
        <w:rPr>
          <w:rFonts w:hint="eastAsia"/>
        </w:rPr>
        <w:t>技改项目清洁生产水平分析</w:t>
      </w:r>
      <w:bookmarkEnd w:id="101"/>
      <w:bookmarkEnd w:id="102"/>
      <w:bookmarkEnd w:id="103"/>
      <w:bookmarkEnd w:id="104"/>
      <w:bookmarkEnd w:id="105"/>
      <w:bookmarkEnd w:id="106"/>
    </w:p>
    <w:p>
      <w:pPr>
        <w:spacing w:line="460" w:lineRule="exact"/>
        <w:ind w:firstLine="480"/>
      </w:pPr>
      <w:r>
        <w:rPr>
          <w:rFonts w:hint="eastAsia"/>
        </w:rPr>
        <w:t>清洁生产水平分析主要从原料及能源、产品结构、工艺生产、生产设备、节能降耗、物料替代、资源回收、员工素质及管理水平等方面加以分析。</w:t>
      </w:r>
    </w:p>
    <w:p>
      <w:pPr>
        <w:spacing w:line="460" w:lineRule="exact"/>
        <w:ind w:firstLine="480"/>
      </w:pPr>
      <w:r>
        <w:t>1</w:t>
      </w:r>
      <w:r>
        <w:rPr>
          <w:rFonts w:hint="eastAsia"/>
        </w:rPr>
        <w:t>、原料及能源</w:t>
      </w:r>
    </w:p>
    <w:p>
      <w:pPr>
        <w:spacing w:line="460" w:lineRule="exact"/>
        <w:ind w:firstLine="512"/>
        <w:rPr>
          <w:rFonts w:ascii="宋体" w:cs="宋体"/>
        </w:rPr>
      </w:pPr>
      <w:r>
        <w:rPr>
          <w:rFonts w:hint="eastAsia" w:ascii="宋体" w:hAnsi="宋体" w:cs="宋体"/>
          <w:spacing w:val="8"/>
        </w:rPr>
        <w:t>绿色纺织品要求在印染加工中禁止使用法规中所规定的致癌</w:t>
      </w:r>
      <w:r>
        <w:rPr>
          <w:rFonts w:hint="eastAsia" w:ascii="Lingoes Unicode" w:hAnsi="Lingoes Unicode" w:eastAsia="Lingoes Unicode" w:cs="Lingoes Unicode"/>
          <w:spacing w:val="8"/>
        </w:rPr>
        <w:t>、</w:t>
      </w:r>
      <w:r>
        <w:rPr>
          <w:rFonts w:hint="eastAsia" w:ascii="宋体" w:hAnsi="宋体" w:cs="宋体"/>
          <w:spacing w:val="8"/>
        </w:rPr>
        <w:t>致畸、生物降解性差和某些芳香胺中间体生产的染化料，同时也要求所使用的助剂不含重金属离子和不产生游离甲醛</w:t>
      </w:r>
      <w:r>
        <w:rPr>
          <w:spacing w:val="8"/>
        </w:rPr>
        <w:t>[2-4]</w:t>
      </w:r>
      <w:r>
        <w:rPr>
          <w:rFonts w:hint="eastAsia" w:ascii="宋体" w:hAnsi="宋体" w:cs="宋体"/>
          <w:spacing w:val="8"/>
        </w:rPr>
        <w:t>，也就是使用</w:t>
      </w:r>
      <w:r>
        <w:rPr>
          <w:rFonts w:hint="eastAsia"/>
          <w:spacing w:val="8"/>
        </w:rPr>
        <w:t>“</w:t>
      </w:r>
      <w:r>
        <w:rPr>
          <w:rFonts w:hint="eastAsia" w:ascii="宋体" w:hAnsi="宋体" w:cs="宋体"/>
          <w:spacing w:val="8"/>
        </w:rPr>
        <w:t>绿色助剂</w:t>
      </w:r>
      <w:r>
        <w:rPr>
          <w:rFonts w:hint="eastAsia"/>
          <w:spacing w:val="8"/>
        </w:rPr>
        <w:t>”</w:t>
      </w:r>
      <w:r>
        <w:rPr>
          <w:rFonts w:hint="eastAsia" w:ascii="宋体" w:hAnsi="宋体" w:cs="宋体"/>
          <w:spacing w:val="8"/>
        </w:rPr>
        <w:t>。技改项目采用</w:t>
      </w:r>
      <w:r>
        <w:rPr>
          <w:rFonts w:hint="eastAsia"/>
        </w:rPr>
        <w:t>上染率较高环保染料，即</w:t>
      </w:r>
      <w:r>
        <w:rPr>
          <w:rFonts w:hint="eastAsia" w:ascii="宋体" w:hAnsi="宋体" w:cs="宋体"/>
        </w:rPr>
        <w:t>不含或不产生有害芳香胺，染料本身无致癌</w:t>
      </w:r>
      <w:r>
        <w:rPr>
          <w:rFonts w:hint="eastAsia" w:ascii="Lingoes Unicode" w:hAnsi="Lingoes Unicode" w:eastAsia="Lingoes Unicode" w:cs="Lingoes Unicode"/>
        </w:rPr>
        <w:t>、</w:t>
      </w:r>
      <w:r>
        <w:rPr>
          <w:rFonts w:hint="eastAsia" w:ascii="宋体" w:hAnsi="宋体" w:cs="宋体"/>
        </w:rPr>
        <w:t>致敏</w:t>
      </w:r>
      <w:r>
        <w:rPr>
          <w:rFonts w:hint="eastAsia" w:ascii="Lingoes Unicode" w:hAnsi="Lingoes Unicode" w:eastAsia="Lingoes Unicode" w:cs="Lingoes Unicode"/>
        </w:rPr>
        <w:t>、</w:t>
      </w:r>
      <w:r>
        <w:rPr>
          <w:rFonts w:hint="eastAsia" w:ascii="宋体" w:hAnsi="宋体" w:cs="宋体"/>
        </w:rPr>
        <w:t>急毒性，使用后甲醛和可萃取重金属在限量以下，不含环境激素，不含持续性有机污染物，色牢度和使用性能优于禁用染料</w:t>
      </w:r>
      <w:r>
        <w:rPr>
          <w:rFonts w:hint="eastAsia" w:ascii="Lingoes Unicode" w:hAnsi="Lingoes Unicode" w:eastAsia="Lingoes Unicode" w:cs="Lingoes Unicode"/>
        </w:rPr>
        <w:t>。</w:t>
      </w:r>
      <w:r>
        <w:rPr>
          <w:rFonts w:hint="eastAsia"/>
        </w:rPr>
        <w:t>采用</w:t>
      </w:r>
      <w:r>
        <w:rPr>
          <w:rFonts w:hint="eastAsia" w:ascii="宋体" w:hAnsi="宋体" w:cs="宋体"/>
          <w:spacing w:val="8"/>
        </w:rPr>
        <w:t>无甲醛固色剂等</w:t>
      </w:r>
      <w:r>
        <w:rPr>
          <w:rFonts w:hint="eastAsia"/>
          <w:spacing w:val="8"/>
        </w:rPr>
        <w:t>“</w:t>
      </w:r>
      <w:r>
        <w:rPr>
          <w:rFonts w:hint="eastAsia" w:ascii="宋体" w:hAnsi="宋体" w:cs="宋体"/>
          <w:spacing w:val="8"/>
        </w:rPr>
        <w:t>绿色助剂</w:t>
      </w:r>
      <w:r>
        <w:rPr>
          <w:rFonts w:hint="eastAsia"/>
          <w:spacing w:val="8"/>
        </w:rPr>
        <w:t>”</w:t>
      </w:r>
      <w:r>
        <w:rPr>
          <w:rFonts w:hint="eastAsia" w:ascii="宋体" w:hAnsi="宋体" w:cs="宋体"/>
          <w:spacing w:val="8"/>
        </w:rPr>
        <w:t>，</w:t>
      </w:r>
      <w:r>
        <w:rPr>
          <w:rFonts w:hint="eastAsia" w:ascii="宋体" w:hAnsi="宋体" w:cs="宋体"/>
        </w:rPr>
        <w:t>不使用含全氟辛酸（</w:t>
      </w:r>
      <w:r>
        <w:t>PFOA</w:t>
      </w:r>
      <w:r>
        <w:rPr>
          <w:rFonts w:hint="eastAsia" w:ascii="宋体" w:hAnsi="宋体" w:cs="宋体"/>
        </w:rPr>
        <w:t>）</w:t>
      </w:r>
      <w:r>
        <w:rPr>
          <w:rFonts w:hint="eastAsia" w:ascii="Lingoes Unicode" w:hAnsi="Lingoes Unicode" w:eastAsia="Lingoes Unicode" w:cs="Lingoes Unicode"/>
        </w:rPr>
        <w:t>、</w:t>
      </w:r>
      <w:r>
        <w:rPr>
          <w:rFonts w:hint="eastAsia" w:ascii="宋体" w:hAnsi="宋体" w:cs="宋体"/>
        </w:rPr>
        <w:t>全氟辛基磺酸（</w:t>
      </w:r>
      <w:r>
        <w:t>PFOS</w:t>
      </w:r>
      <w:r>
        <w:rPr>
          <w:rFonts w:hint="eastAsia" w:ascii="宋体" w:hAnsi="宋体" w:cs="宋体"/>
        </w:rPr>
        <w:t>）及壬基酚聚氧乙烯醚（</w:t>
      </w:r>
      <w:r>
        <w:t>NPE</w:t>
      </w:r>
      <w:r>
        <w:rPr>
          <w:rFonts w:hint="eastAsia" w:ascii="宋体" w:hAnsi="宋体" w:cs="宋体"/>
        </w:rPr>
        <w:t>）等“环境激素”类</w:t>
      </w:r>
      <w:r>
        <w:rPr>
          <w:rFonts w:hint="eastAsia" w:ascii="宋体" w:hAnsi="宋体" w:cs="宋体"/>
          <w:spacing w:val="8"/>
        </w:rPr>
        <w:t>助剂。</w:t>
      </w:r>
    </w:p>
    <w:p>
      <w:pPr>
        <w:spacing w:line="460" w:lineRule="exact"/>
        <w:ind w:firstLine="480"/>
      </w:pPr>
      <w:r>
        <w:rPr>
          <w:rFonts w:hint="eastAsia"/>
        </w:rPr>
        <w:t>技改项目采用清洁能源成型生物质作为定型机、导热油锅炉热源，不但降低了单位污染物处理成本，同时减少了污染物排放。</w:t>
      </w:r>
    </w:p>
    <w:p>
      <w:pPr>
        <w:spacing w:line="460" w:lineRule="exact"/>
        <w:ind w:firstLine="480"/>
      </w:pPr>
      <w:r>
        <w:rPr>
          <w:rFonts w:hint="eastAsia" w:hAnsi="宋体"/>
        </w:rPr>
        <w:t>为了能够更好的推进节能减排，</w:t>
      </w:r>
      <w:r>
        <w:rPr>
          <w:rFonts w:hint="eastAsia"/>
        </w:rPr>
        <w:t>在项目实施过程中废水、蒸汽冷凝水和间接冷却水进行回用</w:t>
      </w:r>
      <w:r>
        <w:rPr>
          <w:rFonts w:hint="eastAsia"/>
          <w:szCs w:val="21"/>
        </w:rPr>
        <w:t>。</w:t>
      </w:r>
    </w:p>
    <w:p>
      <w:pPr>
        <w:pStyle w:val="11"/>
        <w:spacing w:line="460" w:lineRule="exact"/>
        <w:ind w:firstLine="480"/>
      </w:pPr>
      <w:r>
        <w:t>2</w:t>
      </w:r>
      <w:r>
        <w:rPr>
          <w:rFonts w:hint="eastAsia"/>
        </w:rPr>
        <w:t>、产品</w:t>
      </w:r>
    </w:p>
    <w:p>
      <w:pPr>
        <w:spacing w:line="460" w:lineRule="exact"/>
        <w:ind w:firstLine="480"/>
      </w:pPr>
      <w:r>
        <w:rPr>
          <w:rFonts w:hint="eastAsia"/>
        </w:rPr>
        <w:t>项目选用优质锦棉坯布作为原料布，生产出的产品具有粘胶纤维手感柔软、飘逸风格、吸湿透气性好的优点，又具有锦纶纤维弹性好、强度高、耐轻耐磨、吸湿性也较好的优点。项目产品主要用于中高档服装面料。</w:t>
      </w:r>
    </w:p>
    <w:p>
      <w:pPr>
        <w:pStyle w:val="11"/>
        <w:spacing w:line="460" w:lineRule="exact"/>
        <w:ind w:firstLine="480"/>
      </w:pPr>
      <w:r>
        <w:t>3</w:t>
      </w:r>
      <w:r>
        <w:rPr>
          <w:rFonts w:hint="eastAsia"/>
        </w:rPr>
        <w:t>、生产工艺</w:t>
      </w:r>
    </w:p>
    <w:p>
      <w:pPr>
        <w:spacing w:line="460" w:lineRule="exact"/>
        <w:ind w:firstLine="480"/>
      </w:pPr>
      <w:r>
        <w:t>(1)</w:t>
      </w:r>
      <w:r>
        <w:rPr>
          <w:rFonts w:hint="eastAsia"/>
        </w:rPr>
        <w:t>应用机械自动控制技术，使以前很传统的工艺得以简单地实现，工艺重现性好，生产管理明晰有效，极大地提高劳动生产率。</w:t>
      </w:r>
    </w:p>
    <w:p>
      <w:pPr>
        <w:autoSpaceDE w:val="0"/>
        <w:autoSpaceDN w:val="0"/>
        <w:adjustRightInd w:val="0"/>
        <w:spacing w:line="460" w:lineRule="exact"/>
        <w:ind w:firstLine="480"/>
      </w:pPr>
      <w:r>
        <w:t>(2)</w:t>
      </w:r>
      <w:r>
        <w:rPr>
          <w:rFonts w:hint="eastAsia" w:hAnsi="宋体"/>
          <w:kern w:val="0"/>
        </w:rPr>
        <w:t>使用生态环保型、高上染率染化料和高性能助剂，未使用国家规定要淘汰和禁用的染料。</w:t>
      </w:r>
      <w:r>
        <w:rPr>
          <w:rFonts w:hint="eastAsia"/>
        </w:rPr>
        <w:t>确保产品品质质量，可以获得事半功倍的效果。</w:t>
      </w:r>
    </w:p>
    <w:p>
      <w:pPr>
        <w:pStyle w:val="11"/>
        <w:spacing w:line="460" w:lineRule="exact"/>
        <w:ind w:firstLine="480"/>
      </w:pPr>
      <w:r>
        <w:t>4</w:t>
      </w:r>
      <w:r>
        <w:rPr>
          <w:rFonts w:hint="eastAsia"/>
        </w:rPr>
        <w:t>、生产设备</w:t>
      </w:r>
    </w:p>
    <w:p>
      <w:pPr>
        <w:pStyle w:val="11"/>
        <w:spacing w:line="460" w:lineRule="exact"/>
        <w:ind w:firstLine="480"/>
        <w:rPr>
          <w:color w:val="FF0000"/>
        </w:rPr>
      </w:pPr>
      <w:r>
        <w:rPr>
          <w:rFonts w:hint="eastAsia"/>
        </w:rPr>
        <w:t>技改项目引进</w:t>
      </w:r>
      <w:r>
        <w:t>YLMD908-201-12</w:t>
      </w:r>
      <w:r>
        <w:rPr>
          <w:rFonts w:hint="eastAsia"/>
        </w:rPr>
        <w:t>浙江新昌定型机，购置无锡长风机械制造厂</w:t>
      </w:r>
      <w:r>
        <w:t>HRB-500</w:t>
      </w:r>
      <w:r>
        <w:rPr>
          <w:rFonts w:hint="eastAsia"/>
        </w:rPr>
        <w:t>高温高压染色机、江苏宝应</w:t>
      </w:r>
      <w:r>
        <w:t>SMA982A</w:t>
      </w:r>
      <w:r>
        <w:rPr>
          <w:rFonts w:hint="eastAsia"/>
        </w:rPr>
        <w:t>开幅机等先进设备，相关设备的详见表</w:t>
      </w:r>
      <w:r>
        <w:t>4.1-5</w:t>
      </w:r>
      <w:r>
        <w:rPr>
          <w:rFonts w:hint="eastAsia"/>
        </w:rPr>
        <w:t>。</w:t>
      </w:r>
    </w:p>
    <w:p>
      <w:pPr>
        <w:autoSpaceDE w:val="0"/>
        <w:autoSpaceDN w:val="0"/>
        <w:adjustRightInd w:val="0"/>
        <w:spacing w:line="460" w:lineRule="exact"/>
        <w:ind w:firstLine="480"/>
      </w:pPr>
      <w:r>
        <w:t>5</w:t>
      </w:r>
      <w:r>
        <w:rPr>
          <w:rFonts w:hint="eastAsia"/>
        </w:rPr>
        <w:t>、生产过程</w:t>
      </w:r>
    </w:p>
    <w:p>
      <w:pPr>
        <w:autoSpaceDE w:val="0"/>
        <w:autoSpaceDN w:val="0"/>
        <w:adjustRightInd w:val="0"/>
        <w:spacing w:line="460" w:lineRule="exact"/>
        <w:ind w:firstLine="480"/>
        <w:rPr>
          <w:rFonts w:hAnsi="宋体"/>
          <w:spacing w:val="8"/>
          <w:kern w:val="0"/>
          <w:szCs w:val="21"/>
        </w:rPr>
      </w:pPr>
      <w:r>
        <w:rPr>
          <w:rFonts w:hint="eastAsia"/>
        </w:rPr>
        <w:t>技改后企业实施中水回用，冷却水全部循环利用，</w:t>
      </w:r>
      <w:r>
        <w:rPr>
          <w:rFonts w:hint="eastAsia" w:hAnsi="宋体"/>
        </w:rPr>
        <w:t>水</w:t>
      </w:r>
      <w:r>
        <w:rPr>
          <w:rFonts w:hint="eastAsia"/>
          <w:spacing w:val="8"/>
          <w:kern w:val="0"/>
          <w:szCs w:val="21"/>
        </w:rPr>
        <w:t>重复利用率</w:t>
      </w:r>
      <w:r>
        <w:rPr>
          <w:rFonts w:hint="eastAsia" w:hAnsi="宋体"/>
        </w:rPr>
        <w:t>达</w:t>
      </w:r>
      <w:r>
        <w:t>83.5%</w:t>
      </w:r>
      <w:r>
        <w:rPr>
          <w:rFonts w:hint="eastAsia"/>
        </w:rPr>
        <w:t>。根据项目工程分析可知，技改后企业单位产品新鲜水取水量和排水量指标均满足《印染行业准入条件</w:t>
      </w:r>
      <w:r>
        <w:t>(2010</w:t>
      </w:r>
      <w:r>
        <w:rPr>
          <w:rFonts w:hint="eastAsia"/>
        </w:rPr>
        <w:t>年修订版》和《纺织染整工业水污染物排放标准》（</w:t>
      </w:r>
      <w:r>
        <w:t>GB4287-2012</w:t>
      </w:r>
      <w:r>
        <w:rPr>
          <w:rFonts w:hint="eastAsia"/>
        </w:rPr>
        <w:t>）中的相关限值要求。建议本项目实施后，对企业进行清洁生产定量考核，力求使印染加工单位产品废水平均排放量控制到最低限度。</w:t>
      </w:r>
    </w:p>
    <w:p>
      <w:pPr>
        <w:spacing w:line="460" w:lineRule="exact"/>
        <w:ind w:firstLine="480"/>
      </w:pPr>
      <w:r>
        <w:t>6</w:t>
      </w:r>
      <w:r>
        <w:rPr>
          <w:rFonts w:hint="eastAsia" w:hAnsi="宋体"/>
        </w:rPr>
        <w:t>、污染物排放</w:t>
      </w:r>
    </w:p>
    <w:p>
      <w:pPr>
        <w:spacing w:line="460" w:lineRule="exact"/>
        <w:ind w:firstLine="480"/>
      </w:pPr>
      <w:r>
        <w:rPr>
          <w:rFonts w:hint="eastAsia" w:hAnsi="宋体"/>
        </w:rPr>
        <w:t>企业</w:t>
      </w:r>
      <w:r>
        <w:rPr>
          <w:rFonts w:hint="eastAsia"/>
        </w:rPr>
        <w:t>采用成型生物质作为定型机等用热设备的热源，采用了中水回用、废水套用等方式，大大减少了废水排放量</w:t>
      </w:r>
      <w:r>
        <w:rPr>
          <w:rFonts w:hint="eastAsia" w:hAnsi="宋体"/>
        </w:rPr>
        <w:t>。大气污染物二氧化硫排放量由</w:t>
      </w:r>
      <w:r>
        <w:rPr>
          <w:rFonts w:hAnsi="宋体"/>
        </w:rPr>
        <w:t>9.075t/a</w:t>
      </w:r>
      <w:r>
        <w:rPr>
          <w:rFonts w:hint="eastAsia" w:hAnsi="宋体"/>
        </w:rPr>
        <w:t>减少为</w:t>
      </w:r>
      <w:r>
        <w:rPr>
          <w:rFonts w:hAnsi="宋体"/>
        </w:rPr>
        <w:t>2.992t/a</w:t>
      </w:r>
      <w:r>
        <w:rPr>
          <w:rFonts w:hint="eastAsia" w:hAnsi="宋体"/>
        </w:rPr>
        <w:t>，氮氧化物排放量由</w:t>
      </w:r>
      <w:r>
        <w:rPr>
          <w:rFonts w:hAnsi="宋体"/>
        </w:rPr>
        <w:t>10.27t/a</w:t>
      </w:r>
      <w:r>
        <w:rPr>
          <w:rFonts w:hint="eastAsia" w:hAnsi="宋体"/>
        </w:rPr>
        <w:t>减少为</w:t>
      </w:r>
      <w:r>
        <w:rPr>
          <w:rFonts w:hAnsi="宋体"/>
        </w:rPr>
        <w:t>2.244t/a</w:t>
      </w:r>
      <w:r>
        <w:rPr>
          <w:rFonts w:hint="eastAsia" w:hAnsi="宋体"/>
        </w:rPr>
        <w:t>，颗粒物排放量由</w:t>
      </w:r>
      <w:r>
        <w:rPr>
          <w:rFonts w:hAnsi="宋体"/>
        </w:rPr>
        <w:t>9.0145t/a</w:t>
      </w:r>
      <w:r>
        <w:rPr>
          <w:rFonts w:hint="eastAsia" w:hAnsi="宋体"/>
        </w:rPr>
        <w:t>减少为</w:t>
      </w:r>
      <w:r>
        <w:rPr>
          <w:rFonts w:hAnsi="宋体"/>
        </w:rPr>
        <w:t>0.143t/a</w:t>
      </w:r>
      <w:r>
        <w:rPr>
          <w:rFonts w:hint="eastAsia" w:hAnsi="宋体"/>
        </w:rPr>
        <w:t>，</w:t>
      </w:r>
      <w:r>
        <w:rPr>
          <w:rFonts w:hAnsi="宋体"/>
        </w:rPr>
        <w:t>VOVs</w:t>
      </w:r>
      <w:r>
        <w:rPr>
          <w:rFonts w:hint="eastAsia" w:hAnsi="宋体"/>
        </w:rPr>
        <w:t>排放量由</w:t>
      </w:r>
      <w:r>
        <w:rPr>
          <w:rFonts w:hAnsi="宋体"/>
        </w:rPr>
        <w:t>8.625t/a</w:t>
      </w:r>
      <w:r>
        <w:rPr>
          <w:rFonts w:hint="eastAsia" w:hAnsi="宋体"/>
        </w:rPr>
        <w:t>减少为</w:t>
      </w:r>
      <w:r>
        <w:rPr>
          <w:rFonts w:hAnsi="宋体"/>
        </w:rPr>
        <w:t>1.94t/a</w:t>
      </w:r>
      <w:r>
        <w:rPr>
          <w:rFonts w:hint="eastAsia" w:hAnsi="宋体"/>
        </w:rPr>
        <w:t>；水污染物排入环境的</w:t>
      </w:r>
      <w:r>
        <w:rPr>
          <w:rFonts w:hAnsi="宋体"/>
        </w:rPr>
        <w:t>COD</w:t>
      </w:r>
      <w:r>
        <w:rPr>
          <w:rFonts w:hint="eastAsia" w:hAnsi="宋体"/>
        </w:rPr>
        <w:t>排放量由16.468</w:t>
      </w:r>
      <w:r>
        <w:rPr>
          <w:rFonts w:hAnsi="宋体"/>
        </w:rPr>
        <w:t>t/a</w:t>
      </w:r>
      <w:r>
        <w:rPr>
          <w:rFonts w:hint="eastAsia" w:hAnsi="宋体"/>
        </w:rPr>
        <w:t>减少为</w:t>
      </w:r>
      <w:r>
        <w:rPr>
          <w:rFonts w:hint="eastAsia"/>
        </w:rPr>
        <w:t>2.889</w:t>
      </w:r>
      <w:r>
        <w:rPr>
          <w:rFonts w:hAnsi="宋体"/>
        </w:rPr>
        <w:t>t/a</w:t>
      </w:r>
      <w:r>
        <w:rPr>
          <w:rFonts w:hint="eastAsia" w:hAnsi="宋体"/>
        </w:rPr>
        <w:t>，氨氮排放量由0.87</w:t>
      </w:r>
      <w:r>
        <w:rPr>
          <w:rFonts w:hAnsi="宋体"/>
        </w:rPr>
        <w:t>/a</w:t>
      </w:r>
      <w:r>
        <w:rPr>
          <w:rFonts w:hint="eastAsia" w:hAnsi="宋体"/>
        </w:rPr>
        <w:t>减少为</w:t>
      </w:r>
      <w:r>
        <w:t>0.4</w:t>
      </w:r>
      <w:r>
        <w:rPr>
          <w:rFonts w:hint="eastAsia"/>
        </w:rPr>
        <w:t>62</w:t>
      </w:r>
      <w:r>
        <w:rPr>
          <w:rFonts w:hAnsi="宋体"/>
        </w:rPr>
        <w:t>t/a</w:t>
      </w:r>
      <w:r>
        <w:rPr>
          <w:rFonts w:hint="eastAsia" w:hAnsi="宋体"/>
        </w:rPr>
        <w:t>，废水排放量由1065.9</w:t>
      </w:r>
      <w:r>
        <w:rPr>
          <w:rFonts w:hAnsi="宋体"/>
        </w:rPr>
        <w:t>t/d</w:t>
      </w:r>
      <w:r>
        <w:rPr>
          <w:rFonts w:hint="eastAsia" w:hAnsi="宋体"/>
        </w:rPr>
        <w:t>减少为1</w:t>
      </w:r>
      <w:r>
        <w:rPr>
          <w:rFonts w:hAnsi="宋体"/>
        </w:rPr>
        <w:t>9</w:t>
      </w:r>
      <w:r>
        <w:rPr>
          <w:rFonts w:hint="eastAsia" w:hAnsi="宋体"/>
        </w:rPr>
        <w:t>2</w:t>
      </w:r>
      <w:r>
        <w:rPr>
          <w:rFonts w:hAnsi="宋体"/>
        </w:rPr>
        <w:t>.6t/d</w:t>
      </w:r>
      <w:r>
        <w:rPr>
          <w:rFonts w:hint="eastAsia" w:hAnsi="宋体"/>
        </w:rPr>
        <w:t>。</w:t>
      </w:r>
    </w:p>
    <w:p>
      <w:pPr>
        <w:spacing w:line="460" w:lineRule="exact"/>
        <w:ind w:firstLine="480"/>
      </w:pPr>
      <w:r>
        <w:t>7</w:t>
      </w:r>
      <w:r>
        <w:rPr>
          <w:rFonts w:hint="eastAsia" w:hAnsi="宋体"/>
        </w:rPr>
        <w:t>、管理</w:t>
      </w:r>
    </w:p>
    <w:p>
      <w:pPr>
        <w:spacing w:line="460" w:lineRule="exact"/>
        <w:ind w:firstLine="480"/>
        <w:rPr>
          <w:rFonts w:hAnsi="宋体"/>
        </w:rPr>
      </w:pPr>
      <w:r>
        <w:rPr>
          <w:rFonts w:hint="eastAsia" w:hAnsi="宋体"/>
        </w:rPr>
        <w:t>企业的生产采用机械自动化管理，实现对企业整个生产活动的全面管控，整个生产流程从白坯入库到成品出库等均可查看、反馈、跟踪，使管理趋向规范化、透明化、科学化，减少人为因素造成的错误，建立快速反应机制，从而提升企业整体竞争力。</w:t>
      </w:r>
    </w:p>
    <w:p>
      <w:pPr>
        <w:pStyle w:val="3"/>
        <w:spacing w:line="460" w:lineRule="exact"/>
      </w:pPr>
      <w:bookmarkStart w:id="107" w:name="_Toc12801"/>
      <w:bookmarkStart w:id="108" w:name="_Toc469387654"/>
      <w:bookmarkStart w:id="109" w:name="_Toc344215745"/>
      <w:bookmarkStart w:id="110" w:name="_Toc338452744"/>
      <w:bookmarkStart w:id="111" w:name="_Toc463691540"/>
      <w:r>
        <w:rPr>
          <w:rFonts w:hint="eastAsia"/>
        </w:rPr>
        <w:t>清洁生产措施建议</w:t>
      </w:r>
      <w:bookmarkEnd w:id="107"/>
      <w:bookmarkEnd w:id="108"/>
      <w:bookmarkEnd w:id="109"/>
      <w:bookmarkEnd w:id="110"/>
      <w:bookmarkEnd w:id="111"/>
    </w:p>
    <w:p>
      <w:pPr>
        <w:spacing w:line="460" w:lineRule="exact"/>
        <w:ind w:firstLine="480"/>
        <w:jc w:val="left"/>
      </w:pPr>
      <w:r>
        <w:rPr>
          <w:rFonts w:hint="eastAsia"/>
        </w:rPr>
        <w:t>环评建议企业在实施清洁生产过程中具体可从以下几方面着手：</w:t>
      </w:r>
    </w:p>
    <w:p>
      <w:pPr>
        <w:spacing w:line="460" w:lineRule="exact"/>
        <w:ind w:firstLine="480"/>
      </w:pPr>
      <w:r>
        <w:t>1</w:t>
      </w:r>
      <w:r>
        <w:rPr>
          <w:rFonts w:hint="eastAsia"/>
        </w:rPr>
        <w:t>、完善企业内部管理，减少物料消耗</w:t>
      </w:r>
    </w:p>
    <w:p>
      <w:pPr>
        <w:spacing w:line="460" w:lineRule="exact"/>
        <w:ind w:firstLine="480"/>
      </w:pPr>
      <w:r>
        <w:rPr>
          <w:rFonts w:hint="eastAsia"/>
        </w:rPr>
        <w:t>实践证明，通过加强企业管理、可以大幅降低原料及燃料的耗用量。据估计，通过实施成本控制法、落实成本控制责任制，可以降低成本</w:t>
      </w:r>
      <w:r>
        <w:t>15</w:t>
      </w:r>
      <w:r>
        <w:rPr>
          <w:rFonts w:hint="eastAsia"/>
        </w:rPr>
        <w:t>％左右。建议企业内部实施如下管理：</w:t>
      </w:r>
    </w:p>
    <w:p>
      <w:pPr>
        <w:spacing w:line="460" w:lineRule="exact"/>
        <w:ind w:firstLine="480"/>
      </w:pPr>
      <w:r>
        <w:rPr>
          <w:rFonts w:hint="eastAsia"/>
        </w:rPr>
        <w:fldChar w:fldCharType="begin"/>
      </w:r>
      <w:r>
        <w:instrText xml:space="preserve"> = 1 \* GB3 </w:instrText>
      </w:r>
      <w:r>
        <w:rPr>
          <w:rFonts w:hint="eastAsia"/>
        </w:rPr>
        <w:fldChar w:fldCharType="separate"/>
      </w:r>
      <w:r>
        <w:rPr>
          <w:rFonts w:hint="eastAsia" w:ascii="宋体" w:hAnsi="宋体" w:cs="宋体"/>
        </w:rPr>
        <w:t>①</w:t>
      </w:r>
      <w:r>
        <w:rPr>
          <w:rFonts w:hint="eastAsia" w:ascii="宋体" w:hAnsi="宋体" w:cs="宋体"/>
        </w:rPr>
        <w:fldChar w:fldCharType="end"/>
      </w:r>
      <w:r>
        <w:rPr>
          <w:rFonts w:hint="eastAsia"/>
        </w:rPr>
        <w:t>建立严格的管理制度，落实岗位责任制，加强生产中的现场管理。</w:t>
      </w:r>
    </w:p>
    <w:p>
      <w:pPr>
        <w:spacing w:line="460" w:lineRule="exact"/>
        <w:ind w:firstLine="480"/>
      </w:pPr>
      <w:r>
        <w:rPr>
          <w:rFonts w:hint="eastAsia" w:ascii="宋体" w:hAnsi="宋体" w:cs="宋体"/>
        </w:rPr>
        <w:t>②</w:t>
      </w:r>
      <w:r>
        <w:rPr>
          <w:rFonts w:hint="eastAsia"/>
        </w:rPr>
        <w:t>完善三级计量制，对印染设备均应安装用水、用汽和化学药剂计量装置，对单位产品实行用料考核，并与职工的经济效益挂钩，以减少物料消耗，降低生产成本，削减污染物排放量。</w:t>
      </w:r>
    </w:p>
    <w:p>
      <w:pPr>
        <w:spacing w:line="460" w:lineRule="exact"/>
        <w:ind w:firstLine="480"/>
      </w:pPr>
      <w:r>
        <w:rPr>
          <w:rFonts w:ascii="宋体" w:hAnsi="宋体" w:cs="宋体"/>
        </w:rPr>
        <w:fldChar w:fldCharType="begin"/>
      </w:r>
      <w:r>
        <w:rPr>
          <w:rFonts w:ascii="宋体" w:hAnsi="宋体" w:cs="宋体"/>
        </w:rPr>
        <w:instrText xml:space="preserve"> = 3 \* GB3 </w:instrText>
      </w:r>
      <w:r>
        <w:rPr>
          <w:rFonts w:ascii="宋体" w:hAnsi="宋体" w:cs="宋体"/>
        </w:rPr>
        <w:fldChar w:fldCharType="separate"/>
      </w:r>
      <w:r>
        <w:rPr>
          <w:rFonts w:hint="eastAsia" w:ascii="宋体" w:hAnsi="宋体" w:cs="宋体"/>
        </w:rPr>
        <w:t>③</w:t>
      </w:r>
      <w:r>
        <w:rPr>
          <w:rFonts w:ascii="宋体" w:hAnsi="宋体" w:cs="宋体"/>
        </w:rPr>
        <w:fldChar w:fldCharType="end"/>
      </w:r>
      <w:r>
        <w:rPr>
          <w:rFonts w:hint="eastAsia"/>
        </w:rPr>
        <w:t>印染企业是耗汽、耗水大户，必须合理使用能源，控制蒸汽质量和均匀度，防止蒸汽过量。</w:t>
      </w:r>
    </w:p>
    <w:p>
      <w:pPr>
        <w:spacing w:line="460" w:lineRule="exact"/>
        <w:ind w:firstLine="480"/>
      </w:pPr>
      <w:r>
        <w:rPr>
          <w:rFonts w:ascii="宋体" w:hAnsi="宋体" w:cs="宋体"/>
        </w:rPr>
        <w:fldChar w:fldCharType="begin"/>
      </w:r>
      <w:r>
        <w:rPr>
          <w:rFonts w:ascii="宋体" w:hAnsi="宋体" w:cs="宋体"/>
        </w:rPr>
        <w:instrText xml:space="preserve"> = 4 \* GB3 </w:instrText>
      </w:r>
      <w:r>
        <w:rPr>
          <w:rFonts w:ascii="宋体" w:hAnsi="宋体" w:cs="宋体"/>
        </w:rPr>
        <w:fldChar w:fldCharType="separate"/>
      </w:r>
      <w:r>
        <w:rPr>
          <w:rFonts w:hint="eastAsia" w:ascii="宋体" w:hAnsi="宋体" w:cs="宋体"/>
        </w:rPr>
        <w:t>④</w:t>
      </w:r>
      <w:r>
        <w:rPr>
          <w:rFonts w:ascii="宋体" w:hAnsi="宋体" w:cs="宋体"/>
        </w:rPr>
        <w:fldChar w:fldCharType="end"/>
      </w:r>
      <w:r>
        <w:rPr>
          <w:rFonts w:hint="eastAsia"/>
        </w:rPr>
        <w:t>对染料、助剂的投配量进行试验，在确保产品质量的前提下，确定原材料的最佳投入量，避免物料的浪费。</w:t>
      </w:r>
    </w:p>
    <w:p>
      <w:pPr>
        <w:spacing w:line="460" w:lineRule="exact"/>
        <w:ind w:firstLine="480"/>
      </w:pPr>
      <w:r>
        <w:t>2</w:t>
      </w:r>
      <w:r>
        <w:rPr>
          <w:rFonts w:hint="eastAsia"/>
        </w:rPr>
        <w:t>、采用节约用水、减少污染物排放的先进工艺及其生产设备</w:t>
      </w:r>
    </w:p>
    <w:p>
      <w:pPr>
        <w:spacing w:line="460" w:lineRule="exact"/>
        <w:ind w:firstLine="480"/>
      </w:pPr>
      <w:r>
        <w:t>3</w:t>
      </w:r>
      <w:r>
        <w:rPr>
          <w:rFonts w:hint="eastAsia"/>
        </w:rPr>
        <w:t>、工艺与装备</w:t>
      </w:r>
    </w:p>
    <w:p>
      <w:pPr>
        <w:spacing w:line="460" w:lineRule="exact"/>
        <w:ind w:firstLine="480"/>
      </w:pPr>
      <w:r>
        <w:rPr>
          <w:rFonts w:hint="eastAsia"/>
          <w:kern w:val="0"/>
          <w:szCs w:val="32"/>
        </w:rPr>
        <w:t>以现代电子技术、自动化技术、生物技术等高技术为手段，发展涂料印染、微悬浮体印染等无水或少水印染工艺技术，加快生态纺织品和功能性纺织品的研发和生产。采用节能环保的设备，主要设备的水、电、气参数应实现全自动变频控制和在线监测。</w:t>
      </w:r>
    </w:p>
    <w:p>
      <w:pPr>
        <w:spacing w:line="460" w:lineRule="exact"/>
        <w:ind w:firstLine="480"/>
      </w:pPr>
      <w:r>
        <w:t>4</w:t>
      </w:r>
      <w:r>
        <w:rPr>
          <w:rFonts w:hint="eastAsia"/>
        </w:rPr>
        <w:t>、积极提倡回用工艺</w:t>
      </w:r>
    </w:p>
    <w:p>
      <w:pPr>
        <w:spacing w:line="460" w:lineRule="exact"/>
        <w:ind w:firstLine="480"/>
      </w:pPr>
      <w:r>
        <w:rPr>
          <w:rFonts w:hint="eastAsia"/>
          <w:szCs w:val="21"/>
        </w:rPr>
        <w:t>设置完善的冷却水、冷凝水及余热回收装置；</w:t>
      </w:r>
      <w:r>
        <w:rPr>
          <w:rFonts w:hint="eastAsia"/>
        </w:rPr>
        <w:t>按照印染行业准入要求，厂方应实施中水回用</w:t>
      </w:r>
      <w:r>
        <w:rPr>
          <w:rFonts w:hint="eastAsia"/>
          <w:szCs w:val="21"/>
        </w:rPr>
        <w:t>。</w:t>
      </w:r>
    </w:p>
    <w:p>
      <w:pPr>
        <w:spacing w:line="460" w:lineRule="exact"/>
        <w:ind w:firstLine="480"/>
      </w:pPr>
      <w:r>
        <w:t>5</w:t>
      </w:r>
      <w:r>
        <w:rPr>
          <w:rFonts w:hint="eastAsia"/>
        </w:rPr>
        <w:t>、积极推广染化料的替代技术</w:t>
      </w:r>
    </w:p>
    <w:p>
      <w:pPr>
        <w:spacing w:line="460" w:lineRule="exact"/>
        <w:ind w:firstLine="480"/>
      </w:pPr>
      <w:r>
        <w:rPr>
          <w:rFonts w:hint="eastAsia"/>
        </w:rPr>
        <w:t>染化料是印染加工的主要污染源，企业应采用环保型染化料（如采用新开发成功的无甲醛整理剂</w:t>
      </w:r>
      <w:r>
        <w:t>DMEDHEU</w:t>
      </w:r>
      <w:r>
        <w:rPr>
          <w:rFonts w:hint="eastAsia" w:ascii="宋体" w:hAnsi="宋体"/>
        </w:rPr>
        <w:t>、二醛类、多羧酸类及无醛固色剂等）代替污染严重的传统的染化料，如对人体危害较大的含铜、含铅等重金属染料及部分偶氮类染料必须禁止使用；禁止使用含</w:t>
      </w:r>
      <w:r>
        <w:rPr>
          <w:rFonts w:hint="eastAsia"/>
        </w:rPr>
        <w:t>全氟辛酸（</w:t>
      </w:r>
      <w:r>
        <w:t>PFOA</w:t>
      </w:r>
      <w:r>
        <w:rPr>
          <w:rFonts w:hint="eastAsia"/>
        </w:rPr>
        <w:t>）、全氟辛基磺酸（</w:t>
      </w:r>
      <w:r>
        <w:t>PFOS</w:t>
      </w:r>
      <w:r>
        <w:rPr>
          <w:rFonts w:hint="eastAsia"/>
        </w:rPr>
        <w:t>）及壬基酚聚氧乙烯醚（</w:t>
      </w:r>
      <w:r>
        <w:t>NPE</w:t>
      </w:r>
      <w:r>
        <w:rPr>
          <w:rFonts w:hint="eastAsia"/>
        </w:rPr>
        <w:t>）等</w:t>
      </w:r>
      <w:r>
        <w:t>“</w:t>
      </w:r>
      <w:r>
        <w:rPr>
          <w:rFonts w:hint="eastAsia"/>
        </w:rPr>
        <w:t>环</w:t>
      </w:r>
      <w:r>
        <w:rPr>
          <w:rFonts w:hint="eastAsia" w:ascii="宋体" w:hAnsi="宋体"/>
        </w:rPr>
        <w:t>境激素</w:t>
      </w:r>
      <w:r>
        <w:rPr>
          <w:rFonts w:hint="eastAsia" w:ascii="宋体"/>
        </w:rPr>
        <w:t>”</w:t>
      </w:r>
      <w:r>
        <w:rPr>
          <w:rFonts w:hint="eastAsia" w:ascii="宋体" w:hAnsi="宋体"/>
        </w:rPr>
        <w:t>类助剂；</w:t>
      </w:r>
    </w:p>
    <w:p>
      <w:pPr>
        <w:spacing w:line="460" w:lineRule="exact"/>
        <w:ind w:firstLine="480"/>
      </w:pPr>
      <w:r>
        <w:t>6</w:t>
      </w:r>
      <w:r>
        <w:rPr>
          <w:rFonts w:hint="eastAsia"/>
        </w:rPr>
        <w:t>、清污分流</w:t>
      </w:r>
    </w:p>
    <w:p>
      <w:pPr>
        <w:spacing w:line="460" w:lineRule="exact"/>
        <w:ind w:firstLine="480"/>
      </w:pPr>
      <w:r>
        <w:rPr>
          <w:rFonts w:hint="eastAsia"/>
        </w:rPr>
        <w:t>切实做好雨污分流、清污分流的管道布设，完善厂区废水、雨水的收集系统，防止废水渗入地下水。</w:t>
      </w:r>
    </w:p>
    <w:p>
      <w:pPr>
        <w:spacing w:line="460" w:lineRule="exact"/>
        <w:ind w:firstLine="480"/>
      </w:pPr>
      <w:r>
        <w:t>7</w:t>
      </w:r>
      <w:r>
        <w:rPr>
          <w:rFonts w:hint="eastAsia"/>
        </w:rPr>
        <w:t>、其它</w:t>
      </w:r>
    </w:p>
    <w:p>
      <w:pPr>
        <w:spacing w:line="460" w:lineRule="exact"/>
        <w:ind w:firstLine="480"/>
      </w:pPr>
      <w:r>
        <w:rPr>
          <w:rFonts w:hint="eastAsia"/>
        </w:rPr>
        <w:fldChar w:fldCharType="begin"/>
      </w:r>
      <w:r>
        <w:instrText xml:space="preserve"> = 1 \* GB3 </w:instrText>
      </w:r>
      <w:r>
        <w:rPr>
          <w:rFonts w:hint="eastAsia"/>
        </w:rPr>
        <w:fldChar w:fldCharType="separate"/>
      </w:r>
      <w:r>
        <w:rPr>
          <w:rFonts w:hint="eastAsia" w:ascii="宋体" w:hAnsi="宋体" w:cs="宋体"/>
        </w:rPr>
        <w:t>①</w:t>
      </w:r>
      <w:r>
        <w:rPr>
          <w:rFonts w:hint="eastAsia" w:ascii="宋体" w:hAnsi="宋体" w:cs="宋体"/>
        </w:rPr>
        <w:fldChar w:fldCharType="end"/>
      </w:r>
      <w:r>
        <w:rPr>
          <w:rFonts w:hint="eastAsia"/>
        </w:rPr>
        <w:t>做好物料储存库房的安全防护，库房要加强通风、防火防爆设施的配备，染料、助剂存放场地应做成水泥地面，并应在四周设置围堰，以便收集地面冲洗水，并应有管道和厂内污水管网连接。</w:t>
      </w:r>
    </w:p>
    <w:p>
      <w:pPr>
        <w:spacing w:line="460" w:lineRule="exact"/>
        <w:ind w:firstLine="480"/>
      </w:pPr>
      <w:r>
        <w:rPr>
          <w:rFonts w:hint="eastAsia"/>
        </w:rPr>
        <w:fldChar w:fldCharType="begin"/>
      </w:r>
      <w:r>
        <w:instrText xml:space="preserve"> = 2 \* GB3 </w:instrText>
      </w:r>
      <w:r>
        <w:rPr>
          <w:rFonts w:hint="eastAsia"/>
        </w:rPr>
        <w:fldChar w:fldCharType="separate"/>
      </w:r>
      <w:r>
        <w:rPr>
          <w:rFonts w:hint="eastAsia" w:ascii="宋体" w:hAnsi="宋体" w:cs="宋体"/>
        </w:rPr>
        <w:t>②</w:t>
      </w:r>
      <w:r>
        <w:rPr>
          <w:rFonts w:hint="eastAsia" w:ascii="宋体" w:hAnsi="宋体" w:cs="宋体"/>
        </w:rPr>
        <w:fldChar w:fldCharType="end"/>
      </w:r>
      <w:r>
        <w:rPr>
          <w:rFonts w:hint="eastAsia"/>
        </w:rPr>
        <w:t>装卸物料应严格操作规程，文明操作，防止跑、冒、滴、漏和事故性排放。</w:t>
      </w:r>
    </w:p>
    <w:p>
      <w:pPr>
        <w:spacing w:line="460" w:lineRule="exact"/>
        <w:ind w:firstLine="480"/>
      </w:pPr>
      <w:r>
        <w:rPr>
          <w:rFonts w:hint="eastAsia"/>
        </w:rPr>
        <w:fldChar w:fldCharType="begin"/>
      </w:r>
      <w:r>
        <w:instrText xml:space="preserve"> = 3 \* GB3 </w:instrText>
      </w:r>
      <w:r>
        <w:rPr>
          <w:rFonts w:hint="eastAsia"/>
        </w:rPr>
        <w:fldChar w:fldCharType="separate"/>
      </w:r>
      <w:r>
        <w:rPr>
          <w:rFonts w:hint="eastAsia"/>
        </w:rPr>
        <w:t>③</w:t>
      </w:r>
      <w:r>
        <w:rPr>
          <w:rFonts w:hint="eastAsia"/>
        </w:rPr>
        <w:fldChar w:fldCharType="end"/>
      </w:r>
      <w:r>
        <w:rPr>
          <w:rFonts w:hint="eastAsia"/>
        </w:rPr>
        <w:t>改进生产安排，平衡水量水质。企业应合理调整生产安排，尽可能做到几台染色机交叉排水，尽量减小综合废水的水量、水质变化。</w:t>
      </w:r>
    </w:p>
    <w:p>
      <w:pPr>
        <w:spacing w:line="460" w:lineRule="exact"/>
        <w:ind w:firstLine="480"/>
      </w:pPr>
      <w:r>
        <w:t>8</w:t>
      </w:r>
      <w:r>
        <w:rPr>
          <w:rFonts w:hint="eastAsia"/>
        </w:rPr>
        <w:t>、进行生态纺织品的开发及推行生态纺织品认证，使用无害或少害原辅料，避免对人体健康造成危害。</w:t>
      </w:r>
    </w:p>
    <w:p>
      <w:pPr>
        <w:pStyle w:val="3"/>
        <w:spacing w:line="460" w:lineRule="exact"/>
      </w:pPr>
      <w:bookmarkStart w:id="112" w:name="_Toc24602"/>
      <w:bookmarkStart w:id="113" w:name="_Toc463691541"/>
      <w:bookmarkStart w:id="114" w:name="_Toc469387655"/>
      <w:r>
        <w:rPr>
          <w:rFonts w:hint="eastAsia"/>
          <w:szCs w:val="24"/>
        </w:rPr>
        <w:t>清洁生产审核</w:t>
      </w:r>
      <w:bookmarkEnd w:id="112"/>
      <w:bookmarkEnd w:id="113"/>
      <w:bookmarkEnd w:id="114"/>
    </w:p>
    <w:p>
      <w:pPr>
        <w:spacing w:line="460" w:lineRule="exact"/>
        <w:ind w:firstLine="480"/>
      </w:pPr>
      <w:r>
        <w:rPr>
          <w:rFonts w:hint="eastAsia"/>
        </w:rPr>
        <w:t>技改项目实施后，企业应进行清洁生产审核。建议企业做好以下工作：</w:t>
      </w:r>
    </w:p>
    <w:p>
      <w:pPr>
        <w:spacing w:line="460" w:lineRule="exact"/>
        <w:ind w:firstLine="480"/>
      </w:pPr>
      <w:r>
        <w:rPr>
          <w:rFonts w:hint="eastAsia" w:ascii="宋体" w:hAnsi="宋体" w:cs="宋体"/>
        </w:rPr>
        <w:t>⑴</w:t>
      </w:r>
      <w:r>
        <w:rPr>
          <w:rFonts w:hint="eastAsia"/>
        </w:rPr>
        <w:t>建立清洁生产组织</w:t>
      </w:r>
    </w:p>
    <w:p>
      <w:pPr>
        <w:spacing w:line="460" w:lineRule="exact"/>
        <w:ind w:firstLine="480"/>
      </w:pPr>
      <w:r>
        <w:rPr>
          <w:rFonts w:hint="eastAsia"/>
        </w:rPr>
        <w:t>清洁生产是一个动态的、相对的概念，也是一个连续的过程，必须有一个固定的机构、稳定的工作人员来组织和协调这方面的工作，以巩固已取得的清洁生产成果，并使清洁生产工作持续地开展下去。</w:t>
      </w:r>
    </w:p>
    <w:p>
      <w:pPr>
        <w:spacing w:line="460" w:lineRule="exact"/>
        <w:ind w:firstLine="480"/>
      </w:pPr>
      <w:r>
        <w:rPr>
          <w:rFonts w:hint="eastAsia" w:ascii="宋体" w:hAnsi="宋体" w:cs="宋体"/>
        </w:rPr>
        <w:t>①</w:t>
      </w:r>
      <w:r>
        <w:rPr>
          <w:rFonts w:hint="eastAsia"/>
        </w:rPr>
        <w:t>清洁生产组织</w:t>
      </w:r>
    </w:p>
    <w:p>
      <w:pPr>
        <w:spacing w:line="460" w:lineRule="exact"/>
        <w:ind w:firstLine="480"/>
      </w:pPr>
      <w:r>
        <w:rPr>
          <w:rFonts w:hint="eastAsia"/>
        </w:rPr>
        <w:t>建议企业应单独设立清洁生产办公室，直接归属总经理领导，有专人负责并要求具备以下能力：熟练掌握清洁生产审计知识、熟悉企业的环保情况、了解企业的生产和技术情况、具有较强的工作协调能力及较强的工作责任心和敬业精神。</w:t>
      </w:r>
    </w:p>
    <w:p>
      <w:pPr>
        <w:spacing w:line="460" w:lineRule="exact"/>
        <w:ind w:firstLine="480"/>
      </w:pPr>
      <w:r>
        <w:rPr>
          <w:rFonts w:hint="eastAsia" w:ascii="宋体" w:hAnsi="宋体" w:cs="宋体"/>
        </w:rPr>
        <w:t>②</w:t>
      </w:r>
      <w:r>
        <w:rPr>
          <w:rFonts w:hint="eastAsia"/>
        </w:rPr>
        <w:t>任务</w:t>
      </w:r>
    </w:p>
    <w:p>
      <w:pPr>
        <w:spacing w:line="460" w:lineRule="exact"/>
        <w:ind w:firstLine="480"/>
      </w:pPr>
      <w:r>
        <w:rPr>
          <w:rFonts w:hint="eastAsia"/>
        </w:rPr>
        <w:t>清洁生产办公室的任务有以下</w:t>
      </w:r>
      <w:r>
        <w:t>4</w:t>
      </w:r>
      <w:r>
        <w:rPr>
          <w:rFonts w:hint="eastAsia"/>
        </w:rPr>
        <w:t>个方面：</w:t>
      </w:r>
    </w:p>
    <w:p>
      <w:pPr>
        <w:spacing w:line="460" w:lineRule="exact"/>
        <w:ind w:firstLine="480"/>
      </w:pPr>
      <w:r>
        <w:t>A</w:t>
      </w:r>
      <w:r>
        <w:rPr>
          <w:rFonts w:hint="eastAsia"/>
        </w:rPr>
        <w:t>、组织协调并监督实施审计提出的清洁生产方案。</w:t>
      </w:r>
    </w:p>
    <w:p>
      <w:pPr>
        <w:spacing w:line="460" w:lineRule="exact"/>
        <w:ind w:firstLine="480"/>
      </w:pPr>
      <w:r>
        <w:t>B</w:t>
      </w:r>
      <w:r>
        <w:rPr>
          <w:rFonts w:hint="eastAsia"/>
        </w:rPr>
        <w:t>、组织企业职工的清洁生产教育和培训。</w:t>
      </w:r>
    </w:p>
    <w:p>
      <w:pPr>
        <w:spacing w:line="460" w:lineRule="exact"/>
        <w:ind w:firstLine="480"/>
      </w:pPr>
      <w:r>
        <w:t>C</w:t>
      </w:r>
      <w:r>
        <w:rPr>
          <w:rFonts w:hint="eastAsia"/>
        </w:rPr>
        <w:t>、选择下一轮清洁生产审计重点，并启动新的清洁生产审计。</w:t>
      </w:r>
    </w:p>
    <w:p>
      <w:pPr>
        <w:spacing w:line="460" w:lineRule="exact"/>
        <w:ind w:firstLine="480"/>
      </w:pPr>
      <w:r>
        <w:t>D</w:t>
      </w:r>
      <w:r>
        <w:rPr>
          <w:rFonts w:hint="eastAsia"/>
        </w:rPr>
        <w:t>、负责清洁生产活动的日常事务管理。</w:t>
      </w:r>
    </w:p>
    <w:p>
      <w:pPr>
        <w:spacing w:line="460" w:lineRule="exact"/>
        <w:ind w:firstLine="480"/>
      </w:pPr>
      <w:r>
        <w:rPr>
          <w:rFonts w:hint="eastAsia" w:ascii="宋体" w:hAnsi="宋体" w:cs="宋体"/>
        </w:rPr>
        <w:t>⑵</w:t>
      </w:r>
      <w:r>
        <w:rPr>
          <w:rFonts w:hint="eastAsia"/>
        </w:rPr>
        <w:t>建立和完善清洁生产管理制度</w:t>
      </w:r>
    </w:p>
    <w:p>
      <w:pPr>
        <w:spacing w:line="460" w:lineRule="exact"/>
        <w:ind w:firstLine="480"/>
      </w:pPr>
      <w:r>
        <w:rPr>
          <w:rFonts w:hint="eastAsia" w:ascii="宋体" w:hAnsi="宋体" w:cs="宋体"/>
        </w:rPr>
        <w:t>①</w:t>
      </w:r>
      <w:r>
        <w:rPr>
          <w:rFonts w:hint="eastAsia"/>
        </w:rPr>
        <w:t>把审核成果纳入企业的日常管理</w:t>
      </w:r>
    </w:p>
    <w:p>
      <w:pPr>
        <w:spacing w:line="460" w:lineRule="exact"/>
        <w:ind w:firstLine="480"/>
      </w:pPr>
      <w:r>
        <w:rPr>
          <w:rFonts w:hint="eastAsia"/>
        </w:rPr>
        <w:t>把清洁生产的审核成果特别是清洁生产审核产生的一些无</w:t>
      </w:r>
      <w:r>
        <w:t>/</w:t>
      </w:r>
      <w:r>
        <w:rPr>
          <w:rFonts w:hint="eastAsia"/>
        </w:rPr>
        <w:t>低费方案及时纳入企业的日常管理轨道，是巩固清洁生产成效、防止走过场的重要手段：</w:t>
      </w:r>
    </w:p>
    <w:p>
      <w:pPr>
        <w:spacing w:line="460" w:lineRule="exact"/>
        <w:ind w:firstLine="480"/>
      </w:pPr>
      <w:r>
        <w:rPr>
          <w:rFonts w:hint="eastAsia"/>
        </w:rPr>
        <w:t>把清洁生产审核提出的加强管理方面的措施文件化，形成制度。</w:t>
      </w:r>
    </w:p>
    <w:p>
      <w:pPr>
        <w:spacing w:line="460" w:lineRule="exact"/>
        <w:ind w:firstLine="480"/>
      </w:pPr>
      <w:r>
        <w:rPr>
          <w:rFonts w:hint="eastAsia"/>
        </w:rPr>
        <w:t>把清洁生产审核提出的岗位操作改进措施写入岗位的操作规程，并要求严格遵照执行。</w:t>
      </w:r>
    </w:p>
    <w:p>
      <w:pPr>
        <w:spacing w:line="460" w:lineRule="exact"/>
        <w:ind w:firstLine="480"/>
      </w:pPr>
      <w:r>
        <w:rPr>
          <w:rFonts w:hint="eastAsia"/>
        </w:rPr>
        <w:t>把清洁生产审核提出的工艺过程控制的改进措施写入企业的技术规范。</w:t>
      </w:r>
    </w:p>
    <w:p>
      <w:pPr>
        <w:spacing w:line="460" w:lineRule="exact"/>
        <w:ind w:firstLine="480"/>
      </w:pPr>
      <w:r>
        <w:rPr>
          <w:rFonts w:hint="eastAsia" w:ascii="宋体" w:hAnsi="宋体" w:cs="宋体"/>
        </w:rPr>
        <w:t>②</w:t>
      </w:r>
      <w:r>
        <w:rPr>
          <w:rFonts w:hint="eastAsia"/>
        </w:rPr>
        <w:t>建立和完善清洁生产奖惩机制</w:t>
      </w:r>
    </w:p>
    <w:p>
      <w:pPr>
        <w:spacing w:line="460" w:lineRule="exact"/>
        <w:ind w:firstLine="480"/>
      </w:pPr>
      <w:r>
        <w:rPr>
          <w:rFonts w:hint="eastAsia"/>
        </w:rPr>
        <w:t>奖惩与清洁生产挂钩，建立清洁生产奖惩激励机制，以调动全体职工参与清洁生产的积极性。</w:t>
      </w:r>
    </w:p>
    <w:p>
      <w:pPr>
        <w:spacing w:line="460" w:lineRule="exact"/>
        <w:ind w:firstLine="480"/>
      </w:pPr>
      <w:r>
        <w:rPr>
          <w:rFonts w:hint="eastAsia" w:ascii="宋体" w:hAnsi="宋体" w:cs="宋体"/>
        </w:rPr>
        <w:t>⑶</w:t>
      </w:r>
      <w:r>
        <w:rPr>
          <w:rFonts w:hint="eastAsia"/>
        </w:rPr>
        <w:t>加强职工培训工作</w:t>
      </w:r>
    </w:p>
    <w:p>
      <w:pPr>
        <w:spacing w:line="460" w:lineRule="exact"/>
        <w:ind w:firstLine="480"/>
      </w:pPr>
      <w:r>
        <w:rPr>
          <w:rFonts w:hint="eastAsia"/>
        </w:rPr>
        <w:t>清洁生产措施能否顺利落实、清洁生产目标能否达到与企业职工的素质有很大关系，因为只有企业职工才是执行清洁生产的基本单元。建议企业应加强对职工关于清洁生产方面的培训工作，并且要针对培训内容，制定合理的培训计划。不仅对车间工人进行培训，也要对企业领导、工程技术人员和车间班组长进行培训，并把清洁生产目标具体分配到每一个人，以利于清洁生产目标的实现。</w:t>
      </w:r>
    </w:p>
    <w:p>
      <w:pPr>
        <w:spacing w:line="460" w:lineRule="exact"/>
        <w:ind w:firstLine="480"/>
      </w:pPr>
      <w:r>
        <w:rPr>
          <w:rFonts w:hint="eastAsia" w:ascii="宋体" w:hAnsi="宋体" w:cs="宋体"/>
        </w:rPr>
        <w:t>⑷</w:t>
      </w:r>
      <w:r>
        <w:rPr>
          <w:rFonts w:hint="eastAsia"/>
        </w:rPr>
        <w:t>开展</w:t>
      </w:r>
      <w:r>
        <w:t>ISO14001</w:t>
      </w:r>
      <w:r>
        <w:rPr>
          <w:rFonts w:hint="eastAsia"/>
        </w:rPr>
        <w:t>认证</w:t>
      </w:r>
    </w:p>
    <w:p>
      <w:pPr>
        <w:spacing w:line="460" w:lineRule="exact"/>
        <w:ind w:firstLine="480"/>
      </w:pPr>
      <w:r>
        <w:rPr>
          <w:rFonts w:hint="eastAsia"/>
        </w:rPr>
        <w:t>企业内部积极开展</w:t>
      </w:r>
      <w:r>
        <w:t>ISO14001</w:t>
      </w:r>
      <w:r>
        <w:rPr>
          <w:rFonts w:hint="eastAsia"/>
        </w:rPr>
        <w:t>环境管理体系认证，对产品从开发、设计、加工、流通、使用、报废处理到再生利用整个生命周期实施评定制度，然后对其中每个环节进行资源和环境影响分析，通过不断审核和评价使体系有效运作。同时，企业在争取认证和保持认证的过程中可以达到提高企业内部环保意识，实施绿色经营，改善管理水平，提高生产效率和经济效益，增强防治污染能力，保证产品绿色品质的目的，最终使企业国际竞争力大为增强，信誉度提高，从而获得冲破国际贸易中</w:t>
      </w:r>
      <w:r>
        <w:t>“</w:t>
      </w:r>
      <w:r>
        <w:rPr>
          <w:rFonts w:hint="eastAsia"/>
        </w:rPr>
        <w:t>绿色贸易壁垒</w:t>
      </w:r>
      <w:r>
        <w:t>”</w:t>
      </w:r>
      <w:r>
        <w:rPr>
          <w:rFonts w:hint="eastAsia"/>
        </w:rPr>
        <w:t>的</w:t>
      </w:r>
      <w:r>
        <w:t>“</w:t>
      </w:r>
      <w:r>
        <w:rPr>
          <w:rFonts w:hint="eastAsia"/>
        </w:rPr>
        <w:t>通行证</w:t>
      </w:r>
      <w:r>
        <w:t>”</w:t>
      </w:r>
      <w:r>
        <w:rPr>
          <w:rFonts w:hint="eastAsia"/>
        </w:rPr>
        <w:t>。</w:t>
      </w:r>
    </w:p>
    <w:p>
      <w:pPr>
        <w:ind w:firstLine="480"/>
        <w:sectPr>
          <w:pgSz w:w="11906" w:h="16838"/>
          <w:pgMar w:top="1440" w:right="1417" w:bottom="1440" w:left="1417" w:header="851" w:footer="992" w:gutter="0"/>
          <w:cols w:space="0" w:num="1"/>
          <w:docGrid w:type="lines" w:linePitch="332" w:charSpace="0"/>
        </w:sectPr>
      </w:pPr>
      <w:r>
        <w:rPr>
          <w:rFonts w:hint="eastAsia"/>
        </w:rPr>
        <w:fldChar w:fldCharType="begin"/>
      </w:r>
      <w:r>
        <w:instrText xml:space="preserve"> = 5 \* GB2 </w:instrText>
      </w:r>
      <w:r>
        <w:rPr>
          <w:rFonts w:hint="eastAsia"/>
        </w:rPr>
        <w:fldChar w:fldCharType="separate"/>
      </w:r>
      <w:r>
        <w:rPr>
          <w:rFonts w:hint="eastAsia"/>
        </w:rPr>
        <w:t>⑸</w:t>
      </w:r>
      <w:r>
        <w:rPr>
          <w:rFonts w:hint="eastAsia"/>
        </w:rPr>
        <w:fldChar w:fldCharType="end"/>
      </w:r>
      <w:r>
        <w:rPr>
          <w:rFonts w:hint="eastAsia"/>
        </w:rPr>
        <w:t>进行生态纺织品的开发及推行生态纺织品认证，使用无害或少害原辅料，避免对人体健康造成危害。</w:t>
      </w:r>
    </w:p>
    <w:p>
      <w:pPr>
        <w:pStyle w:val="2"/>
      </w:pPr>
      <w:bookmarkStart w:id="115" w:name="_Toc21153"/>
      <w:r>
        <w:rPr>
          <w:rFonts w:hint="eastAsia"/>
        </w:rPr>
        <w:t>环境影响经济损益分析</w:t>
      </w:r>
      <w:bookmarkEnd w:id="115"/>
    </w:p>
    <w:p>
      <w:pPr>
        <w:pStyle w:val="3"/>
      </w:pPr>
      <w:bookmarkStart w:id="116" w:name="_Toc5572"/>
      <w:r>
        <w:rPr>
          <w:rFonts w:hint="eastAsia"/>
        </w:rPr>
        <w:t>项目社会效益和经济效益</w:t>
      </w:r>
      <w:bookmarkEnd w:id="116"/>
    </w:p>
    <w:p>
      <w:pPr>
        <w:spacing w:line="460" w:lineRule="exact"/>
        <w:ind w:firstLine="470" w:firstLineChars="196"/>
        <w:rPr>
          <w:rFonts w:ascii="宋体"/>
        </w:rPr>
      </w:pPr>
      <w:r>
        <w:rPr>
          <w:rFonts w:hint="eastAsia" w:ascii="宋体" w:hAnsi="宋体"/>
        </w:rPr>
        <w:t>湖南德科纺织印染有限公司技改项目能有利于企业更好开展节能减排，有利于提高企业的经济效益和出口创汇能力，拓宽企业发展空间，增强企业市场竞争力；本项目的实施对</w:t>
      </w:r>
      <w:r>
        <w:rPr>
          <w:rFonts w:hint="eastAsia" w:hAnsi="宋体"/>
          <w:bCs/>
        </w:rPr>
        <w:t>屈原管理区</w:t>
      </w:r>
      <w:r>
        <w:rPr>
          <w:rFonts w:hint="eastAsia" w:ascii="宋体" w:hAnsi="宋体"/>
        </w:rPr>
        <w:t>的发展有一定促进作用，并且有利于</w:t>
      </w:r>
      <w:r>
        <w:rPr>
          <w:rFonts w:hint="eastAsia" w:hAnsi="宋体"/>
          <w:bCs/>
        </w:rPr>
        <w:t>屈原管理区</w:t>
      </w:r>
      <w:r>
        <w:rPr>
          <w:rFonts w:hint="eastAsia" w:ascii="宋体" w:hAnsi="宋体"/>
        </w:rPr>
        <w:t>纺织产业的升级，发展低污染、低能耗、高效益、高附加值的绿色生态的印染产业，有利于区域减排。</w:t>
      </w:r>
    </w:p>
    <w:p>
      <w:pPr>
        <w:spacing w:line="480" w:lineRule="exact"/>
        <w:ind w:firstLine="480"/>
        <w:rPr>
          <w:rFonts w:hAnsi="宋体"/>
          <w:kern w:val="0"/>
        </w:rPr>
      </w:pPr>
      <w:r>
        <w:rPr>
          <w:rFonts w:hint="eastAsia" w:hAnsi="宋体"/>
          <w:kern w:val="0"/>
        </w:rPr>
        <w:t>建设项目生产在取得直接经济效益的同时，带来了一系列的间接经济效益和社会效益：本项目员工人数为21</w:t>
      </w:r>
      <w:r>
        <w:rPr>
          <w:rFonts w:hAnsi="宋体"/>
          <w:kern w:val="0"/>
        </w:rPr>
        <w:t>00</w:t>
      </w:r>
      <w:r>
        <w:rPr>
          <w:rFonts w:hint="eastAsia" w:hAnsi="宋体"/>
          <w:kern w:val="0"/>
        </w:rPr>
        <w:t>人，可增加当地的就业岗位和就业机会，缓解就业压力。</w:t>
      </w:r>
    </w:p>
    <w:p>
      <w:pPr>
        <w:spacing w:line="480" w:lineRule="exact"/>
        <w:ind w:firstLine="480"/>
        <w:rPr>
          <w:rFonts w:ascii="宋体"/>
          <w:kern w:val="0"/>
        </w:rPr>
      </w:pPr>
      <w:r>
        <w:rPr>
          <w:rFonts w:hint="eastAsia" w:ascii="宋体" w:hAnsi="宋体"/>
          <w:kern w:val="0"/>
        </w:rPr>
        <w:t>综上所述，本调整项目实施具有较好的社会效益和经济效益。</w:t>
      </w:r>
    </w:p>
    <w:p>
      <w:pPr>
        <w:pStyle w:val="3"/>
      </w:pPr>
      <w:bookmarkStart w:id="117" w:name="_Toc2211"/>
      <w:r>
        <w:rPr>
          <w:rFonts w:hint="eastAsia"/>
        </w:rPr>
        <w:t>环境经济损益分析</w:t>
      </w:r>
      <w:bookmarkEnd w:id="117"/>
    </w:p>
    <w:p>
      <w:pPr>
        <w:ind w:firstLine="480"/>
      </w:pPr>
      <w:r>
        <w:rPr>
          <w:rFonts w:hint="eastAsia"/>
        </w:rPr>
        <w:t>关于建设项目的环境经济损益分析，国内目前尚无统一标准。此外，拟建项目所排污染物作用于自然环境而造成的经济损失，其过程和机理是十分复杂的，其中有许多不确定因素。而且，许多因环境污染而造成的经济损失和由于污染防治而带来的环境收益，较难计量或是很难准确以货币形式来表达。为此，本报告在环境损益分析中，对于可计量部分给予定量表达，其它则采用类比分析方法予以估算或者是给予忽略。</w:t>
      </w:r>
    </w:p>
    <w:p>
      <w:pPr>
        <w:ind w:firstLine="480"/>
      </w:pPr>
      <w:r>
        <w:rPr>
          <w:rFonts w:hint="eastAsia"/>
        </w:rPr>
        <w:t>拟建项目排放的污染物将对环境造成一定的污染损失，主要包括公共设施、建筑物、植物（包括农作物）和水生生物等的环境污染损失。此类损失很难计算，但根据国内环保科研机构对各类企业进行调查、统计的结果，此部分约为资源和能源流失损失的</w:t>
      </w:r>
      <w:r>
        <w:t>25%</w:t>
      </w:r>
      <w:r>
        <w:rPr>
          <w:rFonts w:hint="eastAsia"/>
        </w:rPr>
        <w:t>。经类比估算，本项目污染物排放对周围环境造成的损失约为</w:t>
      </w:r>
      <w:r>
        <w:t>1.5</w:t>
      </w:r>
      <w:r>
        <w:rPr>
          <w:rFonts w:hint="eastAsia"/>
        </w:rPr>
        <w:t>万元</w:t>
      </w:r>
      <w:r>
        <w:t>/</w:t>
      </w:r>
      <w:r>
        <w:rPr>
          <w:rFonts w:hint="eastAsia"/>
        </w:rPr>
        <w:t>年。</w:t>
      </w:r>
    </w:p>
    <w:p>
      <w:pPr>
        <w:pStyle w:val="3"/>
      </w:pPr>
      <w:bookmarkStart w:id="118" w:name="_Toc5601"/>
      <w:r>
        <w:rPr>
          <w:rFonts w:hint="eastAsia"/>
        </w:rPr>
        <w:t>环境保护效益分析</w:t>
      </w:r>
      <w:bookmarkEnd w:id="118"/>
    </w:p>
    <w:p>
      <w:pPr>
        <w:pStyle w:val="4"/>
      </w:pPr>
      <w:r>
        <w:rPr>
          <w:rFonts w:hint="eastAsia"/>
        </w:rPr>
        <w:t>环保投资分析</w:t>
      </w:r>
    </w:p>
    <w:p>
      <w:pPr>
        <w:ind w:firstLine="480"/>
      </w:pPr>
      <w:r>
        <w:rPr>
          <w:rFonts w:hint="eastAsia"/>
        </w:rPr>
        <w:t>根据建设单位提供的本项目初步设计，本项目估算总投资额为</w:t>
      </w:r>
      <w:r>
        <w:t>7000</w:t>
      </w:r>
      <w:r>
        <w:rPr>
          <w:rFonts w:hint="eastAsia"/>
        </w:rPr>
        <w:t>万元，环保投资76万元，占总投资的10.9</w:t>
      </w:r>
      <w:r>
        <w:t>%</w:t>
      </w:r>
      <w:r>
        <w:rPr>
          <w:rFonts w:hint="eastAsia"/>
        </w:rPr>
        <w:t>。环保投资主要投资在污水处理、厂区地面硬底化及固废暂存及处理等方面。其环保设施投资明细详见表10</w:t>
      </w:r>
      <w:r>
        <w:t>.3-1</w:t>
      </w:r>
      <w:r>
        <w:rPr>
          <w:rFonts w:hint="eastAsia"/>
        </w:rPr>
        <w:t>。</w:t>
      </w:r>
    </w:p>
    <w:p>
      <w:pPr>
        <w:ind w:firstLine="480"/>
      </w:pPr>
    </w:p>
    <w:p>
      <w:pPr>
        <w:ind w:firstLine="480"/>
      </w:pPr>
    </w:p>
    <w:p>
      <w:pPr>
        <w:ind w:firstLine="0" w:firstLineChars="0"/>
      </w:pPr>
    </w:p>
    <w:p>
      <w:pPr>
        <w:pStyle w:val="26"/>
        <w:rPr>
          <w:b/>
          <w:bCs/>
        </w:rPr>
      </w:pPr>
      <w:r>
        <w:rPr>
          <w:rFonts w:hint="eastAsia"/>
          <w:b/>
          <w:bCs/>
        </w:rPr>
        <w:t>表10</w:t>
      </w:r>
      <w:r>
        <w:rPr>
          <w:b/>
          <w:bCs/>
        </w:rPr>
        <w:t xml:space="preserve">.3-1  </w:t>
      </w:r>
      <w:r>
        <w:rPr>
          <w:rFonts w:hint="eastAsia"/>
          <w:b/>
          <w:bCs/>
        </w:rPr>
        <w:t>污染防治措施投资一览表</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690"/>
        <w:gridCol w:w="4825"/>
        <w:gridCol w:w="788"/>
        <w:gridCol w:w="1454"/>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653" w:type="dxa"/>
            <w:vAlign w:val="center"/>
          </w:tcPr>
          <w:p>
            <w:pPr>
              <w:pStyle w:val="26"/>
              <w:rPr>
                <w:kern w:val="2"/>
                <w:szCs w:val="21"/>
                <w:lang w:val="en-US" w:eastAsia="zh-CN"/>
              </w:rPr>
            </w:pPr>
            <w:r>
              <w:rPr>
                <w:rFonts w:hint="eastAsia"/>
                <w:kern w:val="2"/>
                <w:szCs w:val="21"/>
                <w:lang w:val="en-US" w:eastAsia="zh-CN"/>
              </w:rPr>
              <w:t>类别</w:t>
            </w:r>
          </w:p>
        </w:tc>
        <w:tc>
          <w:tcPr>
            <w:tcW w:w="690" w:type="dxa"/>
            <w:vAlign w:val="center"/>
          </w:tcPr>
          <w:p>
            <w:pPr>
              <w:pStyle w:val="26"/>
              <w:rPr>
                <w:kern w:val="2"/>
                <w:szCs w:val="21"/>
                <w:lang w:val="en-US" w:eastAsia="zh-CN"/>
              </w:rPr>
            </w:pPr>
            <w:r>
              <w:rPr>
                <w:rFonts w:hint="eastAsia"/>
                <w:kern w:val="2"/>
                <w:szCs w:val="21"/>
                <w:lang w:val="en-US" w:eastAsia="zh-CN"/>
              </w:rPr>
              <w:t>序号</w:t>
            </w:r>
          </w:p>
        </w:tc>
        <w:tc>
          <w:tcPr>
            <w:tcW w:w="4825" w:type="dxa"/>
            <w:vAlign w:val="center"/>
          </w:tcPr>
          <w:p>
            <w:pPr>
              <w:pStyle w:val="26"/>
              <w:rPr>
                <w:kern w:val="2"/>
                <w:szCs w:val="21"/>
                <w:lang w:val="en-US" w:eastAsia="zh-CN"/>
              </w:rPr>
            </w:pPr>
            <w:r>
              <w:rPr>
                <w:rFonts w:hint="eastAsia"/>
                <w:kern w:val="2"/>
                <w:szCs w:val="21"/>
                <w:lang w:val="en-US" w:eastAsia="zh-CN"/>
              </w:rPr>
              <w:t>治理设施或措施</w:t>
            </w:r>
          </w:p>
        </w:tc>
        <w:tc>
          <w:tcPr>
            <w:tcW w:w="788" w:type="dxa"/>
            <w:vAlign w:val="center"/>
          </w:tcPr>
          <w:p>
            <w:pPr>
              <w:pStyle w:val="26"/>
              <w:rPr>
                <w:kern w:val="2"/>
                <w:szCs w:val="21"/>
                <w:lang w:val="en-US" w:eastAsia="zh-CN"/>
              </w:rPr>
            </w:pPr>
            <w:r>
              <w:rPr>
                <w:rFonts w:hint="eastAsia"/>
                <w:kern w:val="2"/>
                <w:szCs w:val="21"/>
                <w:lang w:val="en-US" w:eastAsia="zh-CN"/>
              </w:rPr>
              <w:t>数量</w:t>
            </w:r>
          </w:p>
        </w:tc>
        <w:tc>
          <w:tcPr>
            <w:tcW w:w="1454" w:type="dxa"/>
            <w:vAlign w:val="center"/>
          </w:tcPr>
          <w:p>
            <w:pPr>
              <w:pStyle w:val="26"/>
              <w:rPr>
                <w:kern w:val="2"/>
                <w:szCs w:val="21"/>
                <w:lang w:val="en-US" w:eastAsia="zh-CN"/>
              </w:rPr>
            </w:pPr>
            <w:r>
              <w:rPr>
                <w:rFonts w:hint="eastAsia"/>
                <w:kern w:val="2"/>
                <w:szCs w:val="21"/>
                <w:lang w:val="en-US" w:eastAsia="zh-CN"/>
              </w:rPr>
              <w:t>安装部位</w:t>
            </w:r>
          </w:p>
        </w:tc>
        <w:tc>
          <w:tcPr>
            <w:tcW w:w="1444" w:type="dxa"/>
            <w:vAlign w:val="center"/>
          </w:tcPr>
          <w:p>
            <w:pPr>
              <w:pStyle w:val="26"/>
              <w:rPr>
                <w:kern w:val="2"/>
                <w:szCs w:val="21"/>
                <w:lang w:val="en-US" w:eastAsia="zh-CN"/>
              </w:rPr>
            </w:pPr>
            <w:r>
              <w:rPr>
                <w:rFonts w:hint="eastAsia"/>
                <w:kern w:val="2"/>
                <w:szCs w:val="21"/>
                <w:lang w:val="en-US" w:eastAsia="zh-CN"/>
              </w:rPr>
              <w:t>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trPr>
        <w:tc>
          <w:tcPr>
            <w:tcW w:w="653" w:type="dxa"/>
            <w:vMerge w:val="restart"/>
            <w:vAlign w:val="center"/>
          </w:tcPr>
          <w:p>
            <w:pPr>
              <w:pStyle w:val="26"/>
              <w:rPr>
                <w:kern w:val="2"/>
                <w:szCs w:val="21"/>
                <w:lang w:val="en-US" w:eastAsia="zh-CN"/>
              </w:rPr>
            </w:pPr>
            <w:r>
              <w:rPr>
                <w:rFonts w:hint="eastAsia"/>
                <w:kern w:val="2"/>
                <w:szCs w:val="21"/>
                <w:lang w:val="en-US" w:eastAsia="zh-CN"/>
              </w:rPr>
              <w:t>废气治理</w:t>
            </w:r>
          </w:p>
        </w:tc>
        <w:tc>
          <w:tcPr>
            <w:tcW w:w="690" w:type="dxa"/>
            <w:vAlign w:val="center"/>
          </w:tcPr>
          <w:p>
            <w:pPr>
              <w:pStyle w:val="26"/>
              <w:rPr>
                <w:kern w:val="2"/>
                <w:szCs w:val="21"/>
                <w:lang w:val="en-US" w:eastAsia="zh-CN"/>
              </w:rPr>
            </w:pPr>
            <w:r>
              <w:rPr>
                <w:kern w:val="2"/>
                <w:szCs w:val="21"/>
                <w:lang w:val="en-US" w:eastAsia="zh-CN"/>
              </w:rPr>
              <w:t>1</w:t>
            </w:r>
          </w:p>
        </w:tc>
        <w:tc>
          <w:tcPr>
            <w:tcW w:w="4825" w:type="dxa"/>
            <w:vAlign w:val="center"/>
          </w:tcPr>
          <w:p>
            <w:pPr>
              <w:pStyle w:val="26"/>
              <w:rPr>
                <w:kern w:val="2"/>
                <w:szCs w:val="21"/>
                <w:lang w:val="en-US" w:eastAsia="zh-CN"/>
              </w:rPr>
            </w:pPr>
            <w:r>
              <w:rPr>
                <w:rFonts w:hint="eastAsia"/>
                <w:kern w:val="2"/>
                <w:szCs w:val="21"/>
                <w:lang w:val="en-US" w:eastAsia="zh-CN"/>
              </w:rPr>
              <w:t>定型废气处理系统</w:t>
            </w:r>
          </w:p>
        </w:tc>
        <w:tc>
          <w:tcPr>
            <w:tcW w:w="788" w:type="dxa"/>
            <w:vAlign w:val="center"/>
          </w:tcPr>
          <w:p>
            <w:pPr>
              <w:pStyle w:val="26"/>
              <w:rPr>
                <w:kern w:val="2"/>
                <w:szCs w:val="21"/>
                <w:lang w:val="en-US" w:eastAsia="zh-CN"/>
              </w:rPr>
            </w:pPr>
            <w:r>
              <w:rPr>
                <w:kern w:val="2"/>
                <w:szCs w:val="21"/>
                <w:lang w:val="en-US" w:eastAsia="zh-CN"/>
              </w:rPr>
              <w:t>2</w:t>
            </w:r>
            <w:r>
              <w:rPr>
                <w:rFonts w:hint="eastAsia"/>
                <w:kern w:val="2"/>
                <w:szCs w:val="21"/>
                <w:lang w:val="en-US" w:eastAsia="zh-CN"/>
              </w:rPr>
              <w:t>套</w:t>
            </w:r>
          </w:p>
        </w:tc>
        <w:tc>
          <w:tcPr>
            <w:tcW w:w="1454" w:type="dxa"/>
            <w:vAlign w:val="center"/>
          </w:tcPr>
          <w:p>
            <w:pPr>
              <w:pStyle w:val="26"/>
              <w:rPr>
                <w:kern w:val="2"/>
                <w:szCs w:val="21"/>
                <w:lang w:val="en-US" w:eastAsia="zh-CN"/>
              </w:rPr>
            </w:pPr>
            <w:r>
              <w:rPr>
                <w:rFonts w:hint="eastAsia"/>
                <w:kern w:val="2"/>
                <w:szCs w:val="21"/>
                <w:lang w:val="en-US" w:eastAsia="zh-CN"/>
              </w:rPr>
              <w:t>定型机</w:t>
            </w:r>
          </w:p>
        </w:tc>
        <w:tc>
          <w:tcPr>
            <w:tcW w:w="1444" w:type="dxa"/>
            <w:vAlign w:val="center"/>
          </w:tcPr>
          <w:p>
            <w:pPr>
              <w:pStyle w:val="26"/>
              <w:rPr>
                <w:kern w:val="2"/>
                <w:szCs w:val="21"/>
                <w:lang w:val="en-US" w:eastAsia="zh-CN"/>
              </w:rPr>
            </w:pPr>
            <w:r>
              <w:rPr>
                <w:kern w:val="2"/>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653" w:type="dxa"/>
            <w:vMerge w:val="continue"/>
            <w:vAlign w:val="center"/>
          </w:tcPr>
          <w:p>
            <w:pPr>
              <w:pStyle w:val="26"/>
              <w:rPr>
                <w:kern w:val="2"/>
                <w:szCs w:val="21"/>
                <w:lang w:val="en-US" w:eastAsia="zh-CN"/>
              </w:rPr>
            </w:pPr>
          </w:p>
        </w:tc>
        <w:tc>
          <w:tcPr>
            <w:tcW w:w="690" w:type="dxa"/>
            <w:vAlign w:val="center"/>
          </w:tcPr>
          <w:p>
            <w:pPr>
              <w:pStyle w:val="26"/>
              <w:rPr>
                <w:kern w:val="2"/>
                <w:szCs w:val="21"/>
                <w:lang w:val="en-US" w:eastAsia="zh-CN"/>
              </w:rPr>
            </w:pPr>
            <w:r>
              <w:rPr>
                <w:kern w:val="2"/>
                <w:szCs w:val="21"/>
                <w:lang w:val="en-US" w:eastAsia="zh-CN"/>
              </w:rPr>
              <w:t>2</w:t>
            </w:r>
          </w:p>
        </w:tc>
        <w:tc>
          <w:tcPr>
            <w:tcW w:w="4825" w:type="dxa"/>
            <w:vAlign w:val="center"/>
          </w:tcPr>
          <w:p>
            <w:pPr>
              <w:pStyle w:val="26"/>
              <w:rPr>
                <w:kern w:val="2"/>
                <w:szCs w:val="21"/>
                <w:lang w:val="en-US" w:eastAsia="zh-CN"/>
              </w:rPr>
            </w:pPr>
            <w:r>
              <w:rPr>
                <w:rFonts w:hint="eastAsia"/>
                <w:kern w:val="2"/>
                <w:szCs w:val="21"/>
                <w:lang w:val="en-US" w:eastAsia="zh-CN"/>
              </w:rPr>
              <w:t>采用油烟净化器处理；保证净化设施正常运行。</w:t>
            </w:r>
          </w:p>
        </w:tc>
        <w:tc>
          <w:tcPr>
            <w:tcW w:w="788" w:type="dxa"/>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套</w:t>
            </w:r>
          </w:p>
        </w:tc>
        <w:tc>
          <w:tcPr>
            <w:tcW w:w="1454" w:type="dxa"/>
            <w:vAlign w:val="center"/>
          </w:tcPr>
          <w:p>
            <w:pPr>
              <w:pStyle w:val="26"/>
              <w:rPr>
                <w:kern w:val="2"/>
                <w:szCs w:val="21"/>
                <w:lang w:val="en-US" w:eastAsia="zh-CN"/>
              </w:rPr>
            </w:pPr>
            <w:r>
              <w:rPr>
                <w:rFonts w:hint="eastAsia"/>
                <w:kern w:val="2"/>
                <w:szCs w:val="21"/>
                <w:lang w:val="en-US" w:eastAsia="zh-CN"/>
              </w:rPr>
              <w:t>食堂</w:t>
            </w:r>
          </w:p>
        </w:tc>
        <w:tc>
          <w:tcPr>
            <w:tcW w:w="1444" w:type="dxa"/>
            <w:vAlign w:val="center"/>
          </w:tcPr>
          <w:p>
            <w:pPr>
              <w:pStyle w:val="26"/>
              <w:rPr>
                <w:kern w:val="2"/>
                <w:szCs w:val="21"/>
                <w:lang w:val="en-US" w:eastAsia="zh-CN"/>
              </w:rPr>
            </w:pPr>
            <w:r>
              <w:rPr>
                <w:kern w:val="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2" w:hRule="atLeast"/>
        </w:trPr>
        <w:tc>
          <w:tcPr>
            <w:tcW w:w="653" w:type="dxa"/>
            <w:vMerge w:val="continue"/>
            <w:vAlign w:val="center"/>
          </w:tcPr>
          <w:p>
            <w:pPr>
              <w:pStyle w:val="26"/>
              <w:rPr>
                <w:kern w:val="2"/>
                <w:szCs w:val="21"/>
                <w:lang w:val="en-US" w:eastAsia="zh-CN"/>
              </w:rPr>
            </w:pPr>
          </w:p>
        </w:tc>
        <w:tc>
          <w:tcPr>
            <w:tcW w:w="690" w:type="dxa"/>
            <w:vAlign w:val="center"/>
          </w:tcPr>
          <w:p>
            <w:pPr>
              <w:pStyle w:val="26"/>
              <w:rPr>
                <w:kern w:val="2"/>
                <w:szCs w:val="21"/>
                <w:lang w:val="en-US" w:eastAsia="zh-CN"/>
              </w:rPr>
            </w:pPr>
            <w:r>
              <w:rPr>
                <w:kern w:val="2"/>
                <w:szCs w:val="21"/>
                <w:lang w:val="en-US" w:eastAsia="zh-CN"/>
              </w:rPr>
              <w:t>3</w:t>
            </w:r>
          </w:p>
        </w:tc>
        <w:tc>
          <w:tcPr>
            <w:tcW w:w="4825" w:type="dxa"/>
            <w:vAlign w:val="center"/>
          </w:tcPr>
          <w:p>
            <w:pPr>
              <w:pStyle w:val="26"/>
              <w:rPr>
                <w:kern w:val="2"/>
                <w:szCs w:val="21"/>
                <w:lang w:val="en-US" w:eastAsia="zh-CN"/>
              </w:rPr>
            </w:pPr>
            <w:r>
              <w:rPr>
                <w:rFonts w:hint="eastAsia"/>
                <w:kern w:val="2"/>
                <w:szCs w:val="21"/>
                <w:lang w:val="en-US" w:eastAsia="zh-CN"/>
              </w:rPr>
              <w:t>新建</w:t>
            </w:r>
            <w:r>
              <w:rPr>
                <w:kern w:val="2"/>
                <w:szCs w:val="21"/>
                <w:lang w:val="en-US" w:eastAsia="zh-CN"/>
              </w:rPr>
              <w:t>3</w:t>
            </w:r>
            <w:r>
              <w:rPr>
                <w:rFonts w:hint="eastAsia"/>
                <w:kern w:val="2"/>
                <w:szCs w:val="21"/>
                <w:lang w:val="en-US" w:eastAsia="zh-CN"/>
              </w:rPr>
              <w:t>套布袋除尘系统替换现有除尘设施</w:t>
            </w:r>
          </w:p>
        </w:tc>
        <w:tc>
          <w:tcPr>
            <w:tcW w:w="788" w:type="dxa"/>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套</w:t>
            </w:r>
          </w:p>
        </w:tc>
        <w:tc>
          <w:tcPr>
            <w:tcW w:w="1454" w:type="dxa"/>
            <w:vAlign w:val="center"/>
          </w:tcPr>
          <w:p>
            <w:pPr>
              <w:pStyle w:val="26"/>
              <w:rPr>
                <w:kern w:val="2"/>
                <w:szCs w:val="21"/>
                <w:lang w:val="en-US" w:eastAsia="zh-CN"/>
              </w:rPr>
            </w:pPr>
            <w:r>
              <w:rPr>
                <w:rFonts w:hint="eastAsia"/>
                <w:kern w:val="2"/>
                <w:szCs w:val="21"/>
                <w:lang w:val="en-US" w:eastAsia="zh-CN"/>
              </w:rPr>
              <w:t>锅炉房</w:t>
            </w:r>
          </w:p>
        </w:tc>
        <w:tc>
          <w:tcPr>
            <w:tcW w:w="1444" w:type="dxa"/>
            <w:vAlign w:val="center"/>
          </w:tcPr>
          <w:p>
            <w:pPr>
              <w:pStyle w:val="26"/>
              <w:rPr>
                <w:kern w:val="2"/>
                <w:szCs w:val="21"/>
                <w:lang w:val="en-US" w:eastAsia="zh-CN"/>
              </w:rPr>
            </w:pPr>
            <w:r>
              <w:rPr>
                <w:kern w:val="2"/>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7" w:hRule="atLeast"/>
        </w:trPr>
        <w:tc>
          <w:tcPr>
            <w:tcW w:w="653" w:type="dxa"/>
            <w:vAlign w:val="center"/>
          </w:tcPr>
          <w:p>
            <w:pPr>
              <w:pStyle w:val="26"/>
              <w:rPr>
                <w:kern w:val="2"/>
                <w:szCs w:val="21"/>
                <w:lang w:val="en-US" w:eastAsia="zh-CN"/>
              </w:rPr>
            </w:pPr>
            <w:r>
              <w:rPr>
                <w:rFonts w:hint="eastAsia"/>
                <w:kern w:val="2"/>
                <w:szCs w:val="21"/>
                <w:lang w:val="en-US" w:eastAsia="zh-CN"/>
              </w:rPr>
              <w:t>废水治理</w:t>
            </w:r>
          </w:p>
        </w:tc>
        <w:tc>
          <w:tcPr>
            <w:tcW w:w="690" w:type="dxa"/>
            <w:vAlign w:val="center"/>
          </w:tcPr>
          <w:p>
            <w:pPr>
              <w:pStyle w:val="26"/>
              <w:rPr>
                <w:kern w:val="2"/>
                <w:szCs w:val="21"/>
                <w:lang w:val="en-US" w:eastAsia="zh-CN"/>
              </w:rPr>
            </w:pPr>
            <w:r>
              <w:rPr>
                <w:kern w:val="2"/>
                <w:szCs w:val="21"/>
                <w:lang w:val="en-US" w:eastAsia="zh-CN"/>
              </w:rPr>
              <w:t>1</w:t>
            </w:r>
          </w:p>
        </w:tc>
        <w:tc>
          <w:tcPr>
            <w:tcW w:w="4825" w:type="dxa"/>
            <w:vAlign w:val="center"/>
          </w:tcPr>
          <w:p>
            <w:pPr>
              <w:pStyle w:val="26"/>
              <w:rPr>
                <w:kern w:val="2"/>
                <w:szCs w:val="21"/>
                <w:lang w:val="en-US" w:eastAsia="zh-CN"/>
              </w:rPr>
            </w:pPr>
            <w:r>
              <w:rPr>
                <w:rFonts w:hint="eastAsia"/>
                <w:kern w:val="2"/>
                <w:szCs w:val="21"/>
                <w:lang w:val="en-US" w:eastAsia="zh-CN"/>
              </w:rPr>
              <w:t>污水处理站改造</w:t>
            </w:r>
          </w:p>
        </w:tc>
        <w:tc>
          <w:tcPr>
            <w:tcW w:w="788" w:type="dxa"/>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套</w:t>
            </w:r>
          </w:p>
        </w:tc>
        <w:tc>
          <w:tcPr>
            <w:tcW w:w="1454" w:type="dxa"/>
            <w:vAlign w:val="center"/>
          </w:tcPr>
          <w:p>
            <w:pPr>
              <w:pStyle w:val="26"/>
              <w:rPr>
                <w:kern w:val="2"/>
                <w:szCs w:val="21"/>
                <w:lang w:val="en-US" w:eastAsia="zh-CN"/>
              </w:rPr>
            </w:pPr>
            <w:r>
              <w:rPr>
                <w:rFonts w:hint="eastAsia"/>
                <w:kern w:val="2"/>
                <w:szCs w:val="21"/>
                <w:lang w:val="en-US" w:eastAsia="zh-CN"/>
              </w:rPr>
              <w:t>污水处理站</w:t>
            </w:r>
          </w:p>
        </w:tc>
        <w:tc>
          <w:tcPr>
            <w:tcW w:w="1444" w:type="dxa"/>
            <w:vAlign w:val="center"/>
          </w:tcPr>
          <w:p>
            <w:pPr>
              <w:pStyle w:val="26"/>
              <w:rPr>
                <w:kern w:val="2"/>
                <w:szCs w:val="21"/>
                <w:lang w:val="en-US" w:eastAsia="zh-CN"/>
              </w:rPr>
            </w:pPr>
            <w:r>
              <w:rPr>
                <w:kern w:val="2"/>
                <w:szCs w:val="21"/>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7" w:hRule="atLeast"/>
        </w:trPr>
        <w:tc>
          <w:tcPr>
            <w:tcW w:w="653" w:type="dxa"/>
            <w:vAlign w:val="center"/>
          </w:tcPr>
          <w:p>
            <w:pPr>
              <w:pStyle w:val="26"/>
              <w:rPr>
                <w:kern w:val="2"/>
                <w:szCs w:val="21"/>
                <w:lang w:val="en-US" w:eastAsia="zh-CN"/>
              </w:rPr>
            </w:pPr>
            <w:r>
              <w:rPr>
                <w:rFonts w:hint="eastAsia"/>
                <w:kern w:val="2"/>
                <w:szCs w:val="21"/>
                <w:lang w:val="en-US" w:eastAsia="zh-CN"/>
              </w:rPr>
              <w:t>噪声治理</w:t>
            </w:r>
          </w:p>
        </w:tc>
        <w:tc>
          <w:tcPr>
            <w:tcW w:w="690" w:type="dxa"/>
            <w:vAlign w:val="center"/>
          </w:tcPr>
          <w:p>
            <w:pPr>
              <w:pStyle w:val="26"/>
              <w:rPr>
                <w:kern w:val="2"/>
                <w:szCs w:val="21"/>
                <w:lang w:val="en-US" w:eastAsia="zh-CN"/>
              </w:rPr>
            </w:pPr>
            <w:r>
              <w:rPr>
                <w:kern w:val="2"/>
                <w:szCs w:val="21"/>
                <w:lang w:val="en-US" w:eastAsia="zh-CN"/>
              </w:rPr>
              <w:t>1</w:t>
            </w:r>
          </w:p>
        </w:tc>
        <w:tc>
          <w:tcPr>
            <w:tcW w:w="4825" w:type="dxa"/>
            <w:vAlign w:val="center"/>
          </w:tcPr>
          <w:p>
            <w:pPr>
              <w:pStyle w:val="26"/>
              <w:rPr>
                <w:kern w:val="2"/>
                <w:szCs w:val="21"/>
                <w:lang w:val="en-US" w:eastAsia="zh-CN"/>
              </w:rPr>
            </w:pPr>
            <w:r>
              <w:rPr>
                <w:rFonts w:hint="eastAsia"/>
                <w:kern w:val="2"/>
                <w:szCs w:val="21"/>
                <w:lang w:val="en-US" w:eastAsia="zh-CN"/>
              </w:rPr>
              <w:t>对泵房、罗茨风机房采取全封闭形式；生产车间安装隔声门窗；对高噪声印染设备安装减振垫、消声器或设立隔声罩。</w:t>
            </w:r>
          </w:p>
        </w:tc>
        <w:tc>
          <w:tcPr>
            <w:tcW w:w="788" w:type="dxa"/>
            <w:vAlign w:val="center"/>
          </w:tcPr>
          <w:p>
            <w:pPr>
              <w:pStyle w:val="26"/>
              <w:rPr>
                <w:kern w:val="2"/>
                <w:szCs w:val="21"/>
                <w:lang w:val="en-US" w:eastAsia="zh-CN"/>
              </w:rPr>
            </w:pPr>
            <w:r>
              <w:rPr>
                <w:kern w:val="2"/>
                <w:szCs w:val="21"/>
                <w:lang w:val="en-US" w:eastAsia="zh-CN"/>
              </w:rPr>
              <w:t>/</w:t>
            </w:r>
          </w:p>
        </w:tc>
        <w:tc>
          <w:tcPr>
            <w:tcW w:w="1454" w:type="dxa"/>
            <w:vAlign w:val="center"/>
          </w:tcPr>
          <w:p>
            <w:pPr>
              <w:pStyle w:val="26"/>
              <w:rPr>
                <w:kern w:val="2"/>
                <w:szCs w:val="21"/>
                <w:lang w:val="en-US" w:eastAsia="zh-CN"/>
              </w:rPr>
            </w:pPr>
            <w:r>
              <w:rPr>
                <w:rFonts w:hint="eastAsia"/>
                <w:kern w:val="2"/>
                <w:szCs w:val="21"/>
                <w:lang w:val="en-US" w:eastAsia="zh-CN"/>
              </w:rPr>
              <w:t>生产车间、污水处理站</w:t>
            </w:r>
          </w:p>
        </w:tc>
        <w:tc>
          <w:tcPr>
            <w:tcW w:w="1444" w:type="dxa"/>
            <w:vAlign w:val="center"/>
          </w:tcPr>
          <w:p>
            <w:pPr>
              <w:pStyle w:val="26"/>
              <w:rPr>
                <w:kern w:val="2"/>
                <w:szCs w:val="21"/>
                <w:lang w:val="en-US" w:eastAsia="zh-CN"/>
              </w:rPr>
            </w:pPr>
            <w:r>
              <w:rPr>
                <w:kern w:val="2"/>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2" w:hRule="atLeast"/>
        </w:trPr>
        <w:tc>
          <w:tcPr>
            <w:tcW w:w="653" w:type="dxa"/>
            <w:vMerge w:val="restart"/>
            <w:vAlign w:val="center"/>
          </w:tcPr>
          <w:p>
            <w:pPr>
              <w:pStyle w:val="26"/>
              <w:rPr>
                <w:kern w:val="2"/>
                <w:szCs w:val="21"/>
                <w:lang w:val="en-US" w:eastAsia="zh-CN"/>
              </w:rPr>
            </w:pPr>
            <w:r>
              <w:rPr>
                <w:rFonts w:hint="eastAsia"/>
                <w:kern w:val="2"/>
                <w:szCs w:val="21"/>
                <w:lang w:val="en-US" w:eastAsia="zh-CN"/>
              </w:rPr>
              <w:t>固废</w:t>
            </w:r>
          </w:p>
          <w:p>
            <w:pPr>
              <w:pStyle w:val="26"/>
              <w:rPr>
                <w:kern w:val="2"/>
                <w:szCs w:val="21"/>
                <w:lang w:val="en-US" w:eastAsia="zh-CN"/>
              </w:rPr>
            </w:pPr>
            <w:r>
              <w:rPr>
                <w:rFonts w:hint="eastAsia"/>
                <w:kern w:val="2"/>
                <w:szCs w:val="21"/>
                <w:lang w:val="en-US" w:eastAsia="zh-CN"/>
              </w:rPr>
              <w:t>治理</w:t>
            </w:r>
          </w:p>
        </w:tc>
        <w:tc>
          <w:tcPr>
            <w:tcW w:w="690" w:type="dxa"/>
            <w:vAlign w:val="center"/>
          </w:tcPr>
          <w:p>
            <w:pPr>
              <w:pStyle w:val="26"/>
              <w:rPr>
                <w:kern w:val="2"/>
                <w:szCs w:val="21"/>
                <w:lang w:val="en-US" w:eastAsia="zh-CN"/>
              </w:rPr>
            </w:pPr>
            <w:r>
              <w:rPr>
                <w:kern w:val="2"/>
                <w:szCs w:val="21"/>
                <w:lang w:val="en-US" w:eastAsia="zh-CN"/>
              </w:rPr>
              <w:t>1</w:t>
            </w:r>
          </w:p>
        </w:tc>
        <w:tc>
          <w:tcPr>
            <w:tcW w:w="4825" w:type="dxa"/>
            <w:vAlign w:val="center"/>
          </w:tcPr>
          <w:p>
            <w:pPr>
              <w:pStyle w:val="26"/>
              <w:rPr>
                <w:kern w:val="2"/>
                <w:szCs w:val="21"/>
                <w:lang w:val="en-US" w:eastAsia="zh-CN"/>
              </w:rPr>
            </w:pPr>
            <w:r>
              <w:rPr>
                <w:rFonts w:hint="eastAsia"/>
                <w:kern w:val="2"/>
                <w:szCs w:val="21"/>
                <w:lang w:val="en-US" w:eastAsia="zh-CN"/>
              </w:rPr>
              <w:t>污泥暂存池</w:t>
            </w:r>
          </w:p>
        </w:tc>
        <w:tc>
          <w:tcPr>
            <w:tcW w:w="788" w:type="dxa"/>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个</w:t>
            </w:r>
          </w:p>
        </w:tc>
        <w:tc>
          <w:tcPr>
            <w:tcW w:w="1454" w:type="dxa"/>
            <w:vAlign w:val="center"/>
          </w:tcPr>
          <w:p>
            <w:pPr>
              <w:pStyle w:val="26"/>
              <w:rPr>
                <w:kern w:val="2"/>
                <w:szCs w:val="21"/>
                <w:lang w:val="en-US" w:eastAsia="zh-CN"/>
              </w:rPr>
            </w:pPr>
            <w:r>
              <w:rPr>
                <w:rFonts w:hint="eastAsia"/>
                <w:kern w:val="2"/>
                <w:szCs w:val="21"/>
                <w:lang w:val="en-US" w:eastAsia="zh-CN"/>
              </w:rPr>
              <w:t>污水处理站</w:t>
            </w:r>
          </w:p>
        </w:tc>
        <w:tc>
          <w:tcPr>
            <w:tcW w:w="1444" w:type="dxa"/>
            <w:vAlign w:val="center"/>
          </w:tcPr>
          <w:p>
            <w:pPr>
              <w:pStyle w:val="26"/>
              <w:rPr>
                <w:kern w:val="2"/>
                <w:szCs w:val="21"/>
                <w:lang w:val="en-US" w:eastAsia="zh-CN"/>
              </w:rPr>
            </w:pPr>
            <w:r>
              <w:rPr>
                <w:kern w:val="2"/>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1" w:hRule="atLeast"/>
        </w:trPr>
        <w:tc>
          <w:tcPr>
            <w:tcW w:w="653" w:type="dxa"/>
            <w:vMerge w:val="continue"/>
            <w:vAlign w:val="center"/>
          </w:tcPr>
          <w:p>
            <w:pPr>
              <w:pStyle w:val="26"/>
              <w:rPr>
                <w:kern w:val="2"/>
                <w:szCs w:val="21"/>
                <w:lang w:val="en-US" w:eastAsia="zh-CN"/>
              </w:rPr>
            </w:pPr>
          </w:p>
        </w:tc>
        <w:tc>
          <w:tcPr>
            <w:tcW w:w="690" w:type="dxa"/>
            <w:vAlign w:val="center"/>
          </w:tcPr>
          <w:p>
            <w:pPr>
              <w:pStyle w:val="26"/>
              <w:rPr>
                <w:kern w:val="2"/>
                <w:szCs w:val="21"/>
                <w:lang w:val="en-US" w:eastAsia="zh-CN"/>
              </w:rPr>
            </w:pPr>
            <w:r>
              <w:rPr>
                <w:kern w:val="2"/>
                <w:szCs w:val="21"/>
                <w:lang w:val="en-US" w:eastAsia="zh-CN"/>
              </w:rPr>
              <w:t>2</w:t>
            </w:r>
          </w:p>
        </w:tc>
        <w:tc>
          <w:tcPr>
            <w:tcW w:w="4825" w:type="dxa"/>
            <w:vAlign w:val="center"/>
          </w:tcPr>
          <w:p>
            <w:pPr>
              <w:pStyle w:val="26"/>
              <w:rPr>
                <w:kern w:val="2"/>
                <w:szCs w:val="21"/>
                <w:lang w:val="en-US" w:eastAsia="zh-CN"/>
              </w:rPr>
            </w:pPr>
            <w:r>
              <w:rPr>
                <w:rFonts w:hint="eastAsia"/>
                <w:kern w:val="2"/>
                <w:szCs w:val="21"/>
                <w:lang w:val="en-US" w:eastAsia="zh-CN"/>
              </w:rPr>
              <w:t>危废暂存间</w:t>
            </w:r>
          </w:p>
        </w:tc>
        <w:tc>
          <w:tcPr>
            <w:tcW w:w="788" w:type="dxa"/>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间</w:t>
            </w:r>
          </w:p>
        </w:tc>
        <w:tc>
          <w:tcPr>
            <w:tcW w:w="1454" w:type="dxa"/>
            <w:vAlign w:val="center"/>
          </w:tcPr>
          <w:p>
            <w:pPr>
              <w:pStyle w:val="26"/>
              <w:rPr>
                <w:kern w:val="2"/>
                <w:szCs w:val="21"/>
                <w:lang w:val="en-US" w:eastAsia="zh-CN"/>
              </w:rPr>
            </w:pPr>
            <w:r>
              <w:rPr>
                <w:kern w:val="2"/>
                <w:szCs w:val="21"/>
                <w:lang w:val="en-US" w:eastAsia="zh-CN"/>
              </w:rPr>
              <w:t>/</w:t>
            </w:r>
          </w:p>
        </w:tc>
        <w:tc>
          <w:tcPr>
            <w:tcW w:w="1444" w:type="dxa"/>
            <w:vAlign w:val="center"/>
          </w:tcPr>
          <w:p>
            <w:pPr>
              <w:pStyle w:val="26"/>
              <w:rPr>
                <w:kern w:val="2"/>
                <w:szCs w:val="21"/>
                <w:lang w:val="en-US" w:eastAsia="zh-CN"/>
              </w:rPr>
            </w:pPr>
            <w:r>
              <w:rPr>
                <w:kern w:val="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1" w:hRule="atLeast"/>
        </w:trPr>
        <w:tc>
          <w:tcPr>
            <w:tcW w:w="653" w:type="dxa"/>
            <w:vAlign w:val="center"/>
          </w:tcPr>
          <w:p>
            <w:pPr>
              <w:pStyle w:val="26"/>
              <w:rPr>
                <w:kern w:val="2"/>
                <w:szCs w:val="21"/>
                <w:lang w:val="en-US" w:eastAsia="zh-CN"/>
              </w:rPr>
            </w:pPr>
            <w:r>
              <w:rPr>
                <w:rFonts w:hint="eastAsia"/>
                <w:kern w:val="2"/>
                <w:szCs w:val="21"/>
                <w:lang w:val="en-US" w:eastAsia="zh-CN"/>
              </w:rPr>
              <w:t>风险应急</w:t>
            </w:r>
          </w:p>
        </w:tc>
        <w:tc>
          <w:tcPr>
            <w:tcW w:w="690" w:type="dxa"/>
            <w:vAlign w:val="center"/>
          </w:tcPr>
          <w:p>
            <w:pPr>
              <w:pStyle w:val="26"/>
              <w:rPr>
                <w:kern w:val="2"/>
                <w:szCs w:val="21"/>
                <w:lang w:val="en-US" w:eastAsia="zh-CN"/>
              </w:rPr>
            </w:pPr>
            <w:r>
              <w:rPr>
                <w:rFonts w:hint="eastAsia"/>
                <w:kern w:val="2"/>
                <w:szCs w:val="21"/>
                <w:lang w:val="en-US" w:eastAsia="zh-CN"/>
              </w:rPr>
              <w:t>1</w:t>
            </w:r>
          </w:p>
        </w:tc>
        <w:tc>
          <w:tcPr>
            <w:tcW w:w="4825" w:type="dxa"/>
            <w:vAlign w:val="center"/>
          </w:tcPr>
          <w:p>
            <w:pPr>
              <w:pStyle w:val="26"/>
              <w:rPr>
                <w:rFonts w:hint="eastAsia"/>
                <w:kern w:val="2"/>
                <w:szCs w:val="21"/>
                <w:lang w:val="en-US" w:eastAsia="zh-CN"/>
              </w:rPr>
            </w:pPr>
            <w:r>
              <w:rPr>
                <w:rFonts w:hint="eastAsia"/>
                <w:kern w:val="2"/>
                <w:szCs w:val="21"/>
                <w:lang w:val="en-US" w:eastAsia="zh-CN"/>
              </w:rPr>
              <w:t>事故应急池</w:t>
            </w:r>
          </w:p>
        </w:tc>
        <w:tc>
          <w:tcPr>
            <w:tcW w:w="788" w:type="dxa"/>
            <w:vAlign w:val="center"/>
          </w:tcPr>
          <w:p>
            <w:pPr>
              <w:pStyle w:val="26"/>
              <w:rPr>
                <w:kern w:val="2"/>
                <w:szCs w:val="21"/>
                <w:lang w:val="en-US" w:eastAsia="zh-CN"/>
              </w:rPr>
            </w:pPr>
            <w:r>
              <w:rPr>
                <w:rFonts w:hint="eastAsia"/>
                <w:kern w:val="2"/>
                <w:szCs w:val="21"/>
                <w:lang w:val="en-US" w:eastAsia="zh-CN"/>
              </w:rPr>
              <w:t>1个</w:t>
            </w:r>
          </w:p>
        </w:tc>
        <w:tc>
          <w:tcPr>
            <w:tcW w:w="1454" w:type="dxa"/>
            <w:vAlign w:val="center"/>
          </w:tcPr>
          <w:p>
            <w:pPr>
              <w:pStyle w:val="26"/>
              <w:rPr>
                <w:kern w:val="2"/>
                <w:szCs w:val="21"/>
                <w:lang w:val="en-US" w:eastAsia="zh-CN"/>
              </w:rPr>
            </w:pPr>
            <w:r>
              <w:rPr>
                <w:rFonts w:hint="eastAsia"/>
                <w:kern w:val="2"/>
                <w:szCs w:val="21"/>
                <w:lang w:val="en-US" w:eastAsia="zh-CN"/>
              </w:rPr>
              <w:t>/</w:t>
            </w:r>
          </w:p>
        </w:tc>
        <w:tc>
          <w:tcPr>
            <w:tcW w:w="1444" w:type="dxa"/>
            <w:vAlign w:val="center"/>
          </w:tcPr>
          <w:p>
            <w:pPr>
              <w:pStyle w:val="26"/>
              <w:rPr>
                <w:kern w:val="2"/>
                <w:szCs w:val="21"/>
                <w:lang w:val="en-US" w:eastAsia="zh-CN"/>
              </w:rPr>
            </w:pPr>
            <w:r>
              <w:rPr>
                <w:rFonts w:hint="eastAsia"/>
                <w:kern w:val="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1" w:hRule="atLeast"/>
        </w:trPr>
        <w:tc>
          <w:tcPr>
            <w:tcW w:w="8410" w:type="dxa"/>
            <w:gridSpan w:val="5"/>
            <w:vAlign w:val="center"/>
          </w:tcPr>
          <w:p>
            <w:pPr>
              <w:pStyle w:val="26"/>
              <w:rPr>
                <w:kern w:val="2"/>
                <w:szCs w:val="21"/>
                <w:lang w:val="en-US" w:eastAsia="zh-CN"/>
              </w:rPr>
            </w:pPr>
            <w:r>
              <w:rPr>
                <w:rFonts w:hint="eastAsia"/>
                <w:kern w:val="2"/>
                <w:szCs w:val="21"/>
                <w:lang w:val="en-US" w:eastAsia="zh-CN"/>
              </w:rPr>
              <w:t>合计</w:t>
            </w:r>
          </w:p>
        </w:tc>
        <w:tc>
          <w:tcPr>
            <w:tcW w:w="1444" w:type="dxa"/>
            <w:vAlign w:val="center"/>
          </w:tcPr>
          <w:p>
            <w:pPr>
              <w:pStyle w:val="26"/>
              <w:rPr>
                <w:kern w:val="2"/>
                <w:szCs w:val="21"/>
                <w:lang w:val="en-US" w:eastAsia="zh-CN"/>
              </w:rPr>
            </w:pPr>
            <w:r>
              <w:rPr>
                <w:kern w:val="2"/>
                <w:szCs w:val="21"/>
                <w:lang w:val="en-US" w:eastAsia="zh-CN"/>
              </w:rPr>
              <w:t>76</w:t>
            </w:r>
            <w:r>
              <w:rPr>
                <w:rFonts w:hint="eastAsia"/>
                <w:kern w:val="2"/>
                <w:szCs w:val="21"/>
                <w:lang w:val="en-US" w:eastAsia="zh-CN"/>
              </w:rPr>
              <w:t>6</w:t>
            </w:r>
          </w:p>
        </w:tc>
      </w:tr>
    </w:tbl>
    <w:p>
      <w:pPr>
        <w:pStyle w:val="4"/>
      </w:pPr>
      <w:r>
        <w:rPr>
          <w:rFonts w:hint="eastAsia"/>
        </w:rPr>
        <w:t>环境保护效益分析</w:t>
      </w:r>
    </w:p>
    <w:p>
      <w:pPr>
        <w:ind w:firstLine="480"/>
      </w:pPr>
      <w:r>
        <w:rPr>
          <w:rFonts w:hint="eastAsia"/>
        </w:rPr>
        <w:t>厂区全部污水排入营田镇污水处理厂进一步处理，有利于湘江水质的改善。各固体废物进行妥善处理等措施，可以实现以下环境效益。</w:t>
      </w:r>
    </w:p>
    <w:p>
      <w:pPr>
        <w:ind w:firstLine="480"/>
      </w:pPr>
      <w:r>
        <w:rPr>
          <w:rFonts w:hint="eastAsia"/>
        </w:rPr>
        <w:t>减少污染物的排放：项目建成后，由于实施各种严格的环保措施，污染物排放量将得到减少，使得城市环境质量得以改善。生产固体废物和生活垃圾分类收集，生活垃圾由环卫部门定期统一清运处理，生产固体废物暂存按规定收集、贮存后，送有资质单位进行处理，避免了二次污染。</w:t>
      </w:r>
    </w:p>
    <w:p>
      <w:pPr>
        <w:ind w:firstLine="480"/>
      </w:pPr>
      <w:r>
        <w:rPr>
          <w:rFonts w:hint="eastAsia"/>
        </w:rPr>
        <w:t>综上所述，项目具有良好的经济效益、社会效益和环境效益。</w:t>
      </w:r>
    </w:p>
    <w:p>
      <w:pPr>
        <w:ind w:firstLine="480"/>
        <w:sectPr>
          <w:pgSz w:w="11906" w:h="16838"/>
          <w:pgMar w:top="1440" w:right="1417" w:bottom="1440" w:left="1417" w:header="851" w:footer="992" w:gutter="0"/>
          <w:cols w:space="0" w:num="1"/>
          <w:docGrid w:type="lines" w:linePitch="332" w:charSpace="0"/>
        </w:sectPr>
      </w:pPr>
    </w:p>
    <w:p>
      <w:pPr>
        <w:pStyle w:val="2"/>
      </w:pPr>
      <w:bookmarkStart w:id="119" w:name="_Toc11396"/>
      <w:r>
        <w:rPr>
          <w:rFonts w:hint="eastAsia"/>
        </w:rPr>
        <w:t>环境管理与监测计划</w:t>
      </w:r>
      <w:bookmarkEnd w:id="119"/>
    </w:p>
    <w:p>
      <w:pPr>
        <w:pStyle w:val="3"/>
      </w:pPr>
      <w:bookmarkStart w:id="120" w:name="_Toc7601"/>
      <w:r>
        <w:rPr>
          <w:rFonts w:hint="eastAsia"/>
        </w:rPr>
        <w:t>环境管理</w:t>
      </w:r>
      <w:bookmarkEnd w:id="120"/>
    </w:p>
    <w:p>
      <w:pPr>
        <w:ind w:firstLine="480"/>
      </w:pPr>
      <w:r>
        <w:rPr>
          <w:rFonts w:hint="eastAsia"/>
        </w:rPr>
        <w:t>现有企业能正确处理好发展生产与环境保护的关系，环保投入力度大，把环保工作列入企业管理的重要内容。目前，企业已成立了由总经理为组长的环保工作管理小组，下设机电设备部具体负责公司环保治理措施的落实监督、环保设备的保养维修，确保环保设施正常运行。公司拟实行三级能源、用水计量管理，由综合办负责对能源、取水、中水回用和排污情况进行监督，并建立管理考核制度和数据统计系统。</w:t>
      </w:r>
    </w:p>
    <w:p>
      <w:pPr>
        <w:ind w:firstLine="480"/>
      </w:pPr>
      <w:r>
        <w:rPr>
          <w:rFonts w:hint="eastAsia"/>
        </w:rPr>
        <w:t>同时，企业拟对污染物外排做好动态监测和记录建档工作，并制定相应的操作规程和岗位责任制。制定《环境保护管理制度》，明确规定综合办负责全公司环保工作的管理和检查督促，制定“环保经济责任制考核办法”。</w:t>
      </w:r>
    </w:p>
    <w:p>
      <w:pPr>
        <w:ind w:firstLine="480"/>
      </w:pPr>
      <w:r>
        <w:rPr>
          <w:rFonts w:hint="eastAsia"/>
        </w:rPr>
        <w:t>环境管理机构的主要职责如下：</w:t>
      </w:r>
    </w:p>
    <w:p>
      <w:pPr>
        <w:ind w:firstLine="480"/>
      </w:pPr>
      <w:r>
        <w:t>(1)</w:t>
      </w:r>
      <w:r>
        <w:rPr>
          <w:rFonts w:hint="eastAsia"/>
        </w:rPr>
        <w:t>制定单位环保规章制度及详细的环保计划，并监督执行。</w:t>
      </w:r>
    </w:p>
    <w:p>
      <w:pPr>
        <w:ind w:firstLine="480"/>
      </w:pPr>
      <w:r>
        <w:t>(2)</w:t>
      </w:r>
      <w:r>
        <w:rPr>
          <w:rFonts w:hint="eastAsia"/>
        </w:rPr>
        <w:t>配合各级环保管理部门开展各项环保工作，贯彻执行国家及地方各项环保法规及标准。</w:t>
      </w:r>
    </w:p>
    <w:p>
      <w:pPr>
        <w:ind w:firstLine="480"/>
      </w:pPr>
      <w:r>
        <w:t>(3)</w:t>
      </w:r>
      <w:r>
        <w:rPr>
          <w:rFonts w:hint="eastAsia"/>
        </w:rPr>
        <w:t>负责本单位的环保设施的正常运行及维护，检查环保隐患事故，杜绝污染事故性排放发生。</w:t>
      </w:r>
    </w:p>
    <w:p>
      <w:pPr>
        <w:ind w:firstLine="480"/>
      </w:pPr>
      <w:r>
        <w:t>(4)</w:t>
      </w:r>
      <w:r>
        <w:rPr>
          <w:rFonts w:hint="eastAsia"/>
        </w:rPr>
        <w:t>开展本单位的环保知识培训、技术考核及环保安全教育工作。</w:t>
      </w:r>
    </w:p>
    <w:p>
      <w:pPr>
        <w:ind w:firstLine="480"/>
      </w:pPr>
      <w:r>
        <w:t>(5)</w:t>
      </w:r>
      <w:r>
        <w:rPr>
          <w:rFonts w:hint="eastAsia"/>
        </w:rPr>
        <w:t>建立调整项目建设期间的环保审批、三同时检查及环保档案。</w:t>
      </w:r>
    </w:p>
    <w:p>
      <w:pPr>
        <w:ind w:firstLine="480"/>
      </w:pPr>
      <w:r>
        <w:t>(6)</w:t>
      </w:r>
      <w:r>
        <w:rPr>
          <w:rFonts w:hint="eastAsia"/>
        </w:rPr>
        <w:t>负责做好监测仪器的维护、保养和检验工作，确保监控工作的顺利进行。</w:t>
      </w:r>
    </w:p>
    <w:p>
      <w:pPr>
        <w:ind w:firstLine="480"/>
      </w:pPr>
      <w:r>
        <w:t>(7)</w:t>
      </w:r>
      <w:r>
        <w:rPr>
          <w:rFonts w:hint="eastAsia"/>
        </w:rPr>
        <w:t>在环境监测基础上，建立企业的污染源档案，了解企业污染物排放量、排放源强、排放规律及相关的污染治理、综合利用情况。</w:t>
      </w:r>
    </w:p>
    <w:p>
      <w:pPr>
        <w:ind w:firstLine="480"/>
      </w:pPr>
      <w:r>
        <w:rPr>
          <w:rFonts w:hint="eastAsia"/>
        </w:rPr>
        <w:t>设置专职环保员</w:t>
      </w:r>
      <w:r>
        <w:t>1</w:t>
      </w:r>
      <w:r>
        <w:rPr>
          <w:rFonts w:hint="eastAsia"/>
        </w:rPr>
        <w:t>名，按时上报环保设施的运行情况，以接受环保部门的监督；同时积极开展日常环境管理工作。</w:t>
      </w:r>
    </w:p>
    <w:p>
      <w:pPr>
        <w:pStyle w:val="3"/>
      </w:pPr>
      <w:bookmarkStart w:id="121" w:name="_Toc6747"/>
      <w:r>
        <w:rPr>
          <w:rFonts w:hint="eastAsia"/>
        </w:rPr>
        <w:t>环境监测</w:t>
      </w:r>
      <w:bookmarkEnd w:id="121"/>
    </w:p>
    <w:p>
      <w:pPr>
        <w:spacing w:line="480" w:lineRule="exact"/>
        <w:ind w:firstLine="480"/>
      </w:pPr>
      <w:r>
        <w:rPr>
          <w:rFonts w:hint="eastAsia" w:ascii="宋体" w:hAnsi="宋体"/>
        </w:rPr>
        <w:t>技改项目</w:t>
      </w:r>
      <w:r>
        <w:rPr>
          <w:rFonts w:hint="eastAsia"/>
        </w:rPr>
        <w:t>环境监测应包括环保</w:t>
      </w:r>
      <w:r>
        <w:t>“</w:t>
      </w:r>
      <w:r>
        <w:rPr>
          <w:rFonts w:hint="eastAsia"/>
        </w:rPr>
        <w:t>三同时</w:t>
      </w:r>
      <w:r>
        <w:t>”</w:t>
      </w:r>
      <w:r>
        <w:rPr>
          <w:rFonts w:hint="eastAsia"/>
        </w:rPr>
        <w:t>竣工验收监测和运行期环境监测二方面。</w:t>
      </w:r>
    </w:p>
    <w:p>
      <w:pPr>
        <w:pStyle w:val="4"/>
      </w:pPr>
      <w:r>
        <w:rPr>
          <w:rFonts w:hint="eastAsia"/>
        </w:rPr>
        <w:t>竣工验收监测</w:t>
      </w:r>
    </w:p>
    <w:p>
      <w:pPr>
        <w:ind w:firstLine="480"/>
        <w:sectPr>
          <w:pgSz w:w="11906" w:h="16838"/>
          <w:pgMar w:top="1440" w:right="1417" w:bottom="1440" w:left="1417" w:header="851" w:footer="992" w:gutter="0"/>
          <w:cols w:space="0" w:num="1"/>
          <w:docGrid w:type="lines" w:linePitch="332" w:charSpace="0"/>
        </w:sectPr>
      </w:pPr>
      <w:r>
        <w:rPr>
          <w:rFonts w:hint="eastAsia"/>
        </w:rPr>
        <w:t>技改项目环境保护</w:t>
      </w:r>
      <w:r>
        <w:t>“</w:t>
      </w:r>
      <w:r>
        <w:rPr>
          <w:rFonts w:hint="eastAsia"/>
        </w:rPr>
        <w:t>三同时</w:t>
      </w:r>
      <w:r>
        <w:t>”</w:t>
      </w:r>
      <w:r>
        <w:rPr>
          <w:rFonts w:hint="eastAsia"/>
        </w:rPr>
        <w:t>措施见表</w:t>
      </w:r>
      <w:r>
        <w:t>1</w:t>
      </w:r>
      <w:r>
        <w:rPr>
          <w:rFonts w:hint="eastAsia"/>
        </w:rPr>
        <w:t>1</w:t>
      </w:r>
      <w:r>
        <w:t>.2-1</w:t>
      </w:r>
      <w:r>
        <w:rPr>
          <w:rFonts w:hint="eastAsia"/>
        </w:rPr>
        <w:t>。</w:t>
      </w:r>
    </w:p>
    <w:p>
      <w:pPr>
        <w:pStyle w:val="26"/>
        <w:rPr>
          <w:b/>
          <w:bCs/>
          <w:u w:val="single"/>
        </w:rPr>
      </w:pPr>
      <w:r>
        <w:rPr>
          <w:rFonts w:hint="eastAsia"/>
          <w:b/>
          <w:bCs/>
          <w:u w:val="single"/>
        </w:rPr>
        <w:t>表</w:t>
      </w:r>
      <w:r>
        <w:rPr>
          <w:b/>
          <w:bCs/>
          <w:u w:val="single"/>
        </w:rPr>
        <w:t>1</w:t>
      </w:r>
      <w:r>
        <w:rPr>
          <w:rFonts w:hint="eastAsia"/>
          <w:b/>
          <w:bCs/>
          <w:u w:val="single"/>
        </w:rPr>
        <w:t>1</w:t>
      </w:r>
      <w:r>
        <w:rPr>
          <w:b/>
          <w:bCs/>
          <w:u w:val="single"/>
        </w:rPr>
        <w:t xml:space="preserve">.2-1   </w:t>
      </w:r>
      <w:r>
        <w:rPr>
          <w:rFonts w:hint="eastAsia"/>
          <w:b/>
          <w:bCs/>
          <w:u w:val="single"/>
        </w:rPr>
        <w:t>技改项目环境保护</w:t>
      </w:r>
      <w:r>
        <w:rPr>
          <w:b/>
          <w:bCs/>
          <w:u w:val="single"/>
        </w:rPr>
        <w:t>“</w:t>
      </w:r>
      <w:r>
        <w:rPr>
          <w:rFonts w:hint="eastAsia"/>
          <w:b/>
          <w:bCs/>
          <w:u w:val="single"/>
        </w:rPr>
        <w:t>三同时</w:t>
      </w:r>
      <w:r>
        <w:rPr>
          <w:b/>
          <w:bCs/>
          <w:u w:val="single"/>
        </w:rPr>
        <w:t>”</w:t>
      </w:r>
      <w:r>
        <w:rPr>
          <w:rFonts w:hint="eastAsia"/>
          <w:b/>
          <w:bCs/>
          <w:u w:val="single"/>
        </w:rPr>
        <w:t>措施一览表</w:t>
      </w:r>
    </w:p>
    <w:tbl>
      <w:tblPr>
        <w:tblStyle w:val="23"/>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675"/>
        <w:gridCol w:w="4054"/>
        <w:gridCol w:w="698"/>
        <w:gridCol w:w="1592"/>
        <w:gridCol w:w="1072"/>
        <w:gridCol w:w="1230"/>
        <w:gridCol w:w="1288"/>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736" w:type="dxa"/>
            <w:vAlign w:val="center"/>
          </w:tcPr>
          <w:p>
            <w:pPr>
              <w:pStyle w:val="26"/>
              <w:spacing w:line="240" w:lineRule="auto"/>
              <w:rPr>
                <w:kern w:val="2"/>
                <w:szCs w:val="21"/>
                <w:u w:val="single"/>
                <w:lang w:val="en-US" w:eastAsia="zh-CN"/>
              </w:rPr>
            </w:pPr>
            <w:r>
              <w:rPr>
                <w:rFonts w:hint="eastAsia"/>
                <w:kern w:val="2"/>
                <w:szCs w:val="21"/>
                <w:u w:val="single"/>
                <w:lang w:val="en-US" w:eastAsia="zh-CN"/>
              </w:rPr>
              <w:t>类别</w:t>
            </w:r>
          </w:p>
        </w:tc>
        <w:tc>
          <w:tcPr>
            <w:tcW w:w="675" w:type="dxa"/>
            <w:vAlign w:val="center"/>
          </w:tcPr>
          <w:p>
            <w:pPr>
              <w:pStyle w:val="26"/>
              <w:spacing w:line="240" w:lineRule="auto"/>
              <w:rPr>
                <w:kern w:val="2"/>
                <w:szCs w:val="21"/>
                <w:u w:val="single"/>
                <w:lang w:val="en-US" w:eastAsia="zh-CN"/>
              </w:rPr>
            </w:pPr>
            <w:r>
              <w:rPr>
                <w:rFonts w:hint="eastAsia"/>
                <w:kern w:val="2"/>
                <w:szCs w:val="21"/>
                <w:u w:val="single"/>
                <w:lang w:val="en-US" w:eastAsia="zh-CN"/>
              </w:rPr>
              <w:t>序号</w:t>
            </w:r>
          </w:p>
        </w:tc>
        <w:tc>
          <w:tcPr>
            <w:tcW w:w="4054" w:type="dxa"/>
            <w:vAlign w:val="center"/>
          </w:tcPr>
          <w:p>
            <w:pPr>
              <w:pStyle w:val="26"/>
              <w:spacing w:line="240" w:lineRule="auto"/>
              <w:rPr>
                <w:kern w:val="2"/>
                <w:szCs w:val="21"/>
                <w:u w:val="single"/>
                <w:lang w:val="en-US" w:eastAsia="zh-CN"/>
              </w:rPr>
            </w:pPr>
            <w:r>
              <w:rPr>
                <w:rFonts w:hint="eastAsia"/>
                <w:kern w:val="2"/>
                <w:szCs w:val="21"/>
                <w:u w:val="single"/>
                <w:lang w:val="en-US" w:eastAsia="zh-CN"/>
              </w:rPr>
              <w:t>治理设施或措施</w:t>
            </w:r>
          </w:p>
        </w:tc>
        <w:tc>
          <w:tcPr>
            <w:tcW w:w="698" w:type="dxa"/>
            <w:vAlign w:val="center"/>
          </w:tcPr>
          <w:p>
            <w:pPr>
              <w:pStyle w:val="26"/>
              <w:spacing w:line="240" w:lineRule="auto"/>
              <w:rPr>
                <w:kern w:val="2"/>
                <w:szCs w:val="21"/>
                <w:u w:val="single"/>
                <w:lang w:val="en-US" w:eastAsia="zh-CN"/>
              </w:rPr>
            </w:pPr>
            <w:r>
              <w:rPr>
                <w:rFonts w:hint="eastAsia"/>
                <w:kern w:val="2"/>
                <w:szCs w:val="21"/>
                <w:u w:val="single"/>
                <w:lang w:val="en-US" w:eastAsia="zh-CN"/>
              </w:rPr>
              <w:t>数量</w:t>
            </w:r>
          </w:p>
        </w:tc>
        <w:tc>
          <w:tcPr>
            <w:tcW w:w="1592" w:type="dxa"/>
            <w:vAlign w:val="center"/>
          </w:tcPr>
          <w:p>
            <w:pPr>
              <w:pStyle w:val="26"/>
              <w:spacing w:line="240" w:lineRule="auto"/>
              <w:rPr>
                <w:kern w:val="2"/>
                <w:szCs w:val="21"/>
                <w:u w:val="single"/>
                <w:lang w:val="en-US" w:eastAsia="zh-CN"/>
              </w:rPr>
            </w:pPr>
            <w:r>
              <w:rPr>
                <w:rFonts w:hint="eastAsia"/>
                <w:kern w:val="2"/>
                <w:szCs w:val="21"/>
                <w:u w:val="single"/>
                <w:lang w:val="en-US" w:eastAsia="zh-CN"/>
              </w:rPr>
              <w:t>治理对象</w:t>
            </w:r>
          </w:p>
          <w:p>
            <w:pPr>
              <w:pStyle w:val="26"/>
              <w:spacing w:line="240" w:lineRule="auto"/>
              <w:rPr>
                <w:kern w:val="2"/>
                <w:szCs w:val="21"/>
                <w:u w:val="single"/>
                <w:lang w:val="en-US" w:eastAsia="zh-CN"/>
              </w:rPr>
            </w:pPr>
            <w:r>
              <w:rPr>
                <w:rFonts w:hint="eastAsia"/>
                <w:kern w:val="2"/>
                <w:szCs w:val="21"/>
                <w:u w:val="single"/>
                <w:lang w:val="en-US" w:eastAsia="zh-CN"/>
              </w:rPr>
              <w:t>（主要内容）</w:t>
            </w:r>
          </w:p>
        </w:tc>
        <w:tc>
          <w:tcPr>
            <w:tcW w:w="10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处置方式</w:t>
            </w:r>
          </w:p>
        </w:tc>
        <w:tc>
          <w:tcPr>
            <w:tcW w:w="1230" w:type="dxa"/>
            <w:vAlign w:val="center"/>
          </w:tcPr>
          <w:p>
            <w:pPr>
              <w:pStyle w:val="26"/>
              <w:spacing w:line="240" w:lineRule="auto"/>
              <w:rPr>
                <w:kern w:val="2"/>
                <w:szCs w:val="21"/>
                <w:u w:val="single"/>
                <w:lang w:val="en-US" w:eastAsia="zh-CN"/>
              </w:rPr>
            </w:pPr>
            <w:r>
              <w:rPr>
                <w:rFonts w:hint="eastAsia"/>
                <w:kern w:val="2"/>
                <w:szCs w:val="21"/>
                <w:u w:val="single"/>
                <w:lang w:val="en-US" w:eastAsia="zh-CN"/>
              </w:rPr>
              <w:t>处理能力</w:t>
            </w:r>
          </w:p>
        </w:tc>
        <w:tc>
          <w:tcPr>
            <w:tcW w:w="1288" w:type="dxa"/>
            <w:vAlign w:val="center"/>
          </w:tcPr>
          <w:p>
            <w:pPr>
              <w:pStyle w:val="26"/>
              <w:spacing w:line="240" w:lineRule="auto"/>
              <w:rPr>
                <w:kern w:val="2"/>
                <w:szCs w:val="21"/>
                <w:u w:val="single"/>
                <w:lang w:val="en-US" w:eastAsia="zh-CN"/>
              </w:rPr>
            </w:pPr>
            <w:r>
              <w:rPr>
                <w:rFonts w:hint="eastAsia"/>
                <w:kern w:val="2"/>
                <w:szCs w:val="21"/>
                <w:u w:val="single"/>
                <w:lang w:val="en-US" w:eastAsia="zh-CN"/>
              </w:rPr>
              <w:t>安装部位</w:t>
            </w:r>
          </w:p>
        </w:tc>
        <w:tc>
          <w:tcPr>
            <w:tcW w:w="2829" w:type="dxa"/>
            <w:vAlign w:val="center"/>
          </w:tcPr>
          <w:p>
            <w:pPr>
              <w:pStyle w:val="26"/>
              <w:spacing w:line="240" w:lineRule="auto"/>
              <w:rPr>
                <w:kern w:val="2"/>
                <w:szCs w:val="21"/>
                <w:u w:val="single"/>
                <w:lang w:val="en-US" w:eastAsia="zh-CN"/>
              </w:rPr>
            </w:pPr>
            <w:r>
              <w:rPr>
                <w:rFonts w:hint="eastAsia"/>
                <w:kern w:val="2"/>
                <w:szCs w:val="21"/>
                <w:u w:val="single"/>
                <w:lang w:val="en-US" w:eastAsia="zh-CN"/>
              </w:rPr>
              <w:t>预期处理效果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atLeast"/>
        </w:trPr>
        <w:tc>
          <w:tcPr>
            <w:tcW w:w="736" w:type="dxa"/>
            <w:vMerge w:val="restart"/>
            <w:vAlign w:val="center"/>
          </w:tcPr>
          <w:p>
            <w:pPr>
              <w:pStyle w:val="26"/>
              <w:spacing w:line="240" w:lineRule="auto"/>
              <w:rPr>
                <w:kern w:val="2"/>
                <w:szCs w:val="21"/>
                <w:u w:val="single"/>
                <w:lang w:val="en-US" w:eastAsia="zh-CN"/>
              </w:rPr>
            </w:pPr>
            <w:r>
              <w:rPr>
                <w:rFonts w:hint="eastAsia"/>
                <w:kern w:val="2"/>
                <w:szCs w:val="21"/>
                <w:u w:val="single"/>
                <w:lang w:val="en-US" w:eastAsia="zh-CN"/>
              </w:rPr>
              <w:t>废气治理</w:t>
            </w:r>
          </w:p>
        </w:tc>
        <w:tc>
          <w:tcPr>
            <w:tcW w:w="675" w:type="dxa"/>
            <w:vAlign w:val="center"/>
          </w:tcPr>
          <w:p>
            <w:pPr>
              <w:pStyle w:val="26"/>
              <w:spacing w:line="240" w:lineRule="auto"/>
              <w:rPr>
                <w:kern w:val="2"/>
                <w:szCs w:val="21"/>
                <w:u w:val="single"/>
                <w:lang w:val="en-US" w:eastAsia="zh-CN"/>
              </w:rPr>
            </w:pPr>
            <w:r>
              <w:rPr>
                <w:kern w:val="2"/>
                <w:szCs w:val="21"/>
                <w:u w:val="single"/>
                <w:lang w:val="en-US" w:eastAsia="zh-CN"/>
              </w:rPr>
              <w:t>1</w:t>
            </w:r>
          </w:p>
        </w:tc>
        <w:tc>
          <w:tcPr>
            <w:tcW w:w="4054" w:type="dxa"/>
            <w:vAlign w:val="center"/>
          </w:tcPr>
          <w:p>
            <w:pPr>
              <w:pStyle w:val="26"/>
              <w:spacing w:line="240" w:lineRule="auto"/>
              <w:rPr>
                <w:kern w:val="2"/>
                <w:szCs w:val="21"/>
                <w:u w:val="single"/>
                <w:lang w:val="en-US" w:eastAsia="zh-CN"/>
              </w:rPr>
            </w:pPr>
            <w:r>
              <w:rPr>
                <w:rFonts w:hint="eastAsia"/>
                <w:kern w:val="2"/>
                <w:szCs w:val="21"/>
                <w:u w:val="single"/>
                <w:lang w:val="en-US" w:eastAsia="zh-CN"/>
              </w:rPr>
              <w:t>安装高压静电定型废气处理装置</w:t>
            </w:r>
            <w:r>
              <w:rPr>
                <w:kern w:val="2"/>
                <w:szCs w:val="21"/>
                <w:u w:val="single"/>
                <w:lang w:val="en-US" w:eastAsia="zh-CN"/>
              </w:rPr>
              <w:t>2</w:t>
            </w:r>
            <w:r>
              <w:rPr>
                <w:rFonts w:hint="eastAsia"/>
                <w:kern w:val="2"/>
                <w:szCs w:val="21"/>
                <w:u w:val="single"/>
                <w:lang w:val="en-US" w:eastAsia="zh-CN"/>
              </w:rPr>
              <w:t>套，做好定型废气处理装置的维护保养，保证净化设施正常运行。</w:t>
            </w:r>
          </w:p>
        </w:tc>
        <w:tc>
          <w:tcPr>
            <w:tcW w:w="698" w:type="dxa"/>
            <w:vAlign w:val="center"/>
          </w:tcPr>
          <w:p>
            <w:pPr>
              <w:pStyle w:val="26"/>
              <w:spacing w:line="240" w:lineRule="auto"/>
              <w:rPr>
                <w:kern w:val="2"/>
                <w:szCs w:val="21"/>
                <w:u w:val="single"/>
                <w:lang w:val="en-US" w:eastAsia="zh-CN"/>
              </w:rPr>
            </w:pPr>
            <w:r>
              <w:rPr>
                <w:kern w:val="2"/>
                <w:szCs w:val="21"/>
                <w:u w:val="single"/>
                <w:lang w:val="en-US" w:eastAsia="zh-CN"/>
              </w:rPr>
              <w:t>2</w:t>
            </w:r>
            <w:r>
              <w:rPr>
                <w:rFonts w:hint="eastAsia"/>
                <w:kern w:val="2"/>
                <w:szCs w:val="21"/>
                <w:u w:val="single"/>
                <w:lang w:val="en-US" w:eastAsia="zh-CN"/>
              </w:rPr>
              <w:t>套</w:t>
            </w:r>
          </w:p>
        </w:tc>
        <w:tc>
          <w:tcPr>
            <w:tcW w:w="1592" w:type="dxa"/>
            <w:vAlign w:val="center"/>
          </w:tcPr>
          <w:p>
            <w:pPr>
              <w:pStyle w:val="26"/>
              <w:spacing w:line="240" w:lineRule="auto"/>
              <w:rPr>
                <w:kern w:val="2"/>
                <w:szCs w:val="21"/>
                <w:u w:val="single"/>
                <w:lang w:val="en-US" w:eastAsia="zh-CN"/>
              </w:rPr>
            </w:pPr>
            <w:r>
              <w:rPr>
                <w:rFonts w:hint="eastAsia"/>
                <w:kern w:val="2"/>
                <w:szCs w:val="21"/>
                <w:u w:val="single"/>
                <w:lang w:val="en-US" w:eastAsia="zh-CN"/>
              </w:rPr>
              <w:t>定型废气</w:t>
            </w:r>
          </w:p>
        </w:tc>
        <w:tc>
          <w:tcPr>
            <w:tcW w:w="10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净化处理</w:t>
            </w:r>
          </w:p>
        </w:tc>
        <w:tc>
          <w:tcPr>
            <w:tcW w:w="1230"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1288" w:type="dxa"/>
            <w:vAlign w:val="center"/>
          </w:tcPr>
          <w:p>
            <w:pPr>
              <w:pStyle w:val="26"/>
              <w:spacing w:line="240" w:lineRule="auto"/>
              <w:rPr>
                <w:kern w:val="2"/>
                <w:szCs w:val="21"/>
                <w:u w:val="single"/>
                <w:lang w:val="en-US" w:eastAsia="zh-CN"/>
              </w:rPr>
            </w:pPr>
            <w:r>
              <w:rPr>
                <w:rFonts w:hint="eastAsia"/>
                <w:kern w:val="2"/>
                <w:szCs w:val="21"/>
                <w:u w:val="single"/>
                <w:lang w:val="en-US" w:eastAsia="zh-CN"/>
              </w:rPr>
              <w:t>定型机</w:t>
            </w:r>
          </w:p>
        </w:tc>
        <w:tc>
          <w:tcPr>
            <w:tcW w:w="2829" w:type="dxa"/>
            <w:vAlign w:val="center"/>
          </w:tcPr>
          <w:p>
            <w:pPr>
              <w:pStyle w:val="26"/>
              <w:spacing w:line="240" w:lineRule="auto"/>
              <w:rPr>
                <w:kern w:val="2"/>
                <w:szCs w:val="21"/>
                <w:u w:val="single"/>
                <w:lang w:val="en-US" w:eastAsia="zh-CN"/>
              </w:rPr>
            </w:pPr>
            <w:r>
              <w:rPr>
                <w:rFonts w:hint="eastAsia"/>
                <w:kern w:val="2"/>
                <w:szCs w:val="21"/>
                <w:u w:val="single"/>
                <w:lang w:val="en-US" w:eastAsia="zh-CN"/>
              </w:rPr>
              <w:t>《大气污染物综合排放标准》（</w:t>
            </w:r>
            <w:r>
              <w:rPr>
                <w:kern w:val="2"/>
                <w:szCs w:val="21"/>
                <w:u w:val="single"/>
                <w:lang w:val="en-US" w:eastAsia="zh-CN"/>
              </w:rPr>
              <w:t>GB16297-1996</w:t>
            </w:r>
            <w:r>
              <w:rPr>
                <w:rFonts w:hint="eastAsia"/>
                <w:kern w:val="2"/>
                <w:szCs w:val="21"/>
                <w:u w:val="single"/>
                <w:lang w:val="en-US" w:eastAsia="zh-CN"/>
              </w:rPr>
              <w:t>）中表</w:t>
            </w:r>
            <w:r>
              <w:rPr>
                <w:kern w:val="2"/>
                <w:szCs w:val="21"/>
                <w:u w:val="single"/>
                <w:lang w:val="en-US" w:eastAsia="zh-CN"/>
              </w:rPr>
              <w:t>2</w:t>
            </w:r>
            <w:r>
              <w:rPr>
                <w:rFonts w:hint="eastAsia"/>
                <w:kern w:val="2"/>
                <w:szCs w:val="21"/>
                <w:u w:val="single"/>
                <w:lang w:val="en-US" w:eastAsia="zh-CN"/>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9" w:hRule="atLeast"/>
        </w:trPr>
        <w:tc>
          <w:tcPr>
            <w:tcW w:w="736" w:type="dxa"/>
            <w:vMerge w:val="continue"/>
            <w:vAlign w:val="center"/>
          </w:tcPr>
          <w:p>
            <w:pPr>
              <w:pStyle w:val="26"/>
              <w:spacing w:line="240" w:lineRule="auto"/>
              <w:rPr>
                <w:kern w:val="2"/>
                <w:szCs w:val="21"/>
                <w:u w:val="single"/>
                <w:lang w:val="en-US" w:eastAsia="zh-CN"/>
              </w:rPr>
            </w:pPr>
          </w:p>
        </w:tc>
        <w:tc>
          <w:tcPr>
            <w:tcW w:w="675" w:type="dxa"/>
            <w:vAlign w:val="center"/>
          </w:tcPr>
          <w:p>
            <w:pPr>
              <w:pStyle w:val="26"/>
              <w:spacing w:line="240" w:lineRule="auto"/>
              <w:rPr>
                <w:kern w:val="2"/>
                <w:szCs w:val="21"/>
                <w:u w:val="single"/>
                <w:lang w:val="en-US" w:eastAsia="zh-CN"/>
              </w:rPr>
            </w:pPr>
            <w:r>
              <w:rPr>
                <w:kern w:val="2"/>
                <w:szCs w:val="21"/>
                <w:u w:val="single"/>
                <w:lang w:val="en-US" w:eastAsia="zh-CN"/>
              </w:rPr>
              <w:t>2</w:t>
            </w:r>
          </w:p>
        </w:tc>
        <w:tc>
          <w:tcPr>
            <w:tcW w:w="4054" w:type="dxa"/>
            <w:vAlign w:val="center"/>
          </w:tcPr>
          <w:p>
            <w:pPr>
              <w:pStyle w:val="26"/>
              <w:spacing w:line="240" w:lineRule="auto"/>
              <w:rPr>
                <w:kern w:val="2"/>
                <w:szCs w:val="21"/>
                <w:u w:val="single"/>
                <w:lang w:val="en-US" w:eastAsia="zh-CN"/>
              </w:rPr>
            </w:pPr>
            <w:r>
              <w:rPr>
                <w:rFonts w:hint="eastAsia"/>
                <w:kern w:val="2"/>
                <w:szCs w:val="21"/>
                <w:u w:val="single"/>
                <w:lang w:val="en-US" w:eastAsia="zh-CN"/>
              </w:rPr>
              <w:t>采用油烟净化器处理；保证净化设施正常运行。</w:t>
            </w:r>
          </w:p>
        </w:tc>
        <w:tc>
          <w:tcPr>
            <w:tcW w:w="698" w:type="dxa"/>
            <w:vAlign w:val="center"/>
          </w:tcPr>
          <w:p>
            <w:pPr>
              <w:pStyle w:val="26"/>
              <w:spacing w:line="240" w:lineRule="auto"/>
              <w:rPr>
                <w:kern w:val="2"/>
                <w:szCs w:val="21"/>
                <w:u w:val="single"/>
                <w:lang w:val="en-US" w:eastAsia="zh-CN"/>
              </w:rPr>
            </w:pPr>
            <w:r>
              <w:rPr>
                <w:kern w:val="2"/>
                <w:szCs w:val="21"/>
                <w:u w:val="single"/>
                <w:lang w:val="en-US" w:eastAsia="zh-CN"/>
              </w:rPr>
              <w:t>1</w:t>
            </w:r>
            <w:r>
              <w:rPr>
                <w:rFonts w:hint="eastAsia"/>
                <w:kern w:val="2"/>
                <w:szCs w:val="21"/>
                <w:u w:val="single"/>
                <w:lang w:val="en-US" w:eastAsia="zh-CN"/>
              </w:rPr>
              <w:t>套</w:t>
            </w:r>
          </w:p>
        </w:tc>
        <w:tc>
          <w:tcPr>
            <w:tcW w:w="1592" w:type="dxa"/>
            <w:vAlign w:val="center"/>
          </w:tcPr>
          <w:p>
            <w:pPr>
              <w:pStyle w:val="26"/>
              <w:spacing w:line="240" w:lineRule="auto"/>
              <w:rPr>
                <w:kern w:val="2"/>
                <w:szCs w:val="21"/>
                <w:u w:val="single"/>
                <w:lang w:val="en-US" w:eastAsia="zh-CN"/>
              </w:rPr>
            </w:pPr>
            <w:r>
              <w:rPr>
                <w:rFonts w:hint="eastAsia"/>
                <w:kern w:val="2"/>
                <w:szCs w:val="21"/>
                <w:u w:val="single"/>
                <w:lang w:val="en-US" w:eastAsia="zh-CN"/>
              </w:rPr>
              <w:t>食堂油烟废气</w:t>
            </w:r>
          </w:p>
        </w:tc>
        <w:tc>
          <w:tcPr>
            <w:tcW w:w="10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净化处理</w:t>
            </w:r>
          </w:p>
        </w:tc>
        <w:tc>
          <w:tcPr>
            <w:tcW w:w="1230"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1288" w:type="dxa"/>
            <w:vAlign w:val="center"/>
          </w:tcPr>
          <w:p>
            <w:pPr>
              <w:pStyle w:val="26"/>
              <w:spacing w:line="240" w:lineRule="auto"/>
              <w:rPr>
                <w:kern w:val="2"/>
                <w:szCs w:val="21"/>
                <w:u w:val="single"/>
                <w:lang w:val="en-US" w:eastAsia="zh-CN"/>
              </w:rPr>
            </w:pPr>
            <w:r>
              <w:rPr>
                <w:rFonts w:hint="eastAsia"/>
                <w:kern w:val="2"/>
                <w:szCs w:val="21"/>
                <w:u w:val="single"/>
                <w:lang w:val="en-US" w:eastAsia="zh-CN"/>
              </w:rPr>
              <w:t>食堂</w:t>
            </w:r>
          </w:p>
        </w:tc>
        <w:tc>
          <w:tcPr>
            <w:tcW w:w="2829" w:type="dxa"/>
            <w:vAlign w:val="center"/>
          </w:tcPr>
          <w:p>
            <w:pPr>
              <w:pStyle w:val="26"/>
              <w:spacing w:line="240" w:lineRule="auto"/>
              <w:rPr>
                <w:kern w:val="2"/>
                <w:szCs w:val="21"/>
                <w:u w:val="single"/>
                <w:lang w:val="en-US" w:eastAsia="zh-CN"/>
              </w:rPr>
            </w:pPr>
            <w:r>
              <w:rPr>
                <w:rFonts w:hint="eastAsia"/>
                <w:kern w:val="2"/>
                <w:szCs w:val="21"/>
                <w:u w:val="single"/>
                <w:lang w:val="en-US" w:eastAsia="zh-CN"/>
              </w:rPr>
              <w:t>可以达到《饮食业油烟排放标准》（</w:t>
            </w:r>
            <w:r>
              <w:rPr>
                <w:kern w:val="2"/>
                <w:szCs w:val="21"/>
                <w:u w:val="single"/>
                <w:lang w:val="en-US" w:eastAsia="zh-CN"/>
              </w:rPr>
              <w:t>GB 18483-2001</w:t>
            </w:r>
            <w:r>
              <w:rPr>
                <w:rFonts w:hint="eastAsia"/>
                <w:kern w:val="2"/>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9" w:hRule="atLeast"/>
        </w:trPr>
        <w:tc>
          <w:tcPr>
            <w:tcW w:w="736" w:type="dxa"/>
            <w:vAlign w:val="center"/>
          </w:tcPr>
          <w:p>
            <w:pPr>
              <w:pStyle w:val="26"/>
              <w:spacing w:line="240" w:lineRule="auto"/>
              <w:rPr>
                <w:kern w:val="2"/>
                <w:szCs w:val="21"/>
                <w:u w:val="single"/>
                <w:lang w:val="en-US" w:eastAsia="zh-CN"/>
              </w:rPr>
            </w:pPr>
            <w:r>
              <w:rPr>
                <w:rFonts w:hint="eastAsia"/>
                <w:kern w:val="2"/>
                <w:szCs w:val="21"/>
                <w:u w:val="single"/>
                <w:lang w:val="en-US" w:eastAsia="zh-CN"/>
              </w:rPr>
              <w:t>废水治理</w:t>
            </w:r>
          </w:p>
        </w:tc>
        <w:tc>
          <w:tcPr>
            <w:tcW w:w="675" w:type="dxa"/>
            <w:vAlign w:val="center"/>
          </w:tcPr>
          <w:p>
            <w:pPr>
              <w:pStyle w:val="26"/>
              <w:spacing w:line="240" w:lineRule="auto"/>
              <w:rPr>
                <w:kern w:val="2"/>
                <w:szCs w:val="21"/>
                <w:u w:val="single"/>
                <w:lang w:val="en-US" w:eastAsia="zh-CN"/>
              </w:rPr>
            </w:pPr>
            <w:r>
              <w:rPr>
                <w:kern w:val="2"/>
                <w:szCs w:val="21"/>
                <w:u w:val="single"/>
                <w:lang w:val="en-US" w:eastAsia="zh-CN"/>
              </w:rPr>
              <w:t>1</w:t>
            </w:r>
          </w:p>
        </w:tc>
        <w:tc>
          <w:tcPr>
            <w:tcW w:w="4054" w:type="dxa"/>
            <w:vAlign w:val="center"/>
          </w:tcPr>
          <w:p>
            <w:pPr>
              <w:pStyle w:val="26"/>
              <w:spacing w:line="240" w:lineRule="auto"/>
              <w:rPr>
                <w:kern w:val="2"/>
                <w:szCs w:val="21"/>
                <w:u w:val="single"/>
                <w:lang w:val="en-US" w:eastAsia="zh-CN"/>
              </w:rPr>
            </w:pPr>
            <w:r>
              <w:rPr>
                <w:rFonts w:hint="eastAsia"/>
                <w:kern w:val="2"/>
                <w:szCs w:val="21"/>
                <w:u w:val="single"/>
                <w:lang w:val="en-US" w:eastAsia="zh-CN"/>
              </w:rPr>
              <w:t>厂区雨污分流、污水处理站改造。</w:t>
            </w:r>
          </w:p>
        </w:tc>
        <w:tc>
          <w:tcPr>
            <w:tcW w:w="698" w:type="dxa"/>
            <w:vAlign w:val="center"/>
          </w:tcPr>
          <w:p>
            <w:pPr>
              <w:pStyle w:val="26"/>
              <w:spacing w:line="240" w:lineRule="auto"/>
              <w:rPr>
                <w:kern w:val="2"/>
                <w:szCs w:val="21"/>
                <w:u w:val="single"/>
                <w:lang w:val="en-US" w:eastAsia="zh-CN"/>
              </w:rPr>
            </w:pPr>
            <w:r>
              <w:rPr>
                <w:kern w:val="2"/>
                <w:szCs w:val="21"/>
                <w:u w:val="single"/>
                <w:lang w:val="en-US" w:eastAsia="zh-CN"/>
              </w:rPr>
              <w:t>1</w:t>
            </w:r>
            <w:r>
              <w:rPr>
                <w:rFonts w:hint="eastAsia"/>
                <w:kern w:val="2"/>
                <w:szCs w:val="21"/>
                <w:u w:val="single"/>
                <w:lang w:val="en-US" w:eastAsia="zh-CN"/>
              </w:rPr>
              <w:t>套</w:t>
            </w:r>
          </w:p>
        </w:tc>
        <w:tc>
          <w:tcPr>
            <w:tcW w:w="1592" w:type="dxa"/>
            <w:vAlign w:val="center"/>
          </w:tcPr>
          <w:p>
            <w:pPr>
              <w:pStyle w:val="26"/>
              <w:spacing w:line="240" w:lineRule="auto"/>
              <w:rPr>
                <w:kern w:val="2"/>
                <w:szCs w:val="21"/>
                <w:u w:val="single"/>
                <w:lang w:val="en-US" w:eastAsia="zh-CN"/>
              </w:rPr>
            </w:pPr>
            <w:r>
              <w:rPr>
                <w:rFonts w:hint="eastAsia"/>
                <w:kern w:val="2"/>
                <w:szCs w:val="21"/>
                <w:u w:val="single"/>
                <w:lang w:val="en-US" w:eastAsia="zh-CN"/>
              </w:rPr>
              <w:t>污水</w:t>
            </w:r>
          </w:p>
        </w:tc>
        <w:tc>
          <w:tcPr>
            <w:tcW w:w="10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物化</w:t>
            </w:r>
          </w:p>
        </w:tc>
        <w:tc>
          <w:tcPr>
            <w:tcW w:w="1230" w:type="dxa"/>
            <w:vAlign w:val="center"/>
          </w:tcPr>
          <w:p>
            <w:pPr>
              <w:pStyle w:val="26"/>
              <w:spacing w:line="240" w:lineRule="auto"/>
              <w:rPr>
                <w:kern w:val="2"/>
                <w:szCs w:val="21"/>
                <w:u w:val="single"/>
                <w:lang w:val="en-US" w:eastAsia="zh-CN"/>
              </w:rPr>
            </w:pPr>
            <w:r>
              <w:rPr>
                <w:kern w:val="2"/>
                <w:szCs w:val="21"/>
                <w:u w:val="single"/>
                <w:lang w:val="en-US" w:eastAsia="zh-CN"/>
              </w:rPr>
              <w:t>2000t/d</w:t>
            </w:r>
          </w:p>
        </w:tc>
        <w:tc>
          <w:tcPr>
            <w:tcW w:w="1288" w:type="dxa"/>
            <w:vAlign w:val="center"/>
          </w:tcPr>
          <w:p>
            <w:pPr>
              <w:pStyle w:val="26"/>
              <w:spacing w:line="240" w:lineRule="auto"/>
              <w:rPr>
                <w:kern w:val="2"/>
                <w:szCs w:val="21"/>
                <w:u w:val="single"/>
                <w:lang w:val="en-US" w:eastAsia="zh-CN"/>
              </w:rPr>
            </w:pPr>
            <w:r>
              <w:rPr>
                <w:rFonts w:hint="eastAsia"/>
                <w:kern w:val="2"/>
                <w:szCs w:val="21"/>
                <w:u w:val="single"/>
                <w:lang w:val="en-US" w:eastAsia="zh-CN"/>
              </w:rPr>
              <w:t>污水处理站</w:t>
            </w:r>
          </w:p>
        </w:tc>
        <w:tc>
          <w:tcPr>
            <w:tcW w:w="2829" w:type="dxa"/>
            <w:vAlign w:val="center"/>
          </w:tcPr>
          <w:p>
            <w:pPr>
              <w:pStyle w:val="26"/>
              <w:spacing w:line="240" w:lineRule="auto"/>
              <w:rPr>
                <w:kern w:val="2"/>
                <w:szCs w:val="21"/>
                <w:u w:val="single"/>
                <w:lang w:val="en-US" w:eastAsia="zh-CN"/>
              </w:rPr>
            </w:pPr>
            <w:r>
              <w:rPr>
                <w:rFonts w:hint="eastAsia"/>
                <w:kern w:val="2"/>
                <w:szCs w:val="21"/>
                <w:u w:val="single"/>
                <w:lang w:val="en-US" w:eastAsia="zh-CN"/>
              </w:rPr>
              <w:t>达《纺织染整工业水污染物排放标准》（</w:t>
            </w:r>
            <w:r>
              <w:rPr>
                <w:kern w:val="2"/>
                <w:szCs w:val="21"/>
                <w:u w:val="single"/>
                <w:lang w:val="en-US" w:eastAsia="zh-CN"/>
              </w:rPr>
              <w:t>GB4287-2012</w:t>
            </w:r>
            <w:r>
              <w:rPr>
                <w:rFonts w:hint="eastAsia"/>
                <w:kern w:val="2"/>
                <w:szCs w:val="21"/>
                <w:u w:val="single"/>
                <w:lang w:val="en-US" w:eastAsia="zh-CN"/>
              </w:rPr>
              <w:t>）及修改单中标准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7" w:hRule="atLeast"/>
        </w:trPr>
        <w:tc>
          <w:tcPr>
            <w:tcW w:w="736" w:type="dxa"/>
            <w:vAlign w:val="center"/>
          </w:tcPr>
          <w:p>
            <w:pPr>
              <w:pStyle w:val="26"/>
              <w:spacing w:line="240" w:lineRule="auto"/>
              <w:rPr>
                <w:kern w:val="2"/>
                <w:szCs w:val="21"/>
                <w:u w:val="single"/>
                <w:lang w:val="en-US" w:eastAsia="zh-CN"/>
              </w:rPr>
            </w:pPr>
            <w:r>
              <w:rPr>
                <w:rFonts w:hint="eastAsia"/>
                <w:kern w:val="2"/>
                <w:szCs w:val="21"/>
                <w:u w:val="single"/>
                <w:lang w:val="en-US" w:eastAsia="zh-CN"/>
              </w:rPr>
              <w:t>噪声治理</w:t>
            </w:r>
          </w:p>
        </w:tc>
        <w:tc>
          <w:tcPr>
            <w:tcW w:w="675" w:type="dxa"/>
            <w:vAlign w:val="center"/>
          </w:tcPr>
          <w:p>
            <w:pPr>
              <w:pStyle w:val="26"/>
              <w:spacing w:line="240" w:lineRule="auto"/>
              <w:rPr>
                <w:kern w:val="2"/>
                <w:szCs w:val="21"/>
                <w:u w:val="single"/>
                <w:lang w:val="en-US" w:eastAsia="zh-CN"/>
              </w:rPr>
            </w:pPr>
            <w:r>
              <w:rPr>
                <w:kern w:val="2"/>
                <w:szCs w:val="21"/>
                <w:u w:val="single"/>
                <w:lang w:val="en-US" w:eastAsia="zh-CN"/>
              </w:rPr>
              <w:t>1</w:t>
            </w:r>
          </w:p>
        </w:tc>
        <w:tc>
          <w:tcPr>
            <w:tcW w:w="4054" w:type="dxa"/>
            <w:vAlign w:val="center"/>
          </w:tcPr>
          <w:p>
            <w:pPr>
              <w:pStyle w:val="26"/>
              <w:spacing w:line="240" w:lineRule="auto"/>
              <w:rPr>
                <w:kern w:val="2"/>
                <w:szCs w:val="21"/>
                <w:u w:val="single"/>
                <w:lang w:val="en-US" w:eastAsia="zh-CN"/>
              </w:rPr>
            </w:pPr>
            <w:r>
              <w:rPr>
                <w:rFonts w:hint="eastAsia"/>
                <w:kern w:val="2"/>
                <w:szCs w:val="21"/>
                <w:u w:val="single"/>
                <w:lang w:val="en-US" w:eastAsia="zh-CN"/>
              </w:rPr>
              <w:t>对泵房、罗茨风机房采取全封闭形式；生产车间安装隔声门窗；对高噪声印染设备安装减振垫、消声器或设立隔声罩。</w:t>
            </w:r>
          </w:p>
        </w:tc>
        <w:tc>
          <w:tcPr>
            <w:tcW w:w="698"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1592" w:type="dxa"/>
            <w:vAlign w:val="center"/>
          </w:tcPr>
          <w:p>
            <w:pPr>
              <w:pStyle w:val="26"/>
              <w:spacing w:line="240" w:lineRule="auto"/>
              <w:rPr>
                <w:kern w:val="2"/>
                <w:szCs w:val="21"/>
                <w:u w:val="single"/>
                <w:lang w:val="en-US" w:eastAsia="zh-CN"/>
              </w:rPr>
            </w:pPr>
            <w:r>
              <w:rPr>
                <w:rFonts w:hint="eastAsia"/>
                <w:kern w:val="2"/>
                <w:szCs w:val="21"/>
                <w:u w:val="single"/>
                <w:lang w:val="en-US" w:eastAsia="zh-CN"/>
              </w:rPr>
              <w:t>设备噪声</w:t>
            </w:r>
          </w:p>
        </w:tc>
        <w:tc>
          <w:tcPr>
            <w:tcW w:w="10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隔声、消声、减振</w:t>
            </w:r>
          </w:p>
          <w:p>
            <w:pPr>
              <w:pStyle w:val="26"/>
              <w:spacing w:line="240" w:lineRule="auto"/>
              <w:rPr>
                <w:kern w:val="2"/>
                <w:szCs w:val="21"/>
                <w:u w:val="single"/>
                <w:lang w:val="en-US" w:eastAsia="zh-CN"/>
              </w:rPr>
            </w:pPr>
            <w:r>
              <w:rPr>
                <w:rFonts w:hint="eastAsia"/>
                <w:kern w:val="2"/>
                <w:szCs w:val="21"/>
                <w:u w:val="single"/>
                <w:lang w:val="en-US" w:eastAsia="zh-CN"/>
              </w:rPr>
              <w:t>降噪</w:t>
            </w:r>
          </w:p>
        </w:tc>
        <w:tc>
          <w:tcPr>
            <w:tcW w:w="1230"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1288" w:type="dxa"/>
            <w:vAlign w:val="center"/>
          </w:tcPr>
          <w:p>
            <w:pPr>
              <w:pStyle w:val="26"/>
              <w:spacing w:line="240" w:lineRule="auto"/>
              <w:rPr>
                <w:kern w:val="2"/>
                <w:szCs w:val="21"/>
                <w:u w:val="single"/>
                <w:lang w:val="en-US" w:eastAsia="zh-CN"/>
              </w:rPr>
            </w:pPr>
            <w:r>
              <w:rPr>
                <w:rFonts w:hint="eastAsia"/>
                <w:kern w:val="2"/>
                <w:szCs w:val="21"/>
                <w:u w:val="single"/>
                <w:lang w:val="en-US" w:eastAsia="zh-CN"/>
              </w:rPr>
              <w:t>生产车间、污水处理站</w:t>
            </w:r>
          </w:p>
        </w:tc>
        <w:tc>
          <w:tcPr>
            <w:tcW w:w="2829" w:type="dxa"/>
            <w:vAlign w:val="center"/>
          </w:tcPr>
          <w:p>
            <w:pPr>
              <w:pStyle w:val="26"/>
              <w:spacing w:line="240" w:lineRule="auto"/>
              <w:rPr>
                <w:kern w:val="2"/>
                <w:szCs w:val="21"/>
                <w:u w:val="single"/>
                <w:lang w:val="en-US" w:eastAsia="zh-CN"/>
              </w:rPr>
            </w:pPr>
            <w:r>
              <w:rPr>
                <w:rFonts w:hint="eastAsia"/>
                <w:kern w:val="2"/>
                <w:szCs w:val="21"/>
                <w:u w:val="single"/>
                <w:lang w:val="en-US" w:eastAsia="zh-CN"/>
              </w:rPr>
              <w:t>厂界噪声符合</w:t>
            </w:r>
            <w:r>
              <w:rPr>
                <w:kern w:val="2"/>
                <w:szCs w:val="21"/>
                <w:u w:val="single"/>
                <w:lang w:val="en-US" w:eastAsia="zh-CN"/>
              </w:rPr>
              <w:t>GB12348- 2008</w:t>
            </w:r>
            <w:r>
              <w:rPr>
                <w:rFonts w:hint="eastAsia"/>
                <w:kern w:val="2"/>
                <w:szCs w:val="21"/>
                <w:u w:val="single"/>
                <w:lang w:val="en-US" w:eastAsia="zh-CN"/>
              </w:rPr>
              <w:t>中相应标准。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2" w:hRule="atLeast"/>
        </w:trPr>
        <w:tc>
          <w:tcPr>
            <w:tcW w:w="736" w:type="dxa"/>
            <w:vMerge w:val="restart"/>
            <w:vAlign w:val="center"/>
          </w:tcPr>
          <w:p>
            <w:pPr>
              <w:pStyle w:val="26"/>
              <w:spacing w:line="240" w:lineRule="auto"/>
              <w:rPr>
                <w:kern w:val="2"/>
                <w:szCs w:val="21"/>
                <w:u w:val="single"/>
                <w:lang w:val="en-US" w:eastAsia="zh-CN"/>
              </w:rPr>
            </w:pPr>
            <w:r>
              <w:rPr>
                <w:rFonts w:hint="eastAsia"/>
                <w:kern w:val="2"/>
                <w:szCs w:val="21"/>
                <w:u w:val="single"/>
                <w:lang w:val="en-US" w:eastAsia="zh-CN"/>
              </w:rPr>
              <w:t>固废</w:t>
            </w:r>
          </w:p>
          <w:p>
            <w:pPr>
              <w:pStyle w:val="26"/>
              <w:spacing w:line="240" w:lineRule="auto"/>
              <w:rPr>
                <w:kern w:val="2"/>
                <w:szCs w:val="21"/>
                <w:u w:val="single"/>
                <w:lang w:val="en-US" w:eastAsia="zh-CN"/>
              </w:rPr>
            </w:pPr>
            <w:r>
              <w:rPr>
                <w:rFonts w:hint="eastAsia"/>
                <w:kern w:val="2"/>
                <w:szCs w:val="21"/>
                <w:u w:val="single"/>
                <w:lang w:val="en-US" w:eastAsia="zh-CN"/>
              </w:rPr>
              <w:t>治理</w:t>
            </w:r>
          </w:p>
        </w:tc>
        <w:tc>
          <w:tcPr>
            <w:tcW w:w="675" w:type="dxa"/>
            <w:vAlign w:val="center"/>
          </w:tcPr>
          <w:p>
            <w:pPr>
              <w:pStyle w:val="26"/>
              <w:spacing w:line="240" w:lineRule="auto"/>
              <w:rPr>
                <w:kern w:val="2"/>
                <w:szCs w:val="21"/>
                <w:u w:val="single"/>
                <w:lang w:val="en-US" w:eastAsia="zh-CN"/>
              </w:rPr>
            </w:pPr>
            <w:r>
              <w:rPr>
                <w:kern w:val="2"/>
                <w:szCs w:val="21"/>
                <w:u w:val="single"/>
                <w:lang w:val="en-US" w:eastAsia="zh-CN"/>
              </w:rPr>
              <w:t>1</w:t>
            </w:r>
          </w:p>
        </w:tc>
        <w:tc>
          <w:tcPr>
            <w:tcW w:w="4054" w:type="dxa"/>
            <w:vAlign w:val="center"/>
          </w:tcPr>
          <w:p>
            <w:pPr>
              <w:pStyle w:val="26"/>
              <w:spacing w:line="240" w:lineRule="auto"/>
              <w:rPr>
                <w:kern w:val="2"/>
                <w:szCs w:val="21"/>
                <w:u w:val="single"/>
                <w:lang w:val="en-US" w:eastAsia="zh-CN"/>
              </w:rPr>
            </w:pPr>
            <w:r>
              <w:rPr>
                <w:rFonts w:hint="eastAsia"/>
                <w:kern w:val="2"/>
                <w:szCs w:val="21"/>
                <w:u w:val="single"/>
                <w:lang w:val="en-US" w:eastAsia="zh-CN"/>
              </w:rPr>
              <w:t>污泥委托有资质单位集中处置。</w:t>
            </w:r>
          </w:p>
        </w:tc>
        <w:tc>
          <w:tcPr>
            <w:tcW w:w="698"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1592" w:type="dxa"/>
            <w:vAlign w:val="center"/>
          </w:tcPr>
          <w:p>
            <w:pPr>
              <w:pStyle w:val="26"/>
              <w:spacing w:line="240" w:lineRule="auto"/>
              <w:rPr>
                <w:kern w:val="2"/>
                <w:szCs w:val="21"/>
                <w:u w:val="single"/>
                <w:lang w:val="en-US" w:eastAsia="zh-CN"/>
              </w:rPr>
            </w:pPr>
            <w:r>
              <w:rPr>
                <w:rFonts w:hint="eastAsia"/>
                <w:kern w:val="2"/>
                <w:szCs w:val="21"/>
                <w:u w:val="single"/>
                <w:lang w:val="en-US" w:eastAsia="zh-CN"/>
              </w:rPr>
              <w:t>干污泥</w:t>
            </w:r>
          </w:p>
        </w:tc>
        <w:tc>
          <w:tcPr>
            <w:tcW w:w="10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w:t>
            </w:r>
          </w:p>
        </w:tc>
        <w:tc>
          <w:tcPr>
            <w:tcW w:w="1230"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1288"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2829" w:type="dxa"/>
            <w:vAlign w:val="center"/>
          </w:tcPr>
          <w:p>
            <w:pPr>
              <w:pStyle w:val="26"/>
              <w:spacing w:line="240" w:lineRule="auto"/>
              <w:rPr>
                <w:kern w:val="2"/>
                <w:szCs w:val="21"/>
                <w:u w:val="single"/>
                <w:lang w:val="en-US" w:eastAsia="zh-CN"/>
              </w:rPr>
            </w:pPr>
            <w:r>
              <w:rPr>
                <w:rFonts w:hint="eastAsia"/>
                <w:kern w:val="2"/>
                <w:szCs w:val="21"/>
                <w:u w:val="single"/>
                <w:lang w:val="en-US" w:eastAsia="zh-CN"/>
              </w:rPr>
              <w:t>无害化、资源化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1" w:hRule="atLeast"/>
        </w:trPr>
        <w:tc>
          <w:tcPr>
            <w:tcW w:w="736" w:type="dxa"/>
            <w:vMerge w:val="continue"/>
            <w:vAlign w:val="center"/>
          </w:tcPr>
          <w:p>
            <w:pPr>
              <w:pStyle w:val="26"/>
              <w:spacing w:line="240" w:lineRule="auto"/>
              <w:rPr>
                <w:kern w:val="2"/>
                <w:szCs w:val="21"/>
                <w:u w:val="single"/>
                <w:lang w:val="en-US" w:eastAsia="zh-CN"/>
              </w:rPr>
            </w:pPr>
          </w:p>
        </w:tc>
        <w:tc>
          <w:tcPr>
            <w:tcW w:w="675" w:type="dxa"/>
            <w:vAlign w:val="center"/>
          </w:tcPr>
          <w:p>
            <w:pPr>
              <w:pStyle w:val="26"/>
              <w:spacing w:line="240" w:lineRule="auto"/>
              <w:rPr>
                <w:kern w:val="2"/>
                <w:szCs w:val="21"/>
                <w:u w:val="single"/>
                <w:lang w:val="en-US" w:eastAsia="zh-CN"/>
              </w:rPr>
            </w:pPr>
            <w:r>
              <w:rPr>
                <w:kern w:val="2"/>
                <w:szCs w:val="21"/>
                <w:u w:val="single"/>
                <w:lang w:val="en-US" w:eastAsia="zh-CN"/>
              </w:rPr>
              <w:t>2</w:t>
            </w:r>
          </w:p>
        </w:tc>
        <w:tc>
          <w:tcPr>
            <w:tcW w:w="4054" w:type="dxa"/>
            <w:vAlign w:val="center"/>
          </w:tcPr>
          <w:p>
            <w:pPr>
              <w:pStyle w:val="26"/>
              <w:spacing w:line="240" w:lineRule="auto"/>
              <w:rPr>
                <w:kern w:val="2"/>
                <w:szCs w:val="21"/>
                <w:u w:val="single"/>
                <w:lang w:val="en-US" w:eastAsia="zh-CN"/>
              </w:rPr>
            </w:pPr>
            <w:r>
              <w:rPr>
                <w:rFonts w:hint="eastAsia"/>
                <w:kern w:val="2"/>
                <w:szCs w:val="21"/>
                <w:u w:val="single"/>
                <w:lang w:val="en-US" w:eastAsia="zh-CN"/>
              </w:rPr>
              <w:t>含危化品废包装材料、污泥、废油等危废委托有资质单位处理。</w:t>
            </w:r>
          </w:p>
        </w:tc>
        <w:tc>
          <w:tcPr>
            <w:tcW w:w="698" w:type="dxa"/>
            <w:vAlign w:val="center"/>
          </w:tcPr>
          <w:p>
            <w:pPr>
              <w:pStyle w:val="26"/>
              <w:spacing w:line="240" w:lineRule="auto"/>
              <w:rPr>
                <w:kern w:val="2"/>
                <w:szCs w:val="21"/>
                <w:u w:val="single"/>
                <w:lang w:val="en-US" w:eastAsia="zh-CN"/>
              </w:rPr>
            </w:pPr>
          </w:p>
        </w:tc>
        <w:tc>
          <w:tcPr>
            <w:tcW w:w="1592" w:type="dxa"/>
            <w:vAlign w:val="center"/>
          </w:tcPr>
          <w:p>
            <w:pPr>
              <w:pStyle w:val="26"/>
              <w:spacing w:line="240" w:lineRule="auto"/>
              <w:rPr>
                <w:kern w:val="2"/>
                <w:szCs w:val="21"/>
                <w:u w:val="single"/>
                <w:lang w:val="en-US" w:eastAsia="zh-CN"/>
              </w:rPr>
            </w:pPr>
            <w:r>
              <w:rPr>
                <w:rFonts w:hint="eastAsia"/>
                <w:kern w:val="2"/>
                <w:szCs w:val="21"/>
                <w:u w:val="single"/>
                <w:lang w:val="en-US" w:eastAsia="zh-CN"/>
              </w:rPr>
              <w:t>生产废料</w:t>
            </w:r>
          </w:p>
        </w:tc>
        <w:tc>
          <w:tcPr>
            <w:tcW w:w="10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资质单位处理</w:t>
            </w:r>
          </w:p>
        </w:tc>
        <w:tc>
          <w:tcPr>
            <w:tcW w:w="1230"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1288"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2829" w:type="dxa"/>
            <w:vAlign w:val="center"/>
          </w:tcPr>
          <w:p>
            <w:pPr>
              <w:pStyle w:val="26"/>
              <w:spacing w:line="240" w:lineRule="auto"/>
              <w:rPr>
                <w:kern w:val="2"/>
                <w:szCs w:val="21"/>
                <w:u w:val="single"/>
                <w:lang w:val="en-US" w:eastAsia="zh-CN"/>
              </w:rPr>
            </w:pPr>
            <w:r>
              <w:rPr>
                <w:rFonts w:hint="eastAsia"/>
                <w:kern w:val="2"/>
                <w:szCs w:val="21"/>
                <w:u w:val="single"/>
                <w:lang w:val="en-US" w:eastAsia="zh-CN"/>
              </w:rPr>
              <w:t>无害化、资源化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8" w:hRule="atLeast"/>
        </w:trPr>
        <w:tc>
          <w:tcPr>
            <w:tcW w:w="736" w:type="dxa"/>
            <w:vMerge w:val="continue"/>
            <w:vAlign w:val="center"/>
          </w:tcPr>
          <w:p>
            <w:pPr>
              <w:pStyle w:val="26"/>
              <w:spacing w:line="240" w:lineRule="auto"/>
              <w:rPr>
                <w:kern w:val="2"/>
                <w:szCs w:val="21"/>
                <w:u w:val="single"/>
                <w:lang w:val="en-US" w:eastAsia="zh-CN"/>
              </w:rPr>
            </w:pPr>
          </w:p>
        </w:tc>
        <w:tc>
          <w:tcPr>
            <w:tcW w:w="675" w:type="dxa"/>
            <w:vAlign w:val="center"/>
          </w:tcPr>
          <w:p>
            <w:pPr>
              <w:pStyle w:val="26"/>
              <w:spacing w:line="240" w:lineRule="auto"/>
              <w:rPr>
                <w:kern w:val="2"/>
                <w:szCs w:val="21"/>
                <w:u w:val="single"/>
                <w:lang w:val="en-US" w:eastAsia="zh-CN"/>
              </w:rPr>
            </w:pPr>
            <w:r>
              <w:rPr>
                <w:kern w:val="2"/>
                <w:szCs w:val="21"/>
                <w:u w:val="single"/>
                <w:lang w:val="en-US" w:eastAsia="zh-CN"/>
              </w:rPr>
              <w:t>3</w:t>
            </w:r>
          </w:p>
        </w:tc>
        <w:tc>
          <w:tcPr>
            <w:tcW w:w="4054" w:type="dxa"/>
            <w:vAlign w:val="center"/>
          </w:tcPr>
          <w:p>
            <w:pPr>
              <w:pStyle w:val="26"/>
              <w:spacing w:line="240" w:lineRule="auto"/>
              <w:rPr>
                <w:kern w:val="2"/>
                <w:szCs w:val="21"/>
                <w:u w:val="single"/>
                <w:lang w:val="en-US" w:eastAsia="zh-CN"/>
              </w:rPr>
            </w:pPr>
            <w:r>
              <w:rPr>
                <w:rFonts w:hint="eastAsia"/>
                <w:kern w:val="2"/>
                <w:szCs w:val="21"/>
                <w:u w:val="single"/>
                <w:lang w:val="en-US" w:eastAsia="zh-CN"/>
              </w:rPr>
              <w:t>不合格产品、废包装材料分类收集、贮存，及时外运出售综合利用。</w:t>
            </w:r>
          </w:p>
        </w:tc>
        <w:tc>
          <w:tcPr>
            <w:tcW w:w="698"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1592" w:type="dxa"/>
            <w:vAlign w:val="center"/>
          </w:tcPr>
          <w:p>
            <w:pPr>
              <w:pStyle w:val="26"/>
              <w:spacing w:line="240" w:lineRule="auto"/>
              <w:rPr>
                <w:kern w:val="2"/>
                <w:szCs w:val="21"/>
                <w:u w:val="single"/>
                <w:lang w:val="en-US" w:eastAsia="zh-CN"/>
              </w:rPr>
            </w:pPr>
            <w:r>
              <w:rPr>
                <w:rFonts w:hint="eastAsia"/>
                <w:kern w:val="2"/>
                <w:szCs w:val="21"/>
                <w:u w:val="single"/>
                <w:lang w:val="en-US" w:eastAsia="zh-CN"/>
              </w:rPr>
              <w:t>生产废料</w:t>
            </w:r>
          </w:p>
        </w:tc>
        <w:tc>
          <w:tcPr>
            <w:tcW w:w="10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综合利用</w:t>
            </w:r>
          </w:p>
        </w:tc>
        <w:tc>
          <w:tcPr>
            <w:tcW w:w="1230"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1288"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2829" w:type="dxa"/>
            <w:vAlign w:val="center"/>
          </w:tcPr>
          <w:p>
            <w:pPr>
              <w:pStyle w:val="26"/>
              <w:spacing w:line="240" w:lineRule="auto"/>
              <w:rPr>
                <w:kern w:val="2"/>
                <w:szCs w:val="21"/>
                <w:u w:val="single"/>
                <w:lang w:val="en-US" w:eastAsia="zh-CN"/>
              </w:rPr>
            </w:pPr>
            <w:r>
              <w:rPr>
                <w:rFonts w:hint="eastAsia"/>
                <w:kern w:val="2"/>
                <w:szCs w:val="21"/>
                <w:u w:val="single"/>
                <w:lang w:val="en-US" w:eastAsia="zh-CN"/>
              </w:rPr>
              <w:t>无害化、资源化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trPr>
        <w:tc>
          <w:tcPr>
            <w:tcW w:w="736" w:type="dxa"/>
            <w:vMerge w:val="continue"/>
            <w:vAlign w:val="center"/>
          </w:tcPr>
          <w:p>
            <w:pPr>
              <w:pStyle w:val="26"/>
              <w:spacing w:line="240" w:lineRule="auto"/>
              <w:rPr>
                <w:kern w:val="2"/>
                <w:szCs w:val="21"/>
                <w:u w:val="single"/>
                <w:lang w:val="en-US" w:eastAsia="zh-CN"/>
              </w:rPr>
            </w:pPr>
          </w:p>
        </w:tc>
        <w:tc>
          <w:tcPr>
            <w:tcW w:w="675" w:type="dxa"/>
            <w:vAlign w:val="center"/>
          </w:tcPr>
          <w:p>
            <w:pPr>
              <w:pStyle w:val="26"/>
              <w:rPr>
                <w:kern w:val="2"/>
                <w:szCs w:val="21"/>
                <w:u w:val="single"/>
                <w:lang w:val="en-US" w:eastAsia="zh-CN"/>
              </w:rPr>
            </w:pPr>
            <w:r>
              <w:rPr>
                <w:kern w:val="2"/>
                <w:szCs w:val="21"/>
                <w:u w:val="single"/>
                <w:lang w:val="en-US" w:eastAsia="zh-CN"/>
              </w:rPr>
              <w:t>4</w:t>
            </w:r>
          </w:p>
        </w:tc>
        <w:tc>
          <w:tcPr>
            <w:tcW w:w="4054" w:type="dxa"/>
            <w:vAlign w:val="center"/>
          </w:tcPr>
          <w:p>
            <w:pPr>
              <w:pStyle w:val="26"/>
              <w:rPr>
                <w:kern w:val="2"/>
                <w:szCs w:val="21"/>
                <w:u w:val="single"/>
                <w:lang w:val="en-US" w:eastAsia="zh-CN"/>
              </w:rPr>
            </w:pPr>
            <w:r>
              <w:rPr>
                <w:rFonts w:hint="eastAsia"/>
                <w:kern w:val="2"/>
                <w:szCs w:val="21"/>
                <w:u w:val="single"/>
                <w:lang w:val="en-US" w:eastAsia="zh-CN"/>
              </w:rPr>
              <w:t>生活垃圾委托环卫部门进行清运处理</w:t>
            </w:r>
          </w:p>
        </w:tc>
        <w:tc>
          <w:tcPr>
            <w:tcW w:w="698"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1592" w:type="dxa"/>
            <w:vAlign w:val="center"/>
          </w:tcPr>
          <w:p>
            <w:pPr>
              <w:pStyle w:val="26"/>
              <w:spacing w:line="240" w:lineRule="auto"/>
              <w:rPr>
                <w:kern w:val="2"/>
                <w:szCs w:val="21"/>
                <w:u w:val="single"/>
                <w:lang w:val="en-US" w:eastAsia="zh-CN"/>
              </w:rPr>
            </w:pPr>
            <w:r>
              <w:rPr>
                <w:rFonts w:hint="eastAsia"/>
                <w:kern w:val="2"/>
                <w:szCs w:val="21"/>
                <w:u w:val="single"/>
                <w:lang w:val="en-US" w:eastAsia="zh-CN"/>
              </w:rPr>
              <w:t>员工生活垃圾</w:t>
            </w:r>
          </w:p>
        </w:tc>
        <w:tc>
          <w:tcPr>
            <w:tcW w:w="1072" w:type="dxa"/>
            <w:vAlign w:val="center"/>
          </w:tcPr>
          <w:p>
            <w:pPr>
              <w:pStyle w:val="26"/>
              <w:spacing w:line="240" w:lineRule="auto"/>
              <w:rPr>
                <w:kern w:val="2"/>
                <w:szCs w:val="21"/>
                <w:u w:val="single"/>
                <w:lang w:val="en-US" w:eastAsia="zh-CN"/>
              </w:rPr>
            </w:pPr>
            <w:r>
              <w:rPr>
                <w:rFonts w:hint="eastAsia"/>
                <w:kern w:val="2"/>
                <w:szCs w:val="21"/>
                <w:u w:val="single"/>
                <w:lang w:val="en-US" w:eastAsia="zh-CN"/>
              </w:rPr>
              <w:t>卫生填埋</w:t>
            </w:r>
          </w:p>
        </w:tc>
        <w:tc>
          <w:tcPr>
            <w:tcW w:w="1230"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1288" w:type="dxa"/>
            <w:vAlign w:val="center"/>
          </w:tcPr>
          <w:p>
            <w:pPr>
              <w:pStyle w:val="26"/>
              <w:spacing w:line="240" w:lineRule="auto"/>
              <w:rPr>
                <w:kern w:val="2"/>
                <w:szCs w:val="21"/>
                <w:u w:val="single"/>
                <w:lang w:val="en-US" w:eastAsia="zh-CN"/>
              </w:rPr>
            </w:pPr>
            <w:r>
              <w:rPr>
                <w:kern w:val="2"/>
                <w:szCs w:val="21"/>
                <w:u w:val="single"/>
                <w:lang w:val="en-US" w:eastAsia="zh-CN"/>
              </w:rPr>
              <w:t>/</w:t>
            </w:r>
          </w:p>
        </w:tc>
        <w:tc>
          <w:tcPr>
            <w:tcW w:w="2829" w:type="dxa"/>
            <w:vAlign w:val="center"/>
          </w:tcPr>
          <w:p>
            <w:pPr>
              <w:pStyle w:val="26"/>
              <w:spacing w:line="240" w:lineRule="auto"/>
              <w:rPr>
                <w:kern w:val="2"/>
                <w:szCs w:val="21"/>
                <w:u w:val="single"/>
                <w:lang w:val="en-US" w:eastAsia="zh-CN"/>
              </w:rPr>
            </w:pPr>
            <w:r>
              <w:rPr>
                <w:rFonts w:hint="eastAsia"/>
                <w:kern w:val="2"/>
                <w:szCs w:val="21"/>
                <w:u w:val="single"/>
                <w:lang w:val="en-US" w:eastAsia="zh-CN"/>
              </w:rPr>
              <w:t>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trPr>
        <w:tc>
          <w:tcPr>
            <w:tcW w:w="736" w:type="dxa"/>
            <w:vAlign w:val="center"/>
          </w:tcPr>
          <w:p>
            <w:pPr>
              <w:pStyle w:val="26"/>
              <w:spacing w:line="240" w:lineRule="auto"/>
              <w:rPr>
                <w:kern w:val="2"/>
                <w:szCs w:val="21"/>
                <w:u w:val="single"/>
                <w:lang w:val="en-US" w:eastAsia="zh-CN"/>
              </w:rPr>
            </w:pPr>
            <w:r>
              <w:rPr>
                <w:rFonts w:hint="eastAsia"/>
                <w:kern w:val="2"/>
                <w:szCs w:val="21"/>
                <w:u w:val="single"/>
                <w:lang w:val="en-US" w:eastAsia="zh-CN"/>
              </w:rPr>
              <w:t>风险应急</w:t>
            </w:r>
          </w:p>
        </w:tc>
        <w:tc>
          <w:tcPr>
            <w:tcW w:w="675" w:type="dxa"/>
            <w:vAlign w:val="center"/>
          </w:tcPr>
          <w:p>
            <w:pPr>
              <w:pStyle w:val="26"/>
              <w:rPr>
                <w:kern w:val="2"/>
                <w:szCs w:val="21"/>
                <w:u w:val="single"/>
                <w:lang w:val="en-US" w:eastAsia="zh-CN"/>
              </w:rPr>
            </w:pPr>
            <w:r>
              <w:rPr>
                <w:rFonts w:hint="eastAsia"/>
                <w:kern w:val="2"/>
                <w:szCs w:val="21"/>
                <w:u w:val="single"/>
                <w:lang w:val="en-US" w:eastAsia="zh-CN"/>
              </w:rPr>
              <w:t>1</w:t>
            </w:r>
          </w:p>
        </w:tc>
        <w:tc>
          <w:tcPr>
            <w:tcW w:w="4054" w:type="dxa"/>
            <w:vAlign w:val="center"/>
          </w:tcPr>
          <w:p>
            <w:pPr>
              <w:pStyle w:val="26"/>
              <w:rPr>
                <w:rFonts w:hint="eastAsia"/>
                <w:kern w:val="2"/>
                <w:szCs w:val="21"/>
                <w:u w:val="single"/>
                <w:lang w:val="en-US" w:eastAsia="zh-CN"/>
              </w:rPr>
            </w:pPr>
            <w:r>
              <w:rPr>
                <w:rFonts w:hint="eastAsia"/>
                <w:kern w:val="2"/>
                <w:szCs w:val="21"/>
                <w:u w:val="single"/>
                <w:lang w:val="en-US" w:eastAsia="zh-CN"/>
              </w:rPr>
              <w:t>建设1个250m</w:t>
            </w:r>
            <w:r>
              <w:rPr>
                <w:rFonts w:hint="eastAsia"/>
                <w:kern w:val="2"/>
                <w:szCs w:val="21"/>
                <w:u w:val="single"/>
                <w:vertAlign w:val="superscript"/>
                <w:lang w:val="en-US" w:eastAsia="zh-CN"/>
              </w:rPr>
              <w:t>3</w:t>
            </w:r>
            <w:r>
              <w:rPr>
                <w:rFonts w:hint="eastAsia"/>
                <w:kern w:val="2"/>
                <w:szCs w:val="21"/>
                <w:u w:val="single"/>
                <w:lang w:val="en-US" w:eastAsia="zh-CN"/>
              </w:rPr>
              <w:t>事故应急池</w:t>
            </w:r>
          </w:p>
        </w:tc>
        <w:tc>
          <w:tcPr>
            <w:tcW w:w="698" w:type="dxa"/>
            <w:vAlign w:val="center"/>
          </w:tcPr>
          <w:p>
            <w:pPr>
              <w:pStyle w:val="26"/>
              <w:spacing w:line="240" w:lineRule="auto"/>
              <w:rPr>
                <w:kern w:val="2"/>
                <w:szCs w:val="21"/>
                <w:u w:val="single"/>
                <w:lang w:val="en-US" w:eastAsia="zh-CN"/>
              </w:rPr>
            </w:pPr>
            <w:r>
              <w:rPr>
                <w:rFonts w:hint="eastAsia"/>
                <w:kern w:val="2"/>
                <w:szCs w:val="21"/>
                <w:u w:val="single"/>
                <w:lang w:val="en-US" w:eastAsia="zh-CN"/>
              </w:rPr>
              <w:t>1</w:t>
            </w:r>
          </w:p>
        </w:tc>
        <w:tc>
          <w:tcPr>
            <w:tcW w:w="1592" w:type="dxa"/>
            <w:vAlign w:val="center"/>
          </w:tcPr>
          <w:p>
            <w:pPr>
              <w:pStyle w:val="26"/>
              <w:spacing w:line="240" w:lineRule="auto"/>
              <w:rPr>
                <w:rFonts w:hint="eastAsia"/>
                <w:kern w:val="2"/>
                <w:szCs w:val="21"/>
                <w:u w:val="single"/>
                <w:lang w:val="en-US" w:eastAsia="zh-CN"/>
              </w:rPr>
            </w:pPr>
            <w:r>
              <w:rPr>
                <w:rFonts w:hint="eastAsia"/>
                <w:kern w:val="2"/>
                <w:szCs w:val="21"/>
                <w:u w:val="single"/>
                <w:lang w:val="en-US" w:eastAsia="zh-CN"/>
              </w:rPr>
              <w:t>事故废水</w:t>
            </w:r>
          </w:p>
        </w:tc>
        <w:tc>
          <w:tcPr>
            <w:tcW w:w="1072" w:type="dxa"/>
            <w:vAlign w:val="center"/>
          </w:tcPr>
          <w:p>
            <w:pPr>
              <w:pStyle w:val="26"/>
              <w:spacing w:line="240" w:lineRule="auto"/>
              <w:rPr>
                <w:rFonts w:hint="eastAsia"/>
                <w:kern w:val="2"/>
                <w:szCs w:val="21"/>
                <w:u w:val="single"/>
                <w:lang w:val="en-US" w:eastAsia="zh-CN"/>
              </w:rPr>
            </w:pPr>
            <w:r>
              <w:rPr>
                <w:rFonts w:hint="eastAsia"/>
                <w:kern w:val="2"/>
                <w:szCs w:val="21"/>
                <w:u w:val="single"/>
                <w:lang w:val="en-US" w:eastAsia="zh-CN"/>
              </w:rPr>
              <w:t>暂存</w:t>
            </w:r>
          </w:p>
        </w:tc>
        <w:tc>
          <w:tcPr>
            <w:tcW w:w="1230" w:type="dxa"/>
            <w:vAlign w:val="center"/>
          </w:tcPr>
          <w:p>
            <w:pPr>
              <w:pStyle w:val="26"/>
              <w:spacing w:line="240" w:lineRule="auto"/>
              <w:rPr>
                <w:kern w:val="2"/>
                <w:szCs w:val="21"/>
                <w:u w:val="single"/>
                <w:lang w:val="en-US" w:eastAsia="zh-CN"/>
              </w:rPr>
            </w:pPr>
            <w:r>
              <w:rPr>
                <w:rFonts w:hint="eastAsia"/>
                <w:kern w:val="2"/>
                <w:szCs w:val="21"/>
                <w:u w:val="single"/>
                <w:lang w:val="en-US" w:eastAsia="zh-CN"/>
              </w:rPr>
              <w:t>250 m</w:t>
            </w:r>
            <w:r>
              <w:rPr>
                <w:rFonts w:hint="eastAsia"/>
                <w:kern w:val="2"/>
                <w:szCs w:val="21"/>
                <w:u w:val="single"/>
                <w:vertAlign w:val="superscript"/>
                <w:lang w:val="en-US" w:eastAsia="zh-CN"/>
              </w:rPr>
              <w:t>3</w:t>
            </w:r>
          </w:p>
        </w:tc>
        <w:tc>
          <w:tcPr>
            <w:tcW w:w="1288" w:type="dxa"/>
            <w:vAlign w:val="center"/>
          </w:tcPr>
          <w:p>
            <w:pPr>
              <w:pStyle w:val="26"/>
              <w:spacing w:line="240" w:lineRule="auto"/>
              <w:rPr>
                <w:kern w:val="2"/>
                <w:szCs w:val="21"/>
                <w:u w:val="single"/>
                <w:lang w:val="en-US" w:eastAsia="zh-CN"/>
              </w:rPr>
            </w:pPr>
            <w:r>
              <w:rPr>
                <w:rFonts w:hint="eastAsia"/>
                <w:kern w:val="2"/>
                <w:szCs w:val="21"/>
                <w:u w:val="single"/>
                <w:lang w:val="en-US" w:eastAsia="zh-CN"/>
              </w:rPr>
              <w:t>印染车间</w:t>
            </w:r>
          </w:p>
        </w:tc>
        <w:tc>
          <w:tcPr>
            <w:tcW w:w="2829" w:type="dxa"/>
            <w:vAlign w:val="center"/>
          </w:tcPr>
          <w:p>
            <w:pPr>
              <w:pStyle w:val="26"/>
              <w:spacing w:line="240" w:lineRule="auto"/>
              <w:rPr>
                <w:rFonts w:hint="eastAsia"/>
                <w:kern w:val="2"/>
                <w:szCs w:val="21"/>
                <w:u w:val="single"/>
                <w:lang w:val="en-US" w:eastAsia="zh-CN"/>
              </w:rPr>
            </w:pPr>
            <w:r>
              <w:rPr>
                <w:rFonts w:hint="eastAsia"/>
                <w:kern w:val="2"/>
                <w:szCs w:val="21"/>
                <w:u w:val="single"/>
                <w:lang w:val="en-US" w:eastAsia="zh-CN"/>
              </w:rPr>
              <w:t>/</w:t>
            </w:r>
          </w:p>
        </w:tc>
      </w:tr>
    </w:tbl>
    <w:p>
      <w:pPr>
        <w:ind w:firstLine="480"/>
        <w:sectPr>
          <w:pgSz w:w="16838" w:h="11906" w:orient="landscape"/>
          <w:pgMar w:top="1417" w:right="1440" w:bottom="1417" w:left="1440" w:header="851" w:footer="992" w:gutter="0"/>
          <w:cols w:space="0" w:num="1"/>
          <w:docGrid w:type="lines" w:linePitch="332" w:charSpace="0"/>
        </w:sectPr>
      </w:pPr>
    </w:p>
    <w:p>
      <w:pPr>
        <w:pStyle w:val="4"/>
      </w:pPr>
      <w:r>
        <w:rPr>
          <w:rFonts w:hint="eastAsia"/>
        </w:rPr>
        <w:t>运营期的常规监测</w:t>
      </w:r>
    </w:p>
    <w:p>
      <w:pPr>
        <w:ind w:firstLine="480"/>
      </w:pPr>
      <w:r>
        <w:rPr>
          <w:rFonts w:hint="eastAsia"/>
        </w:rPr>
        <w:t>对项目的污染源和厂区周边环境进行监测。</w:t>
      </w:r>
    </w:p>
    <w:p>
      <w:pPr>
        <w:ind w:firstLine="480"/>
      </w:pPr>
      <w:r>
        <w:rPr>
          <w:rFonts w:hint="eastAsia"/>
        </w:rPr>
        <w:t>依据项目污染源分布、污染物性质与排放规律，以及厂区周边环境特征，建议制定污染源监测计划见表</w:t>
      </w:r>
      <w:r>
        <w:t>1</w:t>
      </w:r>
      <w:r>
        <w:rPr>
          <w:rFonts w:hint="eastAsia"/>
        </w:rPr>
        <w:t>1</w:t>
      </w:r>
      <w:r>
        <w:t>.2-2</w:t>
      </w:r>
      <w:r>
        <w:rPr>
          <w:rFonts w:hint="eastAsia"/>
        </w:rPr>
        <w:t>，环境监测计划见表</w:t>
      </w:r>
      <w:r>
        <w:t>1</w:t>
      </w:r>
      <w:r>
        <w:rPr>
          <w:rFonts w:hint="eastAsia"/>
        </w:rPr>
        <w:t>1</w:t>
      </w:r>
      <w:r>
        <w:t>.2-3</w:t>
      </w:r>
      <w:r>
        <w:rPr>
          <w:rFonts w:hint="eastAsia"/>
        </w:rPr>
        <w:t>。</w:t>
      </w:r>
    </w:p>
    <w:p>
      <w:pPr>
        <w:pStyle w:val="26"/>
        <w:rPr>
          <w:b/>
          <w:bCs/>
        </w:rPr>
      </w:pPr>
      <w:r>
        <w:rPr>
          <w:rFonts w:hint="eastAsia"/>
          <w:b/>
          <w:bCs/>
        </w:rPr>
        <w:t>表</w:t>
      </w:r>
      <w:r>
        <w:rPr>
          <w:b/>
          <w:bCs/>
        </w:rPr>
        <w:t>1</w:t>
      </w:r>
      <w:r>
        <w:rPr>
          <w:rFonts w:hint="eastAsia"/>
          <w:b/>
          <w:bCs/>
        </w:rPr>
        <w:t>1</w:t>
      </w:r>
      <w:r>
        <w:rPr>
          <w:b/>
          <w:bCs/>
        </w:rPr>
        <w:t xml:space="preserve">.2-2  </w:t>
      </w:r>
      <w:r>
        <w:rPr>
          <w:rFonts w:hint="eastAsia"/>
          <w:b/>
          <w:bCs/>
        </w:rPr>
        <w:t>项目营运期污染源监测方案</w:t>
      </w:r>
    </w:p>
    <w:tbl>
      <w:tblPr>
        <w:tblStyle w:val="23"/>
        <w:tblW w:w="96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176"/>
        <w:gridCol w:w="2341"/>
        <w:gridCol w:w="2909"/>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tcMar>
              <w:left w:w="28" w:type="dxa"/>
              <w:right w:w="28" w:type="dxa"/>
            </w:tcMar>
            <w:vAlign w:val="center"/>
          </w:tcPr>
          <w:p>
            <w:pPr>
              <w:pStyle w:val="26"/>
              <w:rPr>
                <w:kern w:val="2"/>
                <w:szCs w:val="21"/>
                <w:lang w:val="en-US" w:eastAsia="zh-CN"/>
              </w:rPr>
            </w:pPr>
            <w:r>
              <w:rPr>
                <w:rFonts w:hint="eastAsia"/>
                <w:kern w:val="2"/>
                <w:szCs w:val="21"/>
                <w:lang w:val="en-US" w:eastAsia="zh-CN"/>
              </w:rPr>
              <w:t>污染源</w:t>
            </w:r>
          </w:p>
        </w:tc>
        <w:tc>
          <w:tcPr>
            <w:tcW w:w="2176" w:type="dxa"/>
            <w:tcMar>
              <w:left w:w="28" w:type="dxa"/>
              <w:right w:w="28" w:type="dxa"/>
            </w:tcMar>
            <w:vAlign w:val="center"/>
          </w:tcPr>
          <w:p>
            <w:pPr>
              <w:pStyle w:val="26"/>
              <w:rPr>
                <w:kern w:val="2"/>
                <w:szCs w:val="21"/>
                <w:lang w:val="en-US" w:eastAsia="zh-CN"/>
              </w:rPr>
            </w:pPr>
            <w:r>
              <w:rPr>
                <w:rFonts w:hint="eastAsia"/>
                <w:kern w:val="2"/>
                <w:szCs w:val="21"/>
                <w:lang w:val="en-US" w:eastAsia="zh-CN"/>
              </w:rPr>
              <w:t>监测点</w:t>
            </w:r>
          </w:p>
        </w:tc>
        <w:tc>
          <w:tcPr>
            <w:tcW w:w="2341" w:type="dxa"/>
            <w:tcMar>
              <w:left w:w="28" w:type="dxa"/>
              <w:right w:w="28" w:type="dxa"/>
            </w:tcMar>
            <w:vAlign w:val="center"/>
          </w:tcPr>
          <w:p>
            <w:pPr>
              <w:pStyle w:val="26"/>
              <w:rPr>
                <w:kern w:val="2"/>
                <w:szCs w:val="21"/>
                <w:lang w:val="en-US" w:eastAsia="zh-CN"/>
              </w:rPr>
            </w:pPr>
            <w:r>
              <w:rPr>
                <w:rFonts w:hint="eastAsia"/>
                <w:kern w:val="2"/>
                <w:szCs w:val="21"/>
                <w:lang w:val="en-US" w:eastAsia="zh-CN"/>
              </w:rPr>
              <w:t>监测方法</w:t>
            </w:r>
          </w:p>
        </w:tc>
        <w:tc>
          <w:tcPr>
            <w:tcW w:w="2909" w:type="dxa"/>
            <w:tcMar>
              <w:left w:w="28" w:type="dxa"/>
              <w:right w:w="28" w:type="dxa"/>
            </w:tcMar>
            <w:vAlign w:val="center"/>
          </w:tcPr>
          <w:p>
            <w:pPr>
              <w:pStyle w:val="26"/>
              <w:rPr>
                <w:kern w:val="2"/>
                <w:szCs w:val="21"/>
                <w:lang w:val="en-US" w:eastAsia="zh-CN"/>
              </w:rPr>
            </w:pPr>
            <w:r>
              <w:rPr>
                <w:rFonts w:hint="eastAsia"/>
                <w:kern w:val="2"/>
                <w:szCs w:val="21"/>
                <w:lang w:val="en-US" w:eastAsia="zh-CN"/>
              </w:rPr>
              <w:t>监测项目</w:t>
            </w:r>
          </w:p>
        </w:tc>
        <w:tc>
          <w:tcPr>
            <w:tcW w:w="1246" w:type="dxa"/>
            <w:tcMar>
              <w:left w:w="28" w:type="dxa"/>
              <w:right w:w="28" w:type="dxa"/>
            </w:tcMar>
            <w:vAlign w:val="center"/>
          </w:tcPr>
          <w:p>
            <w:pPr>
              <w:pStyle w:val="26"/>
              <w:rPr>
                <w:kern w:val="2"/>
                <w:szCs w:val="21"/>
                <w:lang w:val="en-US" w:eastAsia="zh-CN"/>
              </w:rPr>
            </w:pPr>
            <w:r>
              <w:rPr>
                <w:rFonts w:hint="eastAsia"/>
                <w:kern w:val="2"/>
                <w:szCs w:val="21"/>
                <w:lang w:val="en-US" w:eastAsia="zh-CN"/>
              </w:rPr>
              <w:t>监测计划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4" w:hRule="atLeast"/>
          <w:jc w:val="center"/>
        </w:trPr>
        <w:tc>
          <w:tcPr>
            <w:tcW w:w="1022" w:type="dxa"/>
            <w:vMerge w:val="restart"/>
            <w:tcMar>
              <w:left w:w="28" w:type="dxa"/>
              <w:right w:w="28" w:type="dxa"/>
            </w:tcMar>
            <w:vAlign w:val="center"/>
          </w:tcPr>
          <w:p>
            <w:pPr>
              <w:pStyle w:val="26"/>
              <w:rPr>
                <w:kern w:val="2"/>
                <w:szCs w:val="21"/>
                <w:lang w:val="en-US" w:eastAsia="zh-CN"/>
              </w:rPr>
            </w:pPr>
            <w:r>
              <w:rPr>
                <w:rFonts w:hint="eastAsia"/>
                <w:kern w:val="2"/>
                <w:szCs w:val="21"/>
                <w:lang w:val="en-US" w:eastAsia="zh-CN"/>
              </w:rPr>
              <w:t>废水</w:t>
            </w:r>
          </w:p>
        </w:tc>
        <w:tc>
          <w:tcPr>
            <w:tcW w:w="2176" w:type="dxa"/>
            <w:vMerge w:val="restart"/>
            <w:tcMar>
              <w:left w:w="28" w:type="dxa"/>
              <w:right w:w="28" w:type="dxa"/>
            </w:tcMar>
            <w:vAlign w:val="center"/>
          </w:tcPr>
          <w:p>
            <w:pPr>
              <w:pStyle w:val="26"/>
              <w:rPr>
                <w:kern w:val="2"/>
                <w:szCs w:val="21"/>
                <w:lang w:val="en-US" w:eastAsia="zh-CN"/>
              </w:rPr>
            </w:pPr>
            <w:r>
              <w:rPr>
                <w:rFonts w:hint="eastAsia"/>
                <w:kern w:val="2"/>
                <w:szCs w:val="21"/>
                <w:lang w:val="en-US" w:eastAsia="zh-CN"/>
              </w:rPr>
              <w:t>污水总排放口</w:t>
            </w:r>
          </w:p>
        </w:tc>
        <w:tc>
          <w:tcPr>
            <w:tcW w:w="2341" w:type="dxa"/>
            <w:tcMar>
              <w:left w:w="28" w:type="dxa"/>
              <w:right w:w="28" w:type="dxa"/>
            </w:tcMar>
            <w:vAlign w:val="center"/>
          </w:tcPr>
          <w:p>
            <w:pPr>
              <w:pStyle w:val="26"/>
              <w:rPr>
                <w:kern w:val="2"/>
                <w:szCs w:val="21"/>
                <w:lang w:val="en-US" w:eastAsia="zh-CN"/>
              </w:rPr>
            </w:pPr>
            <w:r>
              <w:rPr>
                <w:rFonts w:hint="eastAsia"/>
                <w:kern w:val="2"/>
                <w:szCs w:val="21"/>
                <w:lang w:val="en-US" w:eastAsia="zh-CN"/>
              </w:rPr>
              <w:t>企业自行监测</w:t>
            </w:r>
          </w:p>
        </w:tc>
        <w:tc>
          <w:tcPr>
            <w:tcW w:w="2909" w:type="dxa"/>
            <w:tcMar>
              <w:left w:w="28" w:type="dxa"/>
              <w:right w:w="28" w:type="dxa"/>
            </w:tcMar>
            <w:vAlign w:val="center"/>
          </w:tcPr>
          <w:p>
            <w:pPr>
              <w:pStyle w:val="26"/>
              <w:rPr>
                <w:kern w:val="2"/>
                <w:szCs w:val="21"/>
                <w:lang w:val="en-US" w:eastAsia="zh-CN"/>
              </w:rPr>
            </w:pPr>
            <w:r>
              <w:rPr>
                <w:kern w:val="2"/>
                <w:szCs w:val="21"/>
                <w:lang w:val="en-US" w:eastAsia="zh-CN"/>
              </w:rPr>
              <w:t>pH</w:t>
            </w:r>
            <w:r>
              <w:rPr>
                <w:rFonts w:hint="eastAsia"/>
                <w:kern w:val="2"/>
                <w:szCs w:val="21"/>
                <w:lang w:val="en-US" w:eastAsia="zh-CN"/>
              </w:rPr>
              <w:t>、</w:t>
            </w:r>
            <w:r>
              <w:rPr>
                <w:kern w:val="2"/>
                <w:szCs w:val="21"/>
                <w:lang w:val="en-US" w:eastAsia="zh-CN"/>
              </w:rPr>
              <w:t xml:space="preserve">CODCr </w:t>
            </w:r>
          </w:p>
        </w:tc>
        <w:tc>
          <w:tcPr>
            <w:tcW w:w="1246" w:type="dxa"/>
            <w:tcMar>
              <w:left w:w="28" w:type="dxa"/>
              <w:right w:w="28" w:type="dxa"/>
            </w:tcMar>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次</w:t>
            </w:r>
            <w:r>
              <w:rPr>
                <w:kern w:val="2"/>
                <w:szCs w:val="21"/>
                <w:lang w:val="en-US" w:eastAsia="zh-CN"/>
              </w:rPr>
              <w:t>/</w:t>
            </w:r>
            <w:r>
              <w:rPr>
                <w:rFonts w:hint="eastAsia"/>
                <w:kern w:val="2"/>
                <w:szCs w:val="21"/>
                <w:lang w:val="en-US" w:eastAsia="zh-CN"/>
              </w:rPr>
              <w:t>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1" w:hRule="atLeast"/>
          <w:jc w:val="center"/>
        </w:trPr>
        <w:tc>
          <w:tcPr>
            <w:tcW w:w="1022" w:type="dxa"/>
            <w:vMerge w:val="continue"/>
            <w:tcMar>
              <w:left w:w="28" w:type="dxa"/>
              <w:right w:w="28" w:type="dxa"/>
            </w:tcMar>
            <w:vAlign w:val="center"/>
          </w:tcPr>
          <w:p>
            <w:pPr>
              <w:pStyle w:val="26"/>
              <w:rPr>
                <w:kern w:val="2"/>
                <w:szCs w:val="21"/>
                <w:lang w:val="en-US" w:eastAsia="zh-CN"/>
              </w:rPr>
            </w:pPr>
          </w:p>
        </w:tc>
        <w:tc>
          <w:tcPr>
            <w:tcW w:w="2176" w:type="dxa"/>
            <w:vMerge w:val="continue"/>
            <w:tcMar>
              <w:left w:w="28" w:type="dxa"/>
              <w:right w:w="28" w:type="dxa"/>
            </w:tcMar>
            <w:vAlign w:val="center"/>
          </w:tcPr>
          <w:p>
            <w:pPr>
              <w:pStyle w:val="26"/>
              <w:rPr>
                <w:kern w:val="2"/>
                <w:szCs w:val="21"/>
                <w:lang w:val="en-US" w:eastAsia="zh-CN"/>
              </w:rPr>
            </w:pPr>
          </w:p>
        </w:tc>
        <w:tc>
          <w:tcPr>
            <w:tcW w:w="2341" w:type="dxa"/>
            <w:tcMar>
              <w:left w:w="28" w:type="dxa"/>
              <w:right w:w="28" w:type="dxa"/>
            </w:tcMar>
            <w:vAlign w:val="center"/>
          </w:tcPr>
          <w:p>
            <w:pPr>
              <w:pStyle w:val="26"/>
              <w:rPr>
                <w:kern w:val="2"/>
                <w:szCs w:val="21"/>
                <w:lang w:val="en-US" w:eastAsia="zh-CN"/>
              </w:rPr>
            </w:pPr>
            <w:r>
              <w:rPr>
                <w:rFonts w:hint="eastAsia"/>
                <w:kern w:val="2"/>
                <w:szCs w:val="21"/>
                <w:lang w:val="en-US" w:eastAsia="zh-CN"/>
              </w:rPr>
              <w:t>委托有资质监测单位监测</w:t>
            </w:r>
          </w:p>
        </w:tc>
        <w:tc>
          <w:tcPr>
            <w:tcW w:w="2909" w:type="dxa"/>
            <w:tcMar>
              <w:left w:w="28" w:type="dxa"/>
              <w:right w:w="28" w:type="dxa"/>
            </w:tcMar>
            <w:vAlign w:val="center"/>
          </w:tcPr>
          <w:p>
            <w:pPr>
              <w:pStyle w:val="26"/>
              <w:rPr>
                <w:kern w:val="2"/>
                <w:szCs w:val="21"/>
                <w:lang w:val="en-US" w:eastAsia="zh-CN"/>
              </w:rPr>
            </w:pPr>
            <w:r>
              <w:rPr>
                <w:kern w:val="2"/>
                <w:szCs w:val="21"/>
                <w:lang w:val="en-US" w:eastAsia="zh-CN"/>
              </w:rPr>
              <w:t>pH</w:t>
            </w:r>
            <w:r>
              <w:rPr>
                <w:rFonts w:hint="eastAsia"/>
                <w:kern w:val="2"/>
                <w:szCs w:val="21"/>
                <w:lang w:val="en-US" w:eastAsia="zh-CN"/>
              </w:rPr>
              <w:t>、</w:t>
            </w:r>
            <w:r>
              <w:rPr>
                <w:kern w:val="2"/>
                <w:szCs w:val="21"/>
                <w:lang w:val="en-US" w:eastAsia="zh-CN"/>
              </w:rPr>
              <w:t>CODCr</w:t>
            </w:r>
            <w:r>
              <w:rPr>
                <w:rFonts w:hint="eastAsia"/>
                <w:kern w:val="2"/>
                <w:szCs w:val="21"/>
                <w:lang w:val="en-US" w:eastAsia="zh-CN"/>
              </w:rPr>
              <w:t>、氨氮、</w:t>
            </w:r>
            <w:r>
              <w:rPr>
                <w:kern w:val="2"/>
                <w:szCs w:val="21"/>
                <w:lang w:val="en-US" w:eastAsia="zh-CN"/>
              </w:rPr>
              <w:t>BOD5</w:t>
            </w:r>
            <w:r>
              <w:rPr>
                <w:rFonts w:hint="eastAsia"/>
                <w:kern w:val="2"/>
                <w:szCs w:val="21"/>
                <w:lang w:val="en-US" w:eastAsia="zh-CN"/>
              </w:rPr>
              <w:t>、</w:t>
            </w:r>
            <w:r>
              <w:rPr>
                <w:kern w:val="2"/>
                <w:szCs w:val="21"/>
                <w:lang w:val="en-US" w:eastAsia="zh-CN"/>
              </w:rPr>
              <w:t>SS</w:t>
            </w:r>
            <w:r>
              <w:rPr>
                <w:rFonts w:hint="eastAsia"/>
                <w:kern w:val="2"/>
                <w:szCs w:val="21"/>
                <w:lang w:val="en-US" w:eastAsia="zh-CN"/>
              </w:rPr>
              <w:t>、总磷、硫化物、二氧化氯、六价铬、苯胺类、悬浮物、色度</w:t>
            </w:r>
          </w:p>
        </w:tc>
        <w:tc>
          <w:tcPr>
            <w:tcW w:w="1246" w:type="dxa"/>
            <w:tcMar>
              <w:left w:w="28" w:type="dxa"/>
              <w:right w:w="28" w:type="dxa"/>
            </w:tcMar>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次</w:t>
            </w:r>
            <w:r>
              <w:rPr>
                <w:kern w:val="2"/>
                <w:szCs w:val="21"/>
                <w:lang w:val="en-US" w:eastAsia="zh-CN"/>
              </w:rPr>
              <w:t>/</w:t>
            </w:r>
            <w:r>
              <w:rPr>
                <w:rFonts w:hint="eastAsia"/>
                <w:kern w:val="2"/>
                <w:szCs w:val="21"/>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1022" w:type="dxa"/>
            <w:tcMar>
              <w:left w:w="28" w:type="dxa"/>
              <w:right w:w="28" w:type="dxa"/>
            </w:tcMar>
            <w:vAlign w:val="center"/>
          </w:tcPr>
          <w:p>
            <w:pPr>
              <w:pStyle w:val="26"/>
              <w:rPr>
                <w:kern w:val="2"/>
                <w:szCs w:val="21"/>
                <w:lang w:val="en-US" w:eastAsia="zh-CN"/>
              </w:rPr>
            </w:pPr>
            <w:r>
              <w:rPr>
                <w:rFonts w:hint="eastAsia"/>
                <w:kern w:val="2"/>
                <w:szCs w:val="21"/>
                <w:lang w:val="en-US" w:eastAsia="zh-CN"/>
              </w:rPr>
              <w:t>中水回用</w:t>
            </w:r>
          </w:p>
        </w:tc>
        <w:tc>
          <w:tcPr>
            <w:tcW w:w="2176" w:type="dxa"/>
            <w:tcMar>
              <w:left w:w="28" w:type="dxa"/>
              <w:right w:w="28" w:type="dxa"/>
            </w:tcMar>
            <w:vAlign w:val="center"/>
          </w:tcPr>
          <w:p>
            <w:pPr>
              <w:pStyle w:val="26"/>
              <w:rPr>
                <w:kern w:val="2"/>
                <w:szCs w:val="21"/>
                <w:lang w:val="en-US" w:eastAsia="zh-CN"/>
              </w:rPr>
            </w:pPr>
            <w:r>
              <w:rPr>
                <w:rFonts w:hint="eastAsia"/>
                <w:kern w:val="2"/>
                <w:szCs w:val="21"/>
                <w:lang w:val="en-US" w:eastAsia="zh-CN"/>
              </w:rPr>
              <w:t>各级处理设施进出口</w:t>
            </w:r>
          </w:p>
        </w:tc>
        <w:tc>
          <w:tcPr>
            <w:tcW w:w="2341" w:type="dxa"/>
            <w:tcMar>
              <w:left w:w="28" w:type="dxa"/>
              <w:right w:w="28" w:type="dxa"/>
            </w:tcMar>
            <w:vAlign w:val="center"/>
          </w:tcPr>
          <w:p>
            <w:pPr>
              <w:pStyle w:val="26"/>
              <w:rPr>
                <w:kern w:val="2"/>
                <w:szCs w:val="21"/>
                <w:lang w:val="en-US" w:eastAsia="zh-CN"/>
              </w:rPr>
            </w:pPr>
            <w:r>
              <w:rPr>
                <w:rFonts w:hint="eastAsia"/>
                <w:kern w:val="2"/>
                <w:szCs w:val="21"/>
                <w:lang w:val="en-US" w:eastAsia="zh-CN"/>
              </w:rPr>
              <w:t>企业自行监测</w:t>
            </w:r>
          </w:p>
        </w:tc>
        <w:tc>
          <w:tcPr>
            <w:tcW w:w="2909" w:type="dxa"/>
            <w:tcMar>
              <w:left w:w="28" w:type="dxa"/>
              <w:right w:w="28" w:type="dxa"/>
            </w:tcMar>
            <w:vAlign w:val="center"/>
          </w:tcPr>
          <w:p>
            <w:pPr>
              <w:pStyle w:val="26"/>
              <w:rPr>
                <w:kern w:val="2"/>
                <w:szCs w:val="21"/>
                <w:lang w:val="en-US" w:eastAsia="zh-CN"/>
              </w:rPr>
            </w:pPr>
            <w:r>
              <w:rPr>
                <w:kern w:val="2"/>
                <w:szCs w:val="21"/>
                <w:lang w:val="en-US" w:eastAsia="zh-CN"/>
              </w:rPr>
              <w:t>pH</w:t>
            </w:r>
            <w:r>
              <w:rPr>
                <w:rFonts w:hint="eastAsia"/>
                <w:kern w:val="2"/>
                <w:szCs w:val="21"/>
                <w:lang w:val="en-US" w:eastAsia="zh-CN"/>
              </w:rPr>
              <w:t>、</w:t>
            </w:r>
            <w:r>
              <w:rPr>
                <w:kern w:val="2"/>
                <w:szCs w:val="21"/>
                <w:lang w:val="en-US" w:eastAsia="zh-CN"/>
              </w:rPr>
              <w:t>CODCr</w:t>
            </w:r>
            <w:r>
              <w:rPr>
                <w:rFonts w:hint="eastAsia"/>
                <w:kern w:val="2"/>
                <w:szCs w:val="21"/>
                <w:lang w:val="en-US" w:eastAsia="zh-CN"/>
              </w:rPr>
              <w:t>、</w:t>
            </w:r>
            <w:r>
              <w:rPr>
                <w:kern w:val="2"/>
                <w:szCs w:val="21"/>
                <w:lang w:val="en-US" w:eastAsia="zh-CN"/>
              </w:rPr>
              <w:t>SS</w:t>
            </w:r>
            <w:r>
              <w:rPr>
                <w:rFonts w:hint="eastAsia"/>
                <w:kern w:val="2"/>
                <w:szCs w:val="21"/>
                <w:lang w:val="en-US" w:eastAsia="zh-CN"/>
              </w:rPr>
              <w:t>、电导率、色度</w:t>
            </w:r>
          </w:p>
        </w:tc>
        <w:tc>
          <w:tcPr>
            <w:tcW w:w="1246" w:type="dxa"/>
            <w:tcMar>
              <w:left w:w="28" w:type="dxa"/>
              <w:right w:w="28" w:type="dxa"/>
            </w:tcMar>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次</w:t>
            </w:r>
            <w:r>
              <w:rPr>
                <w:kern w:val="2"/>
                <w:szCs w:val="21"/>
                <w:lang w:val="en-US" w:eastAsia="zh-CN"/>
              </w:rPr>
              <w:t>/</w:t>
            </w:r>
            <w:r>
              <w:rPr>
                <w:rFonts w:hint="eastAsia"/>
                <w:kern w:val="2"/>
                <w:szCs w:val="21"/>
                <w:lang w:val="en-US" w:eastAsia="zh-CN"/>
              </w:rPr>
              <w:t>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1022" w:type="dxa"/>
            <w:vMerge w:val="restart"/>
            <w:tcMar>
              <w:left w:w="28" w:type="dxa"/>
              <w:right w:w="28" w:type="dxa"/>
            </w:tcMar>
            <w:vAlign w:val="center"/>
          </w:tcPr>
          <w:p>
            <w:pPr>
              <w:pStyle w:val="26"/>
              <w:rPr>
                <w:kern w:val="2"/>
                <w:szCs w:val="21"/>
                <w:lang w:val="en-US" w:eastAsia="zh-CN"/>
              </w:rPr>
            </w:pPr>
            <w:r>
              <w:rPr>
                <w:rFonts w:hint="eastAsia"/>
                <w:kern w:val="2"/>
                <w:szCs w:val="21"/>
                <w:lang w:val="en-US" w:eastAsia="zh-CN"/>
              </w:rPr>
              <w:t>废气</w:t>
            </w:r>
          </w:p>
        </w:tc>
        <w:tc>
          <w:tcPr>
            <w:tcW w:w="2176" w:type="dxa"/>
            <w:tcMar>
              <w:left w:w="28" w:type="dxa"/>
              <w:right w:w="28" w:type="dxa"/>
            </w:tcMar>
            <w:vAlign w:val="center"/>
          </w:tcPr>
          <w:p>
            <w:pPr>
              <w:pStyle w:val="26"/>
              <w:rPr>
                <w:kern w:val="2"/>
                <w:szCs w:val="21"/>
                <w:lang w:val="en-US" w:eastAsia="zh-CN"/>
              </w:rPr>
            </w:pPr>
            <w:r>
              <w:rPr>
                <w:rFonts w:hint="eastAsia"/>
                <w:kern w:val="2"/>
                <w:szCs w:val="21"/>
                <w:lang w:val="en-US" w:eastAsia="zh-CN"/>
              </w:rPr>
              <w:t>定型废气排气筒</w:t>
            </w:r>
          </w:p>
        </w:tc>
        <w:tc>
          <w:tcPr>
            <w:tcW w:w="2341" w:type="dxa"/>
            <w:vMerge w:val="restart"/>
            <w:tcMar>
              <w:left w:w="28" w:type="dxa"/>
              <w:right w:w="28" w:type="dxa"/>
            </w:tcMar>
            <w:vAlign w:val="center"/>
          </w:tcPr>
          <w:p>
            <w:pPr>
              <w:pStyle w:val="26"/>
              <w:rPr>
                <w:kern w:val="2"/>
                <w:szCs w:val="21"/>
                <w:lang w:val="en-US" w:eastAsia="zh-CN"/>
              </w:rPr>
            </w:pPr>
            <w:r>
              <w:rPr>
                <w:rFonts w:hint="eastAsia"/>
                <w:kern w:val="2"/>
                <w:szCs w:val="21"/>
                <w:lang w:val="en-US" w:eastAsia="zh-CN"/>
              </w:rPr>
              <w:t>委托有资质监测单位监测</w:t>
            </w:r>
          </w:p>
        </w:tc>
        <w:tc>
          <w:tcPr>
            <w:tcW w:w="2909" w:type="dxa"/>
            <w:tcMar>
              <w:left w:w="28" w:type="dxa"/>
              <w:right w:w="28" w:type="dxa"/>
            </w:tcMar>
            <w:vAlign w:val="center"/>
          </w:tcPr>
          <w:p>
            <w:pPr>
              <w:pStyle w:val="26"/>
              <w:rPr>
                <w:kern w:val="2"/>
                <w:szCs w:val="21"/>
                <w:lang w:val="en-US" w:eastAsia="zh-CN"/>
              </w:rPr>
            </w:pPr>
            <w:r>
              <w:rPr>
                <w:rFonts w:hint="eastAsia"/>
                <w:kern w:val="2"/>
                <w:szCs w:val="21"/>
                <w:lang w:val="en-US" w:eastAsia="zh-CN"/>
              </w:rPr>
              <w:t>颗粒物、</w:t>
            </w:r>
            <w:r>
              <w:rPr>
                <w:kern w:val="2"/>
                <w:szCs w:val="21"/>
                <w:lang w:val="en-US" w:eastAsia="zh-CN"/>
              </w:rPr>
              <w:t>VOCs</w:t>
            </w:r>
            <w:r>
              <w:rPr>
                <w:rFonts w:hint="eastAsia"/>
                <w:kern w:val="2"/>
                <w:szCs w:val="21"/>
                <w:lang w:val="en-US" w:eastAsia="zh-CN"/>
              </w:rPr>
              <w:t>、非甲烷总烃、臭气浓度</w:t>
            </w:r>
          </w:p>
        </w:tc>
        <w:tc>
          <w:tcPr>
            <w:tcW w:w="1246" w:type="dxa"/>
            <w:tcMar>
              <w:left w:w="28" w:type="dxa"/>
              <w:right w:w="28" w:type="dxa"/>
            </w:tcMar>
            <w:vAlign w:val="center"/>
          </w:tcPr>
          <w:p>
            <w:pPr>
              <w:pStyle w:val="26"/>
              <w:rPr>
                <w:kern w:val="2"/>
                <w:szCs w:val="21"/>
                <w:lang w:val="en-US" w:eastAsia="zh-CN"/>
              </w:rPr>
            </w:pPr>
            <w:bookmarkStart w:id="122" w:name="OLE_LINK17"/>
            <w:bookmarkStart w:id="123" w:name="OLE_LINK12"/>
            <w:r>
              <w:rPr>
                <w:kern w:val="2"/>
                <w:szCs w:val="21"/>
                <w:lang w:val="en-US" w:eastAsia="zh-CN"/>
              </w:rPr>
              <w:t>1</w:t>
            </w:r>
            <w:r>
              <w:rPr>
                <w:rFonts w:hint="eastAsia"/>
                <w:kern w:val="2"/>
                <w:szCs w:val="21"/>
                <w:lang w:val="en-US" w:eastAsia="zh-CN"/>
              </w:rPr>
              <w:t>次</w:t>
            </w:r>
            <w:r>
              <w:rPr>
                <w:kern w:val="2"/>
                <w:szCs w:val="21"/>
                <w:lang w:val="en-US" w:eastAsia="zh-CN"/>
              </w:rPr>
              <w:t>/</w:t>
            </w:r>
            <w:r>
              <w:rPr>
                <w:rFonts w:hint="eastAsia"/>
                <w:kern w:val="2"/>
                <w:szCs w:val="21"/>
                <w:lang w:val="en-US" w:eastAsia="zh-CN"/>
              </w:rPr>
              <w:t>半年</w:t>
            </w:r>
            <w:bookmarkEnd w:id="122"/>
            <w:bookmarkEnd w:id="1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1022" w:type="dxa"/>
            <w:vMerge w:val="continue"/>
            <w:tcMar>
              <w:left w:w="28" w:type="dxa"/>
              <w:right w:w="28" w:type="dxa"/>
            </w:tcMar>
            <w:vAlign w:val="center"/>
          </w:tcPr>
          <w:p>
            <w:pPr>
              <w:pStyle w:val="26"/>
              <w:rPr>
                <w:kern w:val="2"/>
                <w:szCs w:val="21"/>
                <w:lang w:val="en-US" w:eastAsia="zh-CN"/>
              </w:rPr>
            </w:pPr>
          </w:p>
        </w:tc>
        <w:tc>
          <w:tcPr>
            <w:tcW w:w="2176" w:type="dxa"/>
            <w:tcMar>
              <w:left w:w="28" w:type="dxa"/>
              <w:right w:w="28" w:type="dxa"/>
            </w:tcMar>
            <w:vAlign w:val="center"/>
          </w:tcPr>
          <w:p>
            <w:pPr>
              <w:pStyle w:val="26"/>
              <w:rPr>
                <w:kern w:val="2"/>
                <w:szCs w:val="21"/>
                <w:lang w:val="en-US" w:eastAsia="zh-CN"/>
              </w:rPr>
            </w:pPr>
            <w:r>
              <w:rPr>
                <w:rFonts w:hint="eastAsia"/>
                <w:kern w:val="2"/>
                <w:szCs w:val="21"/>
                <w:lang w:val="en-US" w:eastAsia="zh-CN"/>
              </w:rPr>
              <w:t>锅炉废气</w:t>
            </w:r>
          </w:p>
        </w:tc>
        <w:tc>
          <w:tcPr>
            <w:tcW w:w="2341" w:type="dxa"/>
            <w:vMerge w:val="continue"/>
            <w:tcMar>
              <w:left w:w="28" w:type="dxa"/>
              <w:right w:w="28" w:type="dxa"/>
            </w:tcMar>
            <w:vAlign w:val="center"/>
          </w:tcPr>
          <w:p>
            <w:pPr>
              <w:pStyle w:val="26"/>
              <w:rPr>
                <w:kern w:val="2"/>
                <w:szCs w:val="21"/>
                <w:lang w:val="en-US" w:eastAsia="zh-CN"/>
              </w:rPr>
            </w:pPr>
          </w:p>
        </w:tc>
        <w:tc>
          <w:tcPr>
            <w:tcW w:w="2909" w:type="dxa"/>
            <w:tcMar>
              <w:left w:w="28" w:type="dxa"/>
              <w:right w:w="28" w:type="dxa"/>
            </w:tcMar>
            <w:vAlign w:val="center"/>
          </w:tcPr>
          <w:p>
            <w:pPr>
              <w:pStyle w:val="26"/>
              <w:rPr>
                <w:kern w:val="2"/>
                <w:szCs w:val="21"/>
                <w:lang w:val="en-US" w:eastAsia="zh-CN"/>
              </w:rPr>
            </w:pPr>
            <w:r>
              <w:rPr>
                <w:rFonts w:hint="eastAsia"/>
                <w:kern w:val="2"/>
                <w:szCs w:val="21"/>
                <w:lang w:val="en-US" w:eastAsia="zh-CN"/>
              </w:rPr>
              <w:t>颗粒物、</w:t>
            </w:r>
            <w:r>
              <w:rPr>
                <w:kern w:val="2"/>
                <w:szCs w:val="21"/>
                <w:lang w:val="en-US" w:eastAsia="zh-CN"/>
              </w:rPr>
              <w:t>SO2</w:t>
            </w:r>
            <w:r>
              <w:rPr>
                <w:rFonts w:hint="eastAsia"/>
                <w:kern w:val="2"/>
                <w:szCs w:val="21"/>
                <w:lang w:val="en-US" w:eastAsia="zh-CN"/>
              </w:rPr>
              <w:t>、</w:t>
            </w:r>
            <w:r>
              <w:rPr>
                <w:kern w:val="2"/>
                <w:szCs w:val="21"/>
                <w:lang w:val="en-US" w:eastAsia="zh-CN"/>
              </w:rPr>
              <w:t>NOx</w:t>
            </w:r>
          </w:p>
        </w:tc>
        <w:tc>
          <w:tcPr>
            <w:tcW w:w="1246" w:type="dxa"/>
            <w:tcMar>
              <w:left w:w="28" w:type="dxa"/>
              <w:right w:w="28" w:type="dxa"/>
            </w:tcMar>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次</w:t>
            </w:r>
            <w:r>
              <w:rPr>
                <w:kern w:val="2"/>
                <w:szCs w:val="21"/>
                <w:lang w:val="en-US" w:eastAsia="zh-CN"/>
              </w:rPr>
              <w:t>/</w:t>
            </w:r>
            <w:r>
              <w:rPr>
                <w:rFonts w:hint="eastAsia"/>
                <w:kern w:val="2"/>
                <w:szCs w:val="21"/>
                <w:lang w:val="en-US" w:eastAsia="zh-CN"/>
              </w:rPr>
              <w:t>半年</w:t>
            </w:r>
          </w:p>
        </w:tc>
      </w:tr>
    </w:tbl>
    <w:p>
      <w:pPr>
        <w:pStyle w:val="26"/>
        <w:rPr>
          <w:b/>
          <w:bCs/>
        </w:rPr>
      </w:pPr>
      <w:r>
        <w:rPr>
          <w:rFonts w:hint="eastAsia"/>
          <w:b/>
          <w:bCs/>
        </w:rPr>
        <w:t>表</w:t>
      </w:r>
      <w:r>
        <w:rPr>
          <w:b/>
          <w:bCs/>
        </w:rPr>
        <w:t>1</w:t>
      </w:r>
      <w:r>
        <w:rPr>
          <w:rFonts w:hint="eastAsia"/>
          <w:b/>
          <w:bCs/>
        </w:rPr>
        <w:t>1</w:t>
      </w:r>
      <w:r>
        <w:rPr>
          <w:b/>
          <w:bCs/>
        </w:rPr>
        <w:t xml:space="preserve">.2-3  </w:t>
      </w:r>
      <w:r>
        <w:rPr>
          <w:rFonts w:hint="eastAsia"/>
          <w:b/>
          <w:bCs/>
        </w:rPr>
        <w:t>项目营运期环境监测方案</w:t>
      </w:r>
    </w:p>
    <w:tbl>
      <w:tblPr>
        <w:tblStyle w:val="23"/>
        <w:tblW w:w="96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543"/>
        <w:gridCol w:w="1695"/>
        <w:gridCol w:w="2935"/>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078" w:type="dxa"/>
            <w:tcMar>
              <w:left w:w="28" w:type="dxa"/>
              <w:right w:w="28" w:type="dxa"/>
            </w:tcMar>
            <w:vAlign w:val="center"/>
          </w:tcPr>
          <w:p>
            <w:pPr>
              <w:pStyle w:val="26"/>
              <w:rPr>
                <w:kern w:val="2"/>
                <w:szCs w:val="21"/>
                <w:lang w:val="en-US" w:eastAsia="zh-CN"/>
              </w:rPr>
            </w:pPr>
            <w:r>
              <w:rPr>
                <w:rFonts w:hint="eastAsia"/>
                <w:kern w:val="2"/>
                <w:szCs w:val="21"/>
                <w:lang w:val="en-US" w:eastAsia="zh-CN"/>
              </w:rPr>
              <w:t>类别</w:t>
            </w:r>
          </w:p>
        </w:tc>
        <w:tc>
          <w:tcPr>
            <w:tcW w:w="2543" w:type="dxa"/>
            <w:tcMar>
              <w:left w:w="28" w:type="dxa"/>
              <w:right w:w="28" w:type="dxa"/>
            </w:tcMar>
            <w:vAlign w:val="center"/>
          </w:tcPr>
          <w:p>
            <w:pPr>
              <w:pStyle w:val="26"/>
              <w:rPr>
                <w:kern w:val="2"/>
                <w:szCs w:val="21"/>
                <w:lang w:val="en-US" w:eastAsia="zh-CN"/>
              </w:rPr>
            </w:pPr>
            <w:r>
              <w:rPr>
                <w:rFonts w:hint="eastAsia"/>
                <w:kern w:val="2"/>
                <w:szCs w:val="21"/>
                <w:lang w:val="en-US" w:eastAsia="zh-CN"/>
              </w:rPr>
              <w:t>监测点</w:t>
            </w:r>
          </w:p>
        </w:tc>
        <w:tc>
          <w:tcPr>
            <w:tcW w:w="1695" w:type="dxa"/>
            <w:tcMar>
              <w:left w:w="28" w:type="dxa"/>
              <w:right w:w="28" w:type="dxa"/>
            </w:tcMar>
            <w:vAlign w:val="center"/>
          </w:tcPr>
          <w:p>
            <w:pPr>
              <w:pStyle w:val="26"/>
              <w:rPr>
                <w:kern w:val="2"/>
                <w:szCs w:val="21"/>
                <w:lang w:val="en-US" w:eastAsia="zh-CN"/>
              </w:rPr>
            </w:pPr>
            <w:r>
              <w:rPr>
                <w:rFonts w:hint="eastAsia"/>
                <w:kern w:val="2"/>
                <w:szCs w:val="21"/>
                <w:lang w:val="en-US" w:eastAsia="zh-CN"/>
              </w:rPr>
              <w:t>监测方法</w:t>
            </w:r>
          </w:p>
        </w:tc>
        <w:tc>
          <w:tcPr>
            <w:tcW w:w="2935" w:type="dxa"/>
            <w:tcMar>
              <w:left w:w="28" w:type="dxa"/>
              <w:right w:w="28" w:type="dxa"/>
            </w:tcMar>
            <w:vAlign w:val="center"/>
          </w:tcPr>
          <w:p>
            <w:pPr>
              <w:pStyle w:val="26"/>
              <w:rPr>
                <w:kern w:val="2"/>
                <w:szCs w:val="21"/>
                <w:lang w:val="en-US" w:eastAsia="zh-CN"/>
              </w:rPr>
            </w:pPr>
            <w:r>
              <w:rPr>
                <w:rFonts w:hint="eastAsia"/>
                <w:kern w:val="2"/>
                <w:szCs w:val="21"/>
                <w:lang w:val="en-US" w:eastAsia="zh-CN"/>
              </w:rPr>
              <w:t>监测项目</w:t>
            </w:r>
          </w:p>
        </w:tc>
        <w:tc>
          <w:tcPr>
            <w:tcW w:w="1443" w:type="dxa"/>
            <w:tcMar>
              <w:left w:w="28" w:type="dxa"/>
              <w:right w:w="28" w:type="dxa"/>
            </w:tcMar>
            <w:vAlign w:val="center"/>
          </w:tcPr>
          <w:p>
            <w:pPr>
              <w:pStyle w:val="26"/>
              <w:rPr>
                <w:kern w:val="2"/>
                <w:szCs w:val="21"/>
                <w:lang w:val="en-US" w:eastAsia="zh-CN"/>
              </w:rPr>
            </w:pPr>
            <w:r>
              <w:rPr>
                <w:rFonts w:hint="eastAsia"/>
                <w:kern w:val="2"/>
                <w:szCs w:val="21"/>
                <w:lang w:val="en-US" w:eastAsia="zh-CN"/>
              </w:rPr>
              <w:t>监测计划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atLeast"/>
          <w:jc w:val="center"/>
        </w:trPr>
        <w:tc>
          <w:tcPr>
            <w:tcW w:w="1078" w:type="dxa"/>
            <w:tcMar>
              <w:left w:w="28" w:type="dxa"/>
              <w:right w:w="28" w:type="dxa"/>
            </w:tcMar>
            <w:vAlign w:val="center"/>
          </w:tcPr>
          <w:p>
            <w:pPr>
              <w:pStyle w:val="26"/>
              <w:rPr>
                <w:kern w:val="2"/>
                <w:szCs w:val="21"/>
                <w:lang w:val="en-US" w:eastAsia="zh-CN"/>
              </w:rPr>
            </w:pPr>
            <w:r>
              <w:rPr>
                <w:rFonts w:hint="eastAsia"/>
                <w:kern w:val="2"/>
                <w:szCs w:val="21"/>
                <w:lang w:val="en-US" w:eastAsia="zh-CN"/>
              </w:rPr>
              <w:t>废气</w:t>
            </w:r>
          </w:p>
        </w:tc>
        <w:tc>
          <w:tcPr>
            <w:tcW w:w="2543" w:type="dxa"/>
            <w:tcMar>
              <w:left w:w="28" w:type="dxa"/>
              <w:right w:w="28" w:type="dxa"/>
            </w:tcMar>
            <w:vAlign w:val="center"/>
          </w:tcPr>
          <w:p>
            <w:pPr>
              <w:pStyle w:val="26"/>
              <w:rPr>
                <w:kern w:val="2"/>
                <w:szCs w:val="21"/>
                <w:lang w:val="en-US" w:eastAsia="zh-CN"/>
              </w:rPr>
            </w:pPr>
            <w:r>
              <w:rPr>
                <w:rFonts w:hint="eastAsia"/>
                <w:kern w:val="2"/>
                <w:szCs w:val="21"/>
                <w:lang w:val="en-US" w:eastAsia="zh-CN"/>
              </w:rPr>
              <w:t>周界外无组织监控点</w:t>
            </w:r>
          </w:p>
        </w:tc>
        <w:tc>
          <w:tcPr>
            <w:tcW w:w="1695" w:type="dxa"/>
            <w:vMerge w:val="restart"/>
            <w:tcMar>
              <w:left w:w="28" w:type="dxa"/>
              <w:right w:w="28" w:type="dxa"/>
            </w:tcMar>
            <w:vAlign w:val="center"/>
          </w:tcPr>
          <w:p>
            <w:pPr>
              <w:pStyle w:val="26"/>
              <w:rPr>
                <w:kern w:val="2"/>
                <w:szCs w:val="21"/>
                <w:lang w:val="en-US" w:eastAsia="zh-CN"/>
              </w:rPr>
            </w:pPr>
            <w:r>
              <w:rPr>
                <w:rFonts w:hint="eastAsia"/>
                <w:kern w:val="2"/>
                <w:szCs w:val="21"/>
                <w:lang w:val="en-US" w:eastAsia="zh-CN"/>
              </w:rPr>
              <w:t>委托有资质监测单位监测</w:t>
            </w:r>
          </w:p>
        </w:tc>
        <w:tc>
          <w:tcPr>
            <w:tcW w:w="2935" w:type="dxa"/>
            <w:tcMar>
              <w:left w:w="28" w:type="dxa"/>
              <w:right w:w="28" w:type="dxa"/>
            </w:tcMar>
            <w:vAlign w:val="center"/>
          </w:tcPr>
          <w:p>
            <w:pPr>
              <w:pStyle w:val="26"/>
              <w:rPr>
                <w:kern w:val="2"/>
                <w:szCs w:val="21"/>
                <w:lang w:val="en-US" w:eastAsia="zh-CN"/>
              </w:rPr>
            </w:pPr>
            <w:r>
              <w:rPr>
                <w:kern w:val="2"/>
                <w:szCs w:val="21"/>
                <w:lang w:val="en-US" w:eastAsia="zh-CN"/>
              </w:rPr>
              <w:t>PM</w:t>
            </w:r>
            <w:r>
              <w:rPr>
                <w:kern w:val="2"/>
                <w:szCs w:val="21"/>
                <w:vertAlign w:val="subscript"/>
                <w:lang w:val="en-US" w:eastAsia="zh-CN"/>
              </w:rPr>
              <w:t>10</w:t>
            </w:r>
            <w:r>
              <w:rPr>
                <w:rFonts w:hint="eastAsia"/>
                <w:kern w:val="2"/>
                <w:szCs w:val="21"/>
                <w:lang w:val="en-US" w:eastAsia="zh-CN"/>
              </w:rPr>
              <w:t>、</w:t>
            </w:r>
            <w:r>
              <w:rPr>
                <w:kern w:val="2"/>
                <w:szCs w:val="21"/>
                <w:lang w:val="en-US" w:eastAsia="zh-CN"/>
              </w:rPr>
              <w:t>VOCs</w:t>
            </w:r>
            <w:r>
              <w:rPr>
                <w:rFonts w:hint="eastAsia"/>
                <w:kern w:val="2"/>
                <w:szCs w:val="21"/>
                <w:lang w:val="en-US" w:eastAsia="zh-CN"/>
              </w:rPr>
              <w:t>、</w:t>
            </w:r>
            <w:r>
              <w:rPr>
                <w:kern w:val="2"/>
                <w:szCs w:val="21"/>
                <w:lang w:val="en-US" w:eastAsia="zh-CN"/>
              </w:rPr>
              <w:t>NH3</w:t>
            </w:r>
            <w:r>
              <w:rPr>
                <w:rFonts w:hint="eastAsia"/>
                <w:kern w:val="2"/>
                <w:szCs w:val="21"/>
                <w:lang w:val="en-US" w:eastAsia="zh-CN"/>
              </w:rPr>
              <w:t>、</w:t>
            </w:r>
            <w:r>
              <w:rPr>
                <w:kern w:val="2"/>
                <w:szCs w:val="21"/>
                <w:lang w:val="en-US" w:eastAsia="zh-CN"/>
              </w:rPr>
              <w:t>H2S</w:t>
            </w:r>
            <w:r>
              <w:rPr>
                <w:rFonts w:hint="eastAsia"/>
                <w:kern w:val="2"/>
                <w:szCs w:val="21"/>
                <w:lang w:val="en-US" w:eastAsia="zh-CN"/>
              </w:rPr>
              <w:t>、臭气浓度、醋酸</w:t>
            </w:r>
          </w:p>
        </w:tc>
        <w:tc>
          <w:tcPr>
            <w:tcW w:w="1443" w:type="dxa"/>
            <w:tcMar>
              <w:left w:w="28" w:type="dxa"/>
              <w:right w:w="28" w:type="dxa"/>
            </w:tcMar>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次</w:t>
            </w:r>
            <w:r>
              <w:rPr>
                <w:kern w:val="2"/>
                <w:szCs w:val="21"/>
                <w:lang w:val="en-US" w:eastAsia="zh-CN"/>
              </w:rPr>
              <w:t>/</w:t>
            </w:r>
            <w:r>
              <w:rPr>
                <w:rFonts w:hint="eastAsia"/>
                <w:kern w:val="2"/>
                <w:szCs w:val="21"/>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atLeast"/>
          <w:jc w:val="center"/>
        </w:trPr>
        <w:tc>
          <w:tcPr>
            <w:tcW w:w="1078" w:type="dxa"/>
            <w:tcMar>
              <w:left w:w="28" w:type="dxa"/>
              <w:right w:w="28" w:type="dxa"/>
            </w:tcMar>
            <w:vAlign w:val="center"/>
          </w:tcPr>
          <w:p>
            <w:pPr>
              <w:pStyle w:val="26"/>
              <w:rPr>
                <w:kern w:val="2"/>
                <w:szCs w:val="21"/>
                <w:lang w:val="en-US" w:eastAsia="zh-CN"/>
              </w:rPr>
            </w:pPr>
            <w:r>
              <w:rPr>
                <w:rFonts w:hint="eastAsia"/>
                <w:kern w:val="2"/>
                <w:szCs w:val="21"/>
                <w:lang w:val="en-US" w:eastAsia="zh-CN"/>
              </w:rPr>
              <w:t>地下水</w:t>
            </w:r>
          </w:p>
        </w:tc>
        <w:tc>
          <w:tcPr>
            <w:tcW w:w="2543" w:type="dxa"/>
            <w:tcMar>
              <w:left w:w="28" w:type="dxa"/>
              <w:right w:w="28" w:type="dxa"/>
            </w:tcMar>
            <w:vAlign w:val="center"/>
          </w:tcPr>
          <w:p>
            <w:pPr>
              <w:pStyle w:val="26"/>
              <w:rPr>
                <w:kern w:val="2"/>
                <w:szCs w:val="21"/>
                <w:lang w:val="en-US" w:eastAsia="zh-CN"/>
              </w:rPr>
            </w:pPr>
            <w:r>
              <w:rPr>
                <w:kern w:val="2"/>
                <w:szCs w:val="21"/>
                <w:lang w:val="en-US" w:eastAsia="zh-CN"/>
              </w:rPr>
              <w:t>3</w:t>
            </w:r>
            <w:r>
              <w:rPr>
                <w:rFonts w:hint="eastAsia"/>
                <w:kern w:val="2"/>
                <w:szCs w:val="21"/>
                <w:lang w:val="en-US" w:eastAsia="zh-CN"/>
              </w:rPr>
              <w:t>个水质监测井</w:t>
            </w:r>
          </w:p>
        </w:tc>
        <w:tc>
          <w:tcPr>
            <w:tcW w:w="1695" w:type="dxa"/>
            <w:vMerge w:val="continue"/>
            <w:tcMar>
              <w:left w:w="28" w:type="dxa"/>
              <w:right w:w="28" w:type="dxa"/>
            </w:tcMar>
            <w:vAlign w:val="center"/>
          </w:tcPr>
          <w:p>
            <w:pPr>
              <w:pStyle w:val="26"/>
              <w:rPr>
                <w:kern w:val="2"/>
                <w:szCs w:val="21"/>
                <w:lang w:val="en-US" w:eastAsia="zh-CN"/>
              </w:rPr>
            </w:pPr>
          </w:p>
        </w:tc>
        <w:tc>
          <w:tcPr>
            <w:tcW w:w="2935" w:type="dxa"/>
            <w:tcMar>
              <w:left w:w="28" w:type="dxa"/>
              <w:right w:w="28" w:type="dxa"/>
            </w:tcMar>
            <w:vAlign w:val="center"/>
          </w:tcPr>
          <w:p>
            <w:pPr>
              <w:pStyle w:val="26"/>
              <w:rPr>
                <w:kern w:val="2"/>
                <w:szCs w:val="21"/>
                <w:lang w:val="en-US" w:eastAsia="zh-CN"/>
              </w:rPr>
            </w:pPr>
            <w:r>
              <w:rPr>
                <w:rFonts w:hint="eastAsia"/>
                <w:kern w:val="2"/>
                <w:szCs w:val="21"/>
                <w:lang w:val="en-US" w:eastAsia="zh-CN"/>
              </w:rPr>
              <w:t>氨氮、高锰酸盐指数、六价铬</w:t>
            </w:r>
          </w:p>
        </w:tc>
        <w:tc>
          <w:tcPr>
            <w:tcW w:w="1443" w:type="dxa"/>
            <w:tcMar>
              <w:left w:w="28" w:type="dxa"/>
              <w:right w:w="28" w:type="dxa"/>
            </w:tcMar>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次</w:t>
            </w:r>
            <w:r>
              <w:rPr>
                <w:kern w:val="2"/>
                <w:szCs w:val="21"/>
                <w:lang w:val="en-US" w:eastAsia="zh-CN"/>
              </w:rPr>
              <w:t>/</w:t>
            </w:r>
            <w:r>
              <w:rPr>
                <w:rFonts w:hint="eastAsia"/>
                <w:kern w:val="2"/>
                <w:szCs w:val="21"/>
                <w:lang w:val="en-US" w:eastAsia="zh-CN"/>
              </w:rPr>
              <w:t>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 w:hRule="atLeast"/>
          <w:jc w:val="center"/>
        </w:trPr>
        <w:tc>
          <w:tcPr>
            <w:tcW w:w="1078" w:type="dxa"/>
            <w:tcMar>
              <w:left w:w="28" w:type="dxa"/>
              <w:right w:w="28" w:type="dxa"/>
            </w:tcMar>
            <w:vAlign w:val="center"/>
          </w:tcPr>
          <w:p>
            <w:pPr>
              <w:pStyle w:val="26"/>
              <w:rPr>
                <w:kern w:val="2"/>
                <w:szCs w:val="21"/>
                <w:lang w:val="en-US" w:eastAsia="zh-CN"/>
              </w:rPr>
            </w:pPr>
            <w:r>
              <w:rPr>
                <w:rFonts w:hint="eastAsia"/>
                <w:kern w:val="2"/>
                <w:szCs w:val="21"/>
                <w:lang w:val="en-US" w:eastAsia="zh-CN"/>
              </w:rPr>
              <w:t>噪声</w:t>
            </w:r>
          </w:p>
        </w:tc>
        <w:tc>
          <w:tcPr>
            <w:tcW w:w="2543" w:type="dxa"/>
            <w:tcMar>
              <w:left w:w="28" w:type="dxa"/>
              <w:right w:w="28" w:type="dxa"/>
            </w:tcMar>
            <w:vAlign w:val="center"/>
          </w:tcPr>
          <w:p>
            <w:pPr>
              <w:pStyle w:val="26"/>
              <w:rPr>
                <w:kern w:val="2"/>
                <w:szCs w:val="21"/>
                <w:lang w:val="en-US" w:eastAsia="zh-CN"/>
              </w:rPr>
            </w:pPr>
            <w:r>
              <w:rPr>
                <w:rFonts w:hint="eastAsia"/>
                <w:kern w:val="2"/>
                <w:szCs w:val="21"/>
                <w:lang w:val="en-US" w:eastAsia="zh-CN"/>
              </w:rPr>
              <w:t>厂界</w:t>
            </w:r>
          </w:p>
        </w:tc>
        <w:tc>
          <w:tcPr>
            <w:tcW w:w="1695" w:type="dxa"/>
            <w:vMerge w:val="continue"/>
            <w:tcMar>
              <w:left w:w="28" w:type="dxa"/>
              <w:right w:w="28" w:type="dxa"/>
            </w:tcMar>
            <w:vAlign w:val="center"/>
          </w:tcPr>
          <w:p>
            <w:pPr>
              <w:pStyle w:val="26"/>
              <w:rPr>
                <w:kern w:val="2"/>
                <w:szCs w:val="21"/>
                <w:lang w:val="en-US" w:eastAsia="zh-CN"/>
              </w:rPr>
            </w:pPr>
          </w:p>
        </w:tc>
        <w:tc>
          <w:tcPr>
            <w:tcW w:w="2935" w:type="dxa"/>
            <w:tcMar>
              <w:left w:w="28" w:type="dxa"/>
              <w:right w:w="28" w:type="dxa"/>
            </w:tcMar>
            <w:vAlign w:val="center"/>
          </w:tcPr>
          <w:p>
            <w:pPr>
              <w:pStyle w:val="26"/>
              <w:rPr>
                <w:kern w:val="2"/>
                <w:szCs w:val="21"/>
                <w:lang w:val="en-US" w:eastAsia="zh-CN"/>
              </w:rPr>
            </w:pPr>
            <w:r>
              <w:rPr>
                <w:rFonts w:hint="eastAsia"/>
                <w:kern w:val="2"/>
                <w:szCs w:val="21"/>
                <w:lang w:val="en-US" w:eastAsia="zh-CN"/>
              </w:rPr>
              <w:t>等效</w:t>
            </w:r>
            <w:r>
              <w:rPr>
                <w:kern w:val="2"/>
                <w:szCs w:val="21"/>
                <w:lang w:val="en-US" w:eastAsia="zh-CN"/>
              </w:rPr>
              <w:t>A</w:t>
            </w:r>
            <w:r>
              <w:rPr>
                <w:rFonts w:hint="eastAsia"/>
                <w:kern w:val="2"/>
                <w:szCs w:val="21"/>
                <w:lang w:val="en-US" w:eastAsia="zh-CN"/>
              </w:rPr>
              <w:t>声级</w:t>
            </w:r>
          </w:p>
        </w:tc>
        <w:tc>
          <w:tcPr>
            <w:tcW w:w="1443" w:type="dxa"/>
            <w:tcMar>
              <w:left w:w="28" w:type="dxa"/>
              <w:right w:w="28" w:type="dxa"/>
            </w:tcMar>
            <w:vAlign w:val="center"/>
          </w:tcPr>
          <w:p>
            <w:pPr>
              <w:pStyle w:val="26"/>
              <w:rPr>
                <w:kern w:val="2"/>
                <w:szCs w:val="21"/>
                <w:lang w:val="en-US" w:eastAsia="zh-CN"/>
              </w:rPr>
            </w:pPr>
            <w:r>
              <w:rPr>
                <w:kern w:val="2"/>
                <w:szCs w:val="21"/>
                <w:lang w:val="en-US" w:eastAsia="zh-CN"/>
              </w:rPr>
              <w:t>1</w:t>
            </w:r>
            <w:r>
              <w:rPr>
                <w:rFonts w:hint="eastAsia"/>
                <w:kern w:val="2"/>
                <w:szCs w:val="21"/>
                <w:lang w:val="en-US" w:eastAsia="zh-CN"/>
              </w:rPr>
              <w:t>次</w:t>
            </w:r>
            <w:r>
              <w:rPr>
                <w:kern w:val="2"/>
                <w:szCs w:val="21"/>
                <w:lang w:val="en-US" w:eastAsia="zh-CN"/>
              </w:rPr>
              <w:t>/</w:t>
            </w:r>
            <w:r>
              <w:rPr>
                <w:rFonts w:hint="eastAsia"/>
                <w:kern w:val="2"/>
                <w:szCs w:val="21"/>
                <w:lang w:val="en-US" w:eastAsia="zh-CN"/>
              </w:rPr>
              <w:t>年</w:t>
            </w:r>
          </w:p>
        </w:tc>
      </w:tr>
    </w:tbl>
    <w:p>
      <w:pPr>
        <w:ind w:firstLine="480"/>
      </w:pPr>
      <w:r>
        <w:rPr>
          <w:rFonts w:hint="eastAsia"/>
        </w:rPr>
        <w:t>原则上厂区环境日常监测由企业自行负责进行，厂区外环境可委托有资质的外单位承担。对于废水出水水质的管理，每班监测分析出水水质是否符合规定指标要求，从而管理好废水出水水质。</w:t>
      </w:r>
    </w:p>
    <w:p>
      <w:pPr>
        <w:ind w:firstLine="480"/>
      </w:pPr>
      <w:r>
        <w:rPr>
          <w:rFonts w:hint="eastAsia"/>
        </w:rPr>
        <w:t>以上监测的采样分析方法全部按照国家环保总局制定的操作规范执行；监测工作由公司自行承担，也可委托有资质的监测单位完成；监测费用通过建设项目年度生产经费予以保证。</w:t>
      </w:r>
    </w:p>
    <w:p>
      <w:pPr>
        <w:pStyle w:val="3"/>
      </w:pPr>
      <w:bookmarkStart w:id="124" w:name="_Toc9597"/>
      <w:r>
        <w:rPr>
          <w:rFonts w:hint="eastAsia"/>
        </w:rPr>
        <w:t>规范化排污口设置</w:t>
      </w:r>
      <w:bookmarkEnd w:id="124"/>
    </w:p>
    <w:p>
      <w:pPr>
        <w:ind w:firstLine="480"/>
      </w:pPr>
      <w:r>
        <w:t>1</w:t>
      </w:r>
      <w:r>
        <w:rPr>
          <w:rFonts w:hint="eastAsia"/>
        </w:rPr>
        <w:t>、厂区只设一个污水排放口，污水排放口具备采样条件</w:t>
      </w:r>
      <w:r>
        <w:rPr>
          <w:rFonts w:hint="eastAsia"/>
          <w:lang w:eastAsia="zh-CN"/>
        </w:rPr>
        <w:t>；原有的废水排放口封堵关停</w:t>
      </w:r>
      <w:r>
        <w:rPr>
          <w:rFonts w:hint="eastAsia"/>
        </w:rPr>
        <w:t>。</w:t>
      </w:r>
    </w:p>
    <w:p>
      <w:pPr>
        <w:ind w:firstLine="480"/>
      </w:pPr>
      <w:r>
        <w:t>2</w:t>
      </w:r>
      <w:r>
        <w:rPr>
          <w:rFonts w:hint="eastAsia"/>
        </w:rPr>
        <w:t>、企业固体废物已分类送到</w:t>
      </w:r>
      <w:r>
        <w:t>(</w:t>
      </w:r>
      <w:r>
        <w:rPr>
          <w:rFonts w:hint="eastAsia"/>
        </w:rPr>
        <w:t>或出售</w:t>
      </w:r>
      <w:r>
        <w:t>)</w:t>
      </w:r>
      <w:r>
        <w:rPr>
          <w:rFonts w:hint="eastAsia"/>
        </w:rPr>
        <w:t>相应单位进行处理，固体废物在厂内暂存期间已设置专门的储存设施或堆放场所、运输通道。存放场地需采取防扬散、防雨淋、防流失措施，并在存放场地设置环保标志牌。</w:t>
      </w:r>
    </w:p>
    <w:p>
      <w:pPr>
        <w:ind w:firstLine="480"/>
      </w:pPr>
      <w:r>
        <w:t>3</w:t>
      </w:r>
      <w:r>
        <w:rPr>
          <w:rFonts w:hint="eastAsia"/>
        </w:rPr>
        <w:t>、废气排放口设置永久性采样口，采样孔应设置在处理设施后排气管的垂直管段，且距弯头、阀门、变径管下游方向不小于</w:t>
      </w:r>
      <w:r>
        <w:t>6</w:t>
      </w:r>
      <w:r>
        <w:rPr>
          <w:rFonts w:hint="eastAsia"/>
        </w:rPr>
        <w:t>倍直径，和距上述部件上游方向不小于</w:t>
      </w:r>
      <w:r>
        <w:t>3</w:t>
      </w:r>
      <w:r>
        <w:rPr>
          <w:rFonts w:hint="eastAsia"/>
        </w:rPr>
        <w:t>倍直径处。采样孔内径不小于</w:t>
      </w:r>
      <w:r>
        <w:t>80</w:t>
      </w:r>
      <w:r>
        <w:rPr>
          <w:rFonts w:hint="eastAsia"/>
        </w:rPr>
        <w:t>毫米，孔管长不大于</w:t>
      </w:r>
      <w:r>
        <w:t>50</w:t>
      </w:r>
      <w:r>
        <w:rPr>
          <w:rFonts w:hint="eastAsia"/>
        </w:rPr>
        <w:t>毫米。不使用时应用盖板、管堵或管帽封闭。新建废气处理设施应在处理前也同步设置采样孔，与上述要求一致。安装符合“</w:t>
      </w:r>
      <w:r>
        <w:t>HJ/T1-92</w:t>
      </w:r>
      <w:r>
        <w:rPr>
          <w:rFonts w:hint="eastAsia"/>
        </w:rPr>
        <w:t>气体参数测量和采样的固定位装置”要求的气体参数测量和采样的固定位装置，采样平台面积不小于</w:t>
      </w:r>
      <w:r>
        <w:t>1.5m</w:t>
      </w:r>
      <w:r>
        <w:rPr>
          <w:vertAlign w:val="superscript"/>
        </w:rPr>
        <w:t>2</w:t>
      </w:r>
      <w:r>
        <w:rPr>
          <w:rFonts w:hint="eastAsia"/>
        </w:rPr>
        <w:t>，并设有</w:t>
      </w:r>
      <w:r>
        <w:t>1.1m</w:t>
      </w:r>
      <w:r>
        <w:rPr>
          <w:rFonts w:hint="eastAsia"/>
        </w:rPr>
        <w:t>高的护栏和不低于</w:t>
      </w:r>
      <w:r>
        <w:t>10cm</w:t>
      </w:r>
      <w:r>
        <w:rPr>
          <w:rFonts w:hint="eastAsia"/>
        </w:rPr>
        <w:t>的脚部挡板，平台承重不小于</w:t>
      </w:r>
      <w:r>
        <w:t>200kg/m</w:t>
      </w:r>
      <w:r>
        <w:rPr>
          <w:vertAlign w:val="superscript"/>
        </w:rPr>
        <w:t>2</w:t>
      </w:r>
      <w:r>
        <w:rPr>
          <w:rFonts w:hint="eastAsia"/>
        </w:rPr>
        <w:t>，采样孔距平台面约为</w:t>
      </w:r>
      <w:r>
        <w:t>1.2m</w:t>
      </w:r>
      <w:r>
        <w:rPr>
          <w:rFonts w:hint="eastAsia"/>
        </w:rPr>
        <w:t>～</w:t>
      </w:r>
      <w:r>
        <w:t>1.3m</w:t>
      </w:r>
      <w:r>
        <w:rPr>
          <w:rFonts w:hint="eastAsia"/>
        </w:rPr>
        <w:t>。当采样平台设置在离地面高度≥</w:t>
      </w:r>
      <w:r>
        <w:t>5</w:t>
      </w:r>
      <w:r>
        <w:rPr>
          <w:rFonts w:hint="eastAsia"/>
        </w:rPr>
        <w:t>米的位置时，必须设置通往平台的固定旋梯或“</w:t>
      </w:r>
      <w:r>
        <w:t>Z</w:t>
      </w:r>
      <w:r>
        <w:rPr>
          <w:rFonts w:hint="eastAsia"/>
        </w:rPr>
        <w:t>”字梯，确保监测人员在负重采样设备时可方便到达。在采样平台上应设置防雨固定的</w:t>
      </w:r>
      <w:r>
        <w:t>220</w:t>
      </w:r>
      <w:r>
        <w:rPr>
          <w:rFonts w:hint="eastAsia"/>
        </w:rPr>
        <w:t>伏三眼电源插座，工作用电应可承载</w:t>
      </w:r>
      <w:r>
        <w:t>500</w:t>
      </w:r>
      <w:r>
        <w:rPr>
          <w:rFonts w:hint="eastAsia"/>
        </w:rPr>
        <w:t>瓦设立标志牌。</w:t>
      </w:r>
    </w:p>
    <w:p>
      <w:pPr>
        <w:ind w:firstLine="480"/>
        <w:sectPr>
          <w:pgSz w:w="11906" w:h="16838"/>
          <w:pgMar w:top="1440" w:right="1417" w:bottom="1440" w:left="1417" w:header="851" w:footer="992" w:gutter="0"/>
          <w:cols w:space="0" w:num="1"/>
          <w:docGrid w:type="lines" w:linePitch="332" w:charSpace="0"/>
        </w:sectPr>
      </w:pPr>
      <w:r>
        <w:t>4</w:t>
      </w:r>
      <w:r>
        <w:rPr>
          <w:rFonts w:hint="eastAsia"/>
        </w:rPr>
        <w:t>、主要固定噪声源附近应设置环境保护图形标志牌。</w:t>
      </w:r>
    </w:p>
    <w:p>
      <w:pPr>
        <w:pStyle w:val="2"/>
      </w:pPr>
      <w:bookmarkStart w:id="125" w:name="_Toc27565"/>
      <w:r>
        <w:rPr>
          <w:rFonts w:hint="eastAsia"/>
        </w:rPr>
        <w:t>产业政策和选址合理性分析</w:t>
      </w:r>
      <w:bookmarkEnd w:id="125"/>
    </w:p>
    <w:p>
      <w:pPr>
        <w:pStyle w:val="3"/>
      </w:pPr>
      <w:bookmarkStart w:id="126" w:name="_Toc24970"/>
      <w:r>
        <w:rPr>
          <w:rFonts w:hint="eastAsia"/>
        </w:rPr>
        <w:t>产业政策符合性分析</w:t>
      </w:r>
      <w:bookmarkEnd w:id="126"/>
    </w:p>
    <w:p>
      <w:pPr>
        <w:ind w:firstLine="480"/>
      </w:pPr>
      <w:r>
        <w:rPr>
          <w:rFonts w:hint="eastAsia"/>
        </w:rPr>
        <w:t>技改项目新购国产先进印染设备，进行印染加工，项目属于《产业结构调整指导目录</w:t>
      </w:r>
      <w:r>
        <w:t>(2011</w:t>
      </w:r>
      <w:r>
        <w:rPr>
          <w:rFonts w:hint="eastAsia"/>
        </w:rPr>
        <w:t>年本</w:t>
      </w:r>
      <w:r>
        <w:t>)</w:t>
      </w:r>
      <w:r>
        <w:rPr>
          <w:rFonts w:hint="eastAsia"/>
        </w:rPr>
        <w:t>》</w:t>
      </w:r>
      <w:r>
        <w:t>(2013</w:t>
      </w:r>
      <w:r>
        <w:rPr>
          <w:rFonts w:hint="eastAsia"/>
        </w:rPr>
        <w:t>年修正</w:t>
      </w:r>
      <w:r>
        <w:t>)</w:t>
      </w:r>
      <w:r>
        <w:rPr>
          <w:rFonts w:hint="eastAsia"/>
        </w:rPr>
        <w:t>中为“第一类鼓励类；二十、纺织；</w:t>
      </w:r>
      <w:r>
        <w:t>8.</w:t>
      </w:r>
      <w:r>
        <w:rPr>
          <w:rFonts w:hint="eastAsia"/>
        </w:rPr>
        <w:t>采用酶处理、高效短流程前处理、冷轧堆前处理及染色、短流程湿蒸轧染、</w:t>
      </w:r>
      <w:r>
        <w:rPr>
          <w:rFonts w:hint="eastAsia"/>
          <w:b/>
          <w:bCs/>
        </w:rPr>
        <w:t>气流染色、小浴比染色</w:t>
      </w:r>
      <w:r>
        <w:rPr>
          <w:rFonts w:hint="eastAsia"/>
        </w:rPr>
        <w:t>、涂料印染、数码喷墨印花、泡沫整理等染整清洁生产技术和防水防油防污、阻燃、抗净电及多功能复合等功能性整理技术生产高档纺织面料。</w:t>
      </w:r>
    </w:p>
    <w:p>
      <w:pPr>
        <w:ind w:firstLine="480"/>
      </w:pPr>
      <w:r>
        <w:rPr>
          <w:rFonts w:hint="eastAsia"/>
        </w:rPr>
        <w:t>因此，技改项目符合国家产业政策。</w:t>
      </w:r>
    </w:p>
    <w:p>
      <w:pPr>
        <w:pStyle w:val="3"/>
      </w:pPr>
      <w:bookmarkStart w:id="127" w:name="_Toc26904"/>
      <w:r>
        <w:rPr>
          <w:rFonts w:hint="eastAsia"/>
        </w:rPr>
        <w:t>印染行业准入条件符合性分析</w:t>
      </w:r>
      <w:bookmarkEnd w:id="127"/>
    </w:p>
    <w:p>
      <w:pPr>
        <w:ind w:firstLine="480"/>
      </w:pPr>
      <w:r>
        <w:rPr>
          <w:rFonts w:hint="eastAsia"/>
        </w:rPr>
        <w:t>本技改项目对照国家印染行业准入条件进行了具体分析，具体课件表</w:t>
      </w:r>
      <w:r>
        <w:t>1</w:t>
      </w:r>
      <w:r>
        <w:rPr>
          <w:rFonts w:hint="eastAsia"/>
        </w:rPr>
        <w:t>2</w:t>
      </w:r>
      <w:r>
        <w:t>.2-1</w:t>
      </w:r>
      <w:r>
        <w:rPr>
          <w:rFonts w:hint="eastAsia"/>
        </w:rPr>
        <w:t>。</w:t>
      </w:r>
    </w:p>
    <w:p>
      <w:pPr>
        <w:pStyle w:val="26"/>
      </w:pPr>
      <w:r>
        <w:rPr>
          <w:rFonts w:hint="eastAsia"/>
        </w:rPr>
        <w:t>表</w:t>
      </w:r>
      <w:r>
        <w:t>1</w:t>
      </w:r>
      <w:r>
        <w:rPr>
          <w:rFonts w:hint="eastAsia"/>
        </w:rPr>
        <w:t>2</w:t>
      </w:r>
      <w:r>
        <w:t xml:space="preserve">.2-1    </w:t>
      </w:r>
      <w:r>
        <w:rPr>
          <w:rFonts w:hint="eastAsia"/>
        </w:rPr>
        <w:t>国家印染行业准入条件符合性分析</w:t>
      </w:r>
    </w:p>
    <w:tbl>
      <w:tblPr>
        <w:tblStyle w:val="23"/>
        <w:tblW w:w="95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4404"/>
        <w:gridCol w:w="3390"/>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778" w:type="dxa"/>
            <w:vAlign w:val="center"/>
          </w:tcPr>
          <w:p>
            <w:pPr>
              <w:pStyle w:val="26"/>
              <w:spacing w:line="240" w:lineRule="auto"/>
              <w:rPr>
                <w:kern w:val="2"/>
                <w:szCs w:val="21"/>
                <w:lang w:val="en-US" w:eastAsia="zh-CN"/>
              </w:rPr>
            </w:pPr>
            <w:r>
              <w:rPr>
                <w:rFonts w:hint="eastAsia"/>
                <w:kern w:val="2"/>
                <w:szCs w:val="21"/>
                <w:lang w:val="en-US" w:eastAsia="zh-CN"/>
              </w:rPr>
              <w:t>名称</w:t>
            </w: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印染行业准入条件</w:t>
            </w:r>
            <w:r>
              <w:rPr>
                <w:kern w:val="2"/>
                <w:szCs w:val="21"/>
                <w:lang w:val="en-US" w:eastAsia="zh-CN"/>
              </w:rPr>
              <w:t>(2010</w:t>
            </w:r>
            <w:r>
              <w:rPr>
                <w:rFonts w:hint="eastAsia"/>
                <w:kern w:val="2"/>
                <w:szCs w:val="21"/>
                <w:lang w:val="en-US" w:eastAsia="zh-CN"/>
              </w:rPr>
              <w:t>修订版</w:t>
            </w:r>
            <w:r>
              <w:rPr>
                <w:kern w:val="2"/>
                <w:szCs w:val="21"/>
                <w:lang w:val="en-US" w:eastAsia="zh-CN"/>
              </w:rPr>
              <w:t>)</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本项目</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评价</w:t>
            </w:r>
          </w:p>
          <w:p>
            <w:pPr>
              <w:pStyle w:val="26"/>
              <w:spacing w:line="240" w:lineRule="auto"/>
              <w:rPr>
                <w:kern w:val="2"/>
                <w:szCs w:val="21"/>
                <w:lang w:val="en-US" w:eastAsia="zh-CN"/>
              </w:rPr>
            </w:pPr>
            <w:r>
              <w:rPr>
                <w:rFonts w:hint="eastAsia"/>
                <w:kern w:val="2"/>
                <w:szCs w:val="21"/>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0" w:hRule="atLeast"/>
          <w:jc w:val="center"/>
        </w:trPr>
        <w:tc>
          <w:tcPr>
            <w:tcW w:w="778" w:type="dxa"/>
            <w:vMerge w:val="restart"/>
            <w:vAlign w:val="center"/>
          </w:tcPr>
          <w:p>
            <w:pPr>
              <w:pStyle w:val="26"/>
              <w:spacing w:line="240" w:lineRule="auto"/>
              <w:rPr>
                <w:kern w:val="2"/>
                <w:szCs w:val="21"/>
                <w:lang w:val="en-US" w:eastAsia="zh-CN"/>
              </w:rPr>
            </w:pPr>
            <w:r>
              <w:rPr>
                <w:rFonts w:hint="eastAsia"/>
                <w:kern w:val="2"/>
                <w:szCs w:val="21"/>
                <w:lang w:val="en-US" w:eastAsia="zh-CN"/>
              </w:rPr>
              <w:t>生产企业布局</w:t>
            </w: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各省、自治区、直辖市有关部门要根据资源、能源状况和市场需求，科学规划印染行业发展。新建或改扩建印染项目必须符合国家产业规划和产业政策，符合本地区生态环境规划和土地利用总体规划要求。</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技改项目建设符合国家产业政策，技改项目位于湖南德科纺织印染有限公司印染分厂现有厂区内，属于工业用地，符合土地利用总体规划。</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4" w:hRule="atLeast"/>
          <w:jc w:val="center"/>
        </w:trPr>
        <w:tc>
          <w:tcPr>
            <w:tcW w:w="778" w:type="dxa"/>
            <w:vMerge w:val="continue"/>
            <w:vAlign w:val="center"/>
          </w:tcPr>
          <w:p>
            <w:pPr>
              <w:pStyle w:val="26"/>
              <w:spacing w:line="240" w:lineRule="auto"/>
              <w:rPr>
                <w:kern w:val="2"/>
                <w:szCs w:val="21"/>
                <w:lang w:val="en-US" w:eastAsia="zh-CN"/>
              </w:rPr>
            </w:pP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在国务院、国家有关部门和省（自治区、直辖市）级人民政府规定的风景名胜区、自然保护区、饮用水保护区和主要河流两岸边界外规定范围内不得新建印染项目；已在上述区域内投产运营的印染生产企业要根据区域规划和保护生态环境的需要，依法通过关闭、搬迁、转产等方式限期退出。</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企业位于屈原管理区营田镇，不在国务院、国家有关部门和省（自治区、直辖市）级人民政府规定的风景名胜区、自然保护区、饮用水保护区和主要河流两岸边界外规定范围内。</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4" w:hRule="atLeast"/>
          <w:jc w:val="center"/>
        </w:trPr>
        <w:tc>
          <w:tcPr>
            <w:tcW w:w="778" w:type="dxa"/>
            <w:vMerge w:val="continue"/>
            <w:vAlign w:val="center"/>
          </w:tcPr>
          <w:p>
            <w:pPr>
              <w:pStyle w:val="26"/>
              <w:spacing w:line="240" w:lineRule="auto"/>
              <w:rPr>
                <w:kern w:val="2"/>
                <w:szCs w:val="21"/>
                <w:lang w:val="en-US" w:eastAsia="zh-CN"/>
              </w:rPr>
            </w:pP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缺水或水质较差地区原则上不得新建印染项目。水源相对充足地区新建印染项目，地方政府相关部门要科学规划，合理布局，必须在工业园区内集中建设，实行集中供热和污染物的集中处理。缺少环境容量地区，要限制发展印染项目，新建或改扩建项目要与淘汰区域内落后产能相结合。工业园区外企业要逐步搬迁入园，原地改扩建项目，不得增加污染物排放量。</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本项目废水经厂区预处理达标后，进入营田镇污水处理厂集中处理后排放。企业废水和废气排放指标可内部平衡，不增加污染物排放量，技改后，污染物总量减少。</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8" w:type="dxa"/>
            <w:vMerge w:val="restart"/>
            <w:vAlign w:val="center"/>
          </w:tcPr>
          <w:p>
            <w:pPr>
              <w:pStyle w:val="26"/>
              <w:spacing w:line="240" w:lineRule="auto"/>
              <w:rPr>
                <w:kern w:val="2"/>
                <w:szCs w:val="21"/>
                <w:lang w:val="en-US" w:eastAsia="zh-CN"/>
              </w:rPr>
            </w:pPr>
            <w:r>
              <w:rPr>
                <w:rFonts w:hint="eastAsia"/>
                <w:kern w:val="2"/>
                <w:szCs w:val="21"/>
                <w:lang w:val="en-US" w:eastAsia="zh-CN"/>
              </w:rPr>
              <w:t>工艺与装备</w:t>
            </w: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新建或改扩建印染项目要采用先进的工艺技术，采用污染强度小、节能环保的设备，主要设备参数要实现在线检测和自动控制。禁止选用列入《产业结构调整指导目录》限制类、淘汰类的落后生产工艺和设备，限制采用使用年限超过</w:t>
            </w:r>
            <w:r>
              <w:rPr>
                <w:kern w:val="2"/>
                <w:szCs w:val="21"/>
                <w:lang w:val="en-US" w:eastAsia="zh-CN"/>
              </w:rPr>
              <w:t>5</w:t>
            </w:r>
            <w:r>
              <w:rPr>
                <w:rFonts w:hint="eastAsia"/>
                <w:kern w:val="2"/>
                <w:szCs w:val="21"/>
                <w:lang w:val="en-US" w:eastAsia="zh-CN"/>
              </w:rPr>
              <w:t>年以及达不到节能环保要求的二手前处理、染色设备。新建或改扩建印染生产线总体水平要接近或达到国际先进水平；</w:t>
            </w:r>
            <w:r>
              <w:rPr>
                <w:kern w:val="2"/>
                <w:szCs w:val="21"/>
                <w:lang w:val="en-US" w:eastAsia="zh-CN"/>
              </w:rPr>
              <w:t>[</w:t>
            </w:r>
            <w:r>
              <w:rPr>
                <w:rFonts w:hint="eastAsia"/>
                <w:kern w:val="2"/>
                <w:szCs w:val="21"/>
                <w:lang w:val="en-US" w:eastAsia="zh-CN"/>
              </w:rPr>
              <w:t>棉、化纤及混纺机织物印染项目设计建设要执行《印染工厂设计规范》（</w:t>
            </w:r>
            <w:r>
              <w:rPr>
                <w:kern w:val="2"/>
                <w:szCs w:val="21"/>
                <w:lang w:val="en-US" w:eastAsia="zh-CN"/>
              </w:rPr>
              <w:t>GB50426-2007</w:t>
            </w:r>
            <w:r>
              <w:rPr>
                <w:rFonts w:hint="eastAsia"/>
                <w:kern w:val="2"/>
                <w:szCs w:val="21"/>
                <w:lang w:val="en-US" w:eastAsia="zh-CN"/>
              </w:rPr>
              <w:t>）</w:t>
            </w:r>
            <w:r>
              <w:rPr>
                <w:kern w:val="2"/>
                <w:szCs w:val="21"/>
                <w:lang w:val="en-US" w:eastAsia="zh-CN"/>
              </w:rPr>
              <w:t>]</w:t>
            </w:r>
            <w:r>
              <w:rPr>
                <w:rFonts w:hint="eastAsia"/>
                <w:kern w:val="2"/>
                <w:szCs w:val="21"/>
                <w:lang w:val="en-US" w:eastAsia="zh-CN"/>
              </w:rPr>
              <w:t>。</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本项目采用先进的少用水工艺技术，采用污染强度小、节能环保的设备，主要设备参数实现在线检测和自动控制。本项目印染生产线总体水平接近国际先进水平。</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8" w:type="dxa"/>
            <w:vMerge w:val="continue"/>
            <w:vAlign w:val="center"/>
          </w:tcPr>
          <w:p>
            <w:pPr>
              <w:pStyle w:val="26"/>
              <w:spacing w:line="240" w:lineRule="auto"/>
              <w:rPr>
                <w:kern w:val="2"/>
                <w:szCs w:val="21"/>
                <w:lang w:val="en-US" w:eastAsia="zh-CN"/>
              </w:rPr>
            </w:pP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新建或改扩建印染项目应优先选用高效、节能、低耗的连续式处理设备和工艺；连续式水洗装置要求密封性好，并配有逆流、高效漂洗及热能回收装置；间歇式染色设备浴比要能满足</w:t>
            </w:r>
            <w:r>
              <w:rPr>
                <w:kern w:val="2"/>
                <w:szCs w:val="21"/>
                <w:lang w:val="en-US" w:eastAsia="zh-CN"/>
              </w:rPr>
              <w:t>1</w:t>
            </w:r>
            <w:r>
              <w:rPr>
                <w:rFonts w:hint="eastAsia"/>
                <w:kern w:val="2"/>
                <w:szCs w:val="21"/>
                <w:lang w:val="en-US" w:eastAsia="zh-CN"/>
              </w:rPr>
              <w:t>：</w:t>
            </w:r>
            <w:r>
              <w:rPr>
                <w:kern w:val="2"/>
                <w:szCs w:val="21"/>
                <w:lang w:val="en-US" w:eastAsia="zh-CN"/>
              </w:rPr>
              <w:t>8</w:t>
            </w:r>
            <w:r>
              <w:rPr>
                <w:rFonts w:hint="eastAsia"/>
                <w:kern w:val="2"/>
                <w:szCs w:val="21"/>
                <w:lang w:val="en-US" w:eastAsia="zh-CN"/>
              </w:rPr>
              <w:t>以下的工艺要求；拉幅定形设备要具有温度、湿度等主要工艺参数在线测控装置，具有废气净化和余热回收装置，箱体隔热板外表面与环境温差不大于</w:t>
            </w:r>
            <w:r>
              <w:rPr>
                <w:kern w:val="2"/>
                <w:szCs w:val="21"/>
                <w:lang w:val="en-US" w:eastAsia="zh-CN"/>
              </w:rPr>
              <w:t>15</w:t>
            </w:r>
            <w:r>
              <w:rPr>
                <w:rFonts w:hint="eastAsia"/>
                <w:kern w:val="2"/>
                <w:szCs w:val="21"/>
                <w:lang w:val="en-US" w:eastAsia="zh-CN"/>
              </w:rPr>
              <w:t>℃。</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本项目采用了高效、节能、低耗的低浴比染色机，浴比控制在</w:t>
            </w:r>
            <w:r>
              <w:rPr>
                <w:kern w:val="2"/>
                <w:szCs w:val="21"/>
                <w:lang w:val="en-US" w:eastAsia="zh-CN"/>
              </w:rPr>
              <w:t>1:6</w:t>
            </w:r>
            <w:r>
              <w:rPr>
                <w:rFonts w:hint="eastAsia"/>
                <w:kern w:val="2"/>
                <w:szCs w:val="21"/>
                <w:lang w:val="en-US" w:eastAsia="zh-CN"/>
              </w:rPr>
              <w:t>及以下。定型机具有温度、湿度等主要工艺参数在线测控装置，配套废气收集和净化装置，拟安装余热回收装置，箱体外层具有很好的保温性能。</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8" w:type="dxa"/>
            <w:vMerge w:val="continue"/>
            <w:vAlign w:val="center"/>
          </w:tcPr>
          <w:p>
            <w:pPr>
              <w:pStyle w:val="26"/>
              <w:spacing w:line="240" w:lineRule="auto"/>
              <w:rPr>
                <w:kern w:val="2"/>
                <w:szCs w:val="21"/>
                <w:lang w:val="en-US" w:eastAsia="zh-CN"/>
              </w:rPr>
            </w:pP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现有印染企业要加大技术改造力度，逐步淘汰使用年限超过</w:t>
            </w:r>
            <w:r>
              <w:rPr>
                <w:kern w:val="2"/>
                <w:szCs w:val="21"/>
                <w:lang w:val="en-US" w:eastAsia="zh-CN"/>
              </w:rPr>
              <w:t>15</w:t>
            </w:r>
            <w:r>
              <w:rPr>
                <w:rFonts w:hint="eastAsia"/>
                <w:kern w:val="2"/>
                <w:szCs w:val="21"/>
                <w:lang w:val="en-US" w:eastAsia="zh-CN"/>
              </w:rPr>
              <w:t>年的前处理设备、热风拉幅定形设备以及浴比大于</w:t>
            </w:r>
            <w:r>
              <w:rPr>
                <w:kern w:val="2"/>
                <w:szCs w:val="21"/>
                <w:lang w:val="en-US" w:eastAsia="zh-CN"/>
              </w:rPr>
              <w:t>1</w:t>
            </w:r>
            <w:r>
              <w:rPr>
                <w:rFonts w:hint="eastAsia"/>
                <w:kern w:val="2"/>
                <w:szCs w:val="21"/>
                <w:lang w:val="en-US" w:eastAsia="zh-CN"/>
              </w:rPr>
              <w:t>：</w:t>
            </w:r>
            <w:r>
              <w:rPr>
                <w:kern w:val="2"/>
                <w:szCs w:val="21"/>
                <w:lang w:val="en-US" w:eastAsia="zh-CN"/>
              </w:rPr>
              <w:t>10</w:t>
            </w:r>
            <w:r>
              <w:rPr>
                <w:rFonts w:hint="eastAsia"/>
                <w:kern w:val="2"/>
                <w:szCs w:val="21"/>
                <w:lang w:val="en-US" w:eastAsia="zh-CN"/>
              </w:rPr>
              <w:t>的间歇式染色设备，淘汰流程长、能耗高、污染大的落后工艺。支持采用先进技术改造提升现有设备工艺水平，凡有落后生产工艺和设备的企业，必须与淘汰落后结合才可允许改扩建。</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企业调整后无使用年限超过</w:t>
            </w:r>
            <w:r>
              <w:rPr>
                <w:kern w:val="2"/>
                <w:szCs w:val="21"/>
                <w:lang w:val="en-US" w:eastAsia="zh-CN"/>
              </w:rPr>
              <w:t>15</w:t>
            </w:r>
            <w:r>
              <w:rPr>
                <w:rFonts w:hint="eastAsia"/>
                <w:kern w:val="2"/>
                <w:szCs w:val="21"/>
                <w:lang w:val="en-US" w:eastAsia="zh-CN"/>
              </w:rPr>
              <w:t>年的前处理设备、热风拉幅定形设备以及浴比大于</w:t>
            </w:r>
            <w:r>
              <w:rPr>
                <w:kern w:val="2"/>
                <w:szCs w:val="21"/>
                <w:lang w:val="en-US" w:eastAsia="zh-CN"/>
              </w:rPr>
              <w:t>1</w:t>
            </w:r>
            <w:r>
              <w:rPr>
                <w:rFonts w:hint="eastAsia"/>
                <w:kern w:val="2"/>
                <w:szCs w:val="21"/>
                <w:lang w:val="en-US" w:eastAsia="zh-CN"/>
              </w:rPr>
              <w:t>：</w:t>
            </w:r>
            <w:r>
              <w:rPr>
                <w:kern w:val="2"/>
                <w:szCs w:val="21"/>
                <w:lang w:val="en-US" w:eastAsia="zh-CN"/>
              </w:rPr>
              <w:t>10</w:t>
            </w:r>
            <w:r>
              <w:rPr>
                <w:rFonts w:hint="eastAsia"/>
                <w:kern w:val="2"/>
                <w:szCs w:val="21"/>
                <w:lang w:val="en-US" w:eastAsia="zh-CN"/>
              </w:rPr>
              <w:t>的间歇式染色设备，无流程长、能耗高、污染大的落后工艺。</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8" w:type="dxa"/>
            <w:vMerge w:val="restart"/>
            <w:vAlign w:val="center"/>
          </w:tcPr>
          <w:p>
            <w:pPr>
              <w:pStyle w:val="26"/>
              <w:spacing w:line="240" w:lineRule="auto"/>
              <w:rPr>
                <w:kern w:val="2"/>
                <w:szCs w:val="21"/>
                <w:lang w:val="en-US" w:eastAsia="zh-CN"/>
              </w:rPr>
            </w:pPr>
            <w:r>
              <w:rPr>
                <w:rFonts w:hint="eastAsia"/>
                <w:kern w:val="2"/>
                <w:szCs w:val="21"/>
                <w:lang w:val="en-US" w:eastAsia="zh-CN"/>
              </w:rPr>
              <w:t>质量与</w:t>
            </w:r>
          </w:p>
          <w:p>
            <w:pPr>
              <w:pStyle w:val="26"/>
              <w:spacing w:line="240" w:lineRule="auto"/>
              <w:rPr>
                <w:kern w:val="2"/>
                <w:szCs w:val="21"/>
                <w:lang w:val="en-US" w:eastAsia="zh-CN"/>
              </w:rPr>
            </w:pPr>
            <w:r>
              <w:rPr>
                <w:rFonts w:hint="eastAsia"/>
                <w:kern w:val="2"/>
                <w:szCs w:val="21"/>
                <w:lang w:val="en-US" w:eastAsia="zh-CN"/>
              </w:rPr>
              <w:t>管理</w:t>
            </w: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印染企业要开发生产低消耗、低污染、符合市场需求的产品，鼓励采用新技术、新工艺、新设备、新材料开发具有自主知识产权、高附加值的纺织产品。产品质量要符合国家或行业标准要求，产品合格品率达到</w:t>
            </w:r>
            <w:r>
              <w:rPr>
                <w:kern w:val="2"/>
                <w:szCs w:val="21"/>
                <w:lang w:val="en-US" w:eastAsia="zh-CN"/>
              </w:rPr>
              <w:t>95%</w:t>
            </w:r>
            <w:r>
              <w:rPr>
                <w:rFonts w:hint="eastAsia"/>
                <w:kern w:val="2"/>
                <w:szCs w:val="21"/>
                <w:lang w:val="en-US" w:eastAsia="zh-CN"/>
              </w:rPr>
              <w:t>以上。</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企业拟开发生产低消耗、低污染、符合市场需求的印染产品，产品质量符合国家及行业标准要求，产品综合成品率可达到</w:t>
            </w:r>
            <w:r>
              <w:rPr>
                <w:kern w:val="2"/>
                <w:szCs w:val="21"/>
                <w:lang w:val="en-US" w:eastAsia="zh-CN"/>
              </w:rPr>
              <w:t>98%</w:t>
            </w:r>
            <w:r>
              <w:rPr>
                <w:rFonts w:hint="eastAsia"/>
                <w:kern w:val="2"/>
                <w:szCs w:val="21"/>
                <w:lang w:val="en-US" w:eastAsia="zh-CN"/>
              </w:rPr>
              <w:t>以上。</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8" w:type="dxa"/>
            <w:vMerge w:val="continue"/>
            <w:vAlign w:val="center"/>
          </w:tcPr>
          <w:p>
            <w:pPr>
              <w:pStyle w:val="26"/>
              <w:spacing w:line="240" w:lineRule="auto"/>
              <w:rPr>
                <w:kern w:val="2"/>
                <w:szCs w:val="21"/>
                <w:lang w:val="en-US" w:eastAsia="zh-CN"/>
              </w:rPr>
            </w:pP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印染企业应实行三级用能、用水计量管理，设置专门机构或人员对能源、取水、排污情况进行监督，并建立管理考核制度和数据统计系统。</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企业拟实行三级能源、用水计量管理，设置专门的机构或人员对能源、取水、排污情况进行监督，并建立管理考核制度和数据统计系统。</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8" w:type="dxa"/>
            <w:vMerge w:val="continue"/>
            <w:vAlign w:val="center"/>
          </w:tcPr>
          <w:p>
            <w:pPr>
              <w:pStyle w:val="26"/>
              <w:spacing w:line="240" w:lineRule="auto"/>
              <w:rPr>
                <w:kern w:val="2"/>
                <w:szCs w:val="21"/>
                <w:lang w:val="en-US" w:eastAsia="zh-CN"/>
              </w:rPr>
            </w:pP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印染企业要加强管理，健全企业管理制度。鼓励企业进行质量、环境以及职业健康等管理体系认证，支持企业采用信息化管理手段提高企业管理效率和水平。</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企业拟加强内部管理，逐步健全管理制度。</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8" w:type="dxa"/>
            <w:vAlign w:val="center"/>
          </w:tcPr>
          <w:p>
            <w:pPr>
              <w:pStyle w:val="26"/>
              <w:spacing w:line="240" w:lineRule="auto"/>
              <w:rPr>
                <w:kern w:val="2"/>
                <w:szCs w:val="21"/>
                <w:lang w:val="en-US" w:eastAsia="zh-CN"/>
              </w:rPr>
            </w:pPr>
            <w:r>
              <w:rPr>
                <w:rFonts w:hint="eastAsia"/>
                <w:kern w:val="2"/>
                <w:szCs w:val="21"/>
                <w:lang w:val="en-US" w:eastAsia="zh-CN"/>
              </w:rPr>
              <w:t>环境准入指标</w:t>
            </w: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新建或改扩建印染项目单位产品能耗和新鲜水取水量要达到规定要求：纱线、针织物综合能耗≤</w:t>
            </w:r>
            <w:r>
              <w:rPr>
                <w:kern w:val="2"/>
                <w:szCs w:val="21"/>
                <w:lang w:val="en-US" w:eastAsia="zh-CN"/>
              </w:rPr>
              <w:t>1.2</w:t>
            </w:r>
            <w:r>
              <w:rPr>
                <w:rFonts w:hint="eastAsia"/>
                <w:kern w:val="2"/>
                <w:szCs w:val="21"/>
                <w:lang w:val="en-US" w:eastAsia="zh-CN"/>
              </w:rPr>
              <w:t>吨标煤</w:t>
            </w:r>
            <w:r>
              <w:rPr>
                <w:kern w:val="2"/>
                <w:szCs w:val="21"/>
                <w:lang w:val="en-US" w:eastAsia="zh-CN"/>
              </w:rPr>
              <w:t>/</w:t>
            </w:r>
            <w:r>
              <w:rPr>
                <w:rFonts w:hint="eastAsia"/>
                <w:kern w:val="2"/>
                <w:szCs w:val="21"/>
                <w:lang w:val="en-US" w:eastAsia="zh-CN"/>
              </w:rPr>
              <w:t>吨产品，用水≤</w:t>
            </w:r>
            <w:r>
              <w:rPr>
                <w:kern w:val="2"/>
                <w:szCs w:val="21"/>
                <w:lang w:val="en-US" w:eastAsia="zh-CN"/>
              </w:rPr>
              <w:t>100</w:t>
            </w:r>
            <w:r>
              <w:rPr>
                <w:rFonts w:hint="eastAsia"/>
                <w:kern w:val="2"/>
                <w:szCs w:val="21"/>
                <w:lang w:val="en-US" w:eastAsia="zh-CN"/>
              </w:rPr>
              <w:t>吨</w:t>
            </w:r>
            <w:r>
              <w:rPr>
                <w:kern w:val="2"/>
                <w:szCs w:val="21"/>
                <w:lang w:val="en-US" w:eastAsia="zh-CN"/>
              </w:rPr>
              <w:t>/</w:t>
            </w:r>
            <w:r>
              <w:rPr>
                <w:rFonts w:hint="eastAsia"/>
                <w:kern w:val="2"/>
                <w:szCs w:val="21"/>
                <w:lang w:val="en-US" w:eastAsia="zh-CN"/>
              </w:rPr>
              <w:t>吨产品。棉、麻、化纤及混纺机织物综合能耗≤</w:t>
            </w:r>
            <w:r>
              <w:rPr>
                <w:kern w:val="2"/>
                <w:szCs w:val="21"/>
                <w:lang w:val="en-US" w:eastAsia="zh-CN"/>
              </w:rPr>
              <w:t>35</w:t>
            </w:r>
            <w:r>
              <w:rPr>
                <w:rFonts w:hint="eastAsia"/>
                <w:kern w:val="2"/>
                <w:szCs w:val="21"/>
                <w:lang w:val="en-US" w:eastAsia="zh-CN"/>
              </w:rPr>
              <w:t>公斤标煤</w:t>
            </w:r>
            <w:r>
              <w:rPr>
                <w:kern w:val="2"/>
                <w:szCs w:val="21"/>
                <w:lang w:val="en-US" w:eastAsia="zh-CN"/>
              </w:rPr>
              <w:t>/</w:t>
            </w:r>
            <w:r>
              <w:rPr>
                <w:rFonts w:hint="eastAsia"/>
                <w:kern w:val="2"/>
                <w:szCs w:val="21"/>
                <w:lang w:val="en-US" w:eastAsia="zh-CN"/>
              </w:rPr>
              <w:t>百米产品，新鲜水取水≤</w:t>
            </w:r>
            <w:r>
              <w:rPr>
                <w:kern w:val="2"/>
                <w:szCs w:val="21"/>
                <w:lang w:val="en-US" w:eastAsia="zh-CN"/>
              </w:rPr>
              <w:t>2</w:t>
            </w:r>
            <w:r>
              <w:rPr>
                <w:rFonts w:hint="eastAsia"/>
                <w:kern w:val="2"/>
                <w:szCs w:val="21"/>
                <w:lang w:val="en-US" w:eastAsia="zh-CN"/>
              </w:rPr>
              <w:t>吨</w:t>
            </w:r>
            <w:r>
              <w:rPr>
                <w:kern w:val="2"/>
                <w:szCs w:val="21"/>
                <w:lang w:val="en-US" w:eastAsia="zh-CN"/>
              </w:rPr>
              <w:t>/</w:t>
            </w:r>
            <w:r>
              <w:rPr>
                <w:rFonts w:hint="eastAsia"/>
                <w:kern w:val="2"/>
                <w:szCs w:val="21"/>
                <w:lang w:val="en-US" w:eastAsia="zh-CN"/>
              </w:rPr>
              <w:t>百米产品。</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技改后企业化纤及混纺机织物综合能耗</w:t>
            </w:r>
            <w:r>
              <w:rPr>
                <w:kern w:val="2"/>
                <w:szCs w:val="21"/>
                <w:lang w:val="en-US" w:eastAsia="zh-CN"/>
              </w:rPr>
              <w:t>21.16</w:t>
            </w:r>
            <w:r>
              <w:rPr>
                <w:rFonts w:hint="eastAsia"/>
                <w:kern w:val="2"/>
                <w:szCs w:val="21"/>
                <w:lang w:val="en-US" w:eastAsia="zh-CN"/>
              </w:rPr>
              <w:t>公斤标煤</w:t>
            </w:r>
            <w:r>
              <w:rPr>
                <w:kern w:val="2"/>
                <w:szCs w:val="21"/>
                <w:lang w:val="en-US" w:eastAsia="zh-CN"/>
              </w:rPr>
              <w:t>/</w:t>
            </w:r>
            <w:r>
              <w:rPr>
                <w:rFonts w:hint="eastAsia"/>
                <w:kern w:val="2"/>
                <w:szCs w:val="21"/>
                <w:lang w:val="en-US" w:eastAsia="zh-CN"/>
              </w:rPr>
              <w:t>百米产品，新鲜水取水1.18吨</w:t>
            </w:r>
            <w:r>
              <w:rPr>
                <w:kern w:val="2"/>
                <w:szCs w:val="21"/>
                <w:lang w:val="en-US" w:eastAsia="zh-CN"/>
              </w:rPr>
              <w:t>/</w:t>
            </w:r>
            <w:r>
              <w:rPr>
                <w:rFonts w:hint="eastAsia"/>
                <w:kern w:val="2"/>
                <w:szCs w:val="21"/>
                <w:lang w:val="en-US" w:eastAsia="zh-CN"/>
              </w:rPr>
              <w:t>百米产品。</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8" w:type="dxa"/>
            <w:vMerge w:val="restart"/>
            <w:vAlign w:val="center"/>
          </w:tcPr>
          <w:p>
            <w:pPr>
              <w:pStyle w:val="26"/>
              <w:spacing w:line="240" w:lineRule="auto"/>
              <w:rPr>
                <w:kern w:val="2"/>
                <w:szCs w:val="21"/>
                <w:lang w:val="en-US" w:eastAsia="zh-CN"/>
              </w:rPr>
            </w:pPr>
            <w:r>
              <w:rPr>
                <w:rFonts w:hint="eastAsia"/>
                <w:kern w:val="2"/>
                <w:szCs w:val="21"/>
                <w:lang w:val="en-US" w:eastAsia="zh-CN"/>
              </w:rPr>
              <w:t>环境保护与资源综合利用</w:t>
            </w: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新建或改扩建印染项目环保设施要按照《纺织工业企业环保设计规范》（</w:t>
            </w:r>
            <w:r>
              <w:rPr>
                <w:kern w:val="2"/>
                <w:szCs w:val="21"/>
                <w:lang w:val="en-US" w:eastAsia="zh-CN"/>
              </w:rPr>
              <w:t>GB50425-2007</w:t>
            </w:r>
            <w:r>
              <w:rPr>
                <w:rFonts w:hint="eastAsia"/>
                <w:kern w:val="2"/>
                <w:szCs w:val="21"/>
                <w:lang w:val="en-US" w:eastAsia="zh-CN"/>
              </w:rPr>
              <w:t>）的要求进行设计和建设，执行环保设施与主体工程同时设计、同时施工、同时投产的“三同时”制度。印染废水原则上应自行处理或接入集中工业废水处理设施，不得接入城镇污水处理系统，确需接入城镇污水处理系统的，须报经城镇污水处理行业主管部门充分论证，领取《城市排水许可证》后方可接入。</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技改后，企业印染废水经处理达标间接排放标准后送营田镇污水处理厂进一步处理。本项目严格执行环保设施与主体工程同时设计、同时施工、同时投产的“三同时”制度。</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8" w:type="dxa"/>
            <w:vMerge w:val="continue"/>
            <w:vAlign w:val="center"/>
          </w:tcPr>
          <w:p>
            <w:pPr>
              <w:pStyle w:val="26"/>
              <w:spacing w:line="240" w:lineRule="auto"/>
              <w:rPr>
                <w:kern w:val="2"/>
                <w:szCs w:val="21"/>
                <w:lang w:val="en-US" w:eastAsia="zh-CN"/>
              </w:rPr>
            </w:pP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现有印染企业要具备废水、固体废弃物处理条件，加强废水处理及运行中的水质分析和监控，对废水及固体废弃物进行综合治理，废水排放实行在线监控。废水处理设施不能正常运行和废水排放不达标的企业，经有关部门限期技改仍不能达标的，不得继续从事生产活动。</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企业建有污水处理站。对固废进行综合治理并妥善处置。</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8" w:type="dxa"/>
            <w:vMerge w:val="continue"/>
            <w:vAlign w:val="center"/>
          </w:tcPr>
          <w:p>
            <w:pPr>
              <w:pStyle w:val="26"/>
              <w:spacing w:line="240" w:lineRule="auto"/>
              <w:rPr>
                <w:kern w:val="2"/>
                <w:szCs w:val="21"/>
                <w:lang w:val="en-US" w:eastAsia="zh-CN"/>
              </w:rPr>
            </w:pP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印染企业要按照环境友好和资源综合利用的原则，选择可生物降解（或易回收）浆料的坯布；使用生态环保型、高上染率染化料和高性能助剂；完善冷却水、冷凝水及余热回收装置；丝光工艺必须配置碱液自动控制和淡碱回收装置；实行生产排水清浊分流、分质处理、分质回用，水重复利用率要达到</w:t>
            </w:r>
            <w:r>
              <w:rPr>
                <w:kern w:val="2"/>
                <w:szCs w:val="21"/>
                <w:lang w:val="en-US" w:eastAsia="zh-CN"/>
              </w:rPr>
              <w:t>35%</w:t>
            </w:r>
            <w:r>
              <w:rPr>
                <w:rFonts w:hint="eastAsia"/>
                <w:kern w:val="2"/>
                <w:szCs w:val="21"/>
                <w:lang w:val="en-US" w:eastAsia="zh-CN"/>
              </w:rPr>
              <w:t>以上。</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企业选用可生物降解浆料的坯布，使用高上染率染化料和高性能助剂；冷却水经收集后全部回用，实行生产排水清浊分流、分质回用，水重复利用率可达到67.2</w:t>
            </w:r>
            <w:r>
              <w:rPr>
                <w:kern w:val="2"/>
                <w:szCs w:val="21"/>
                <w:lang w:val="en-US" w:eastAsia="zh-CN"/>
              </w:rPr>
              <w:t>%</w:t>
            </w:r>
            <w:r>
              <w:rPr>
                <w:rFonts w:hint="eastAsia"/>
                <w:kern w:val="2"/>
                <w:szCs w:val="21"/>
                <w:lang w:val="en-US" w:eastAsia="zh-CN"/>
              </w:rPr>
              <w:t>。</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8" w:type="dxa"/>
            <w:vMerge w:val="continue"/>
            <w:vAlign w:val="center"/>
          </w:tcPr>
          <w:p>
            <w:pPr>
              <w:pStyle w:val="26"/>
              <w:spacing w:line="240" w:lineRule="auto"/>
              <w:rPr>
                <w:kern w:val="2"/>
                <w:szCs w:val="21"/>
                <w:lang w:val="en-US" w:eastAsia="zh-CN"/>
              </w:rPr>
            </w:pPr>
          </w:p>
        </w:tc>
        <w:tc>
          <w:tcPr>
            <w:tcW w:w="4404" w:type="dxa"/>
            <w:vAlign w:val="center"/>
          </w:tcPr>
          <w:p>
            <w:pPr>
              <w:pStyle w:val="26"/>
              <w:spacing w:line="240" w:lineRule="auto"/>
              <w:rPr>
                <w:kern w:val="2"/>
                <w:szCs w:val="21"/>
                <w:lang w:val="en-US" w:eastAsia="zh-CN"/>
              </w:rPr>
            </w:pPr>
            <w:r>
              <w:rPr>
                <w:rFonts w:hint="eastAsia"/>
                <w:kern w:val="2"/>
                <w:szCs w:val="21"/>
                <w:lang w:val="en-US" w:eastAsia="zh-CN"/>
              </w:rPr>
              <w:t>印染企业要采用可持续发展的清洁生产技术，提高资源利用效率，从生产的源头控制污染物产生量。印染企业要依法定期实施清洁生产审核，按照有关规定开展能源审计，不断提高企业清洁生产水平。</w:t>
            </w:r>
          </w:p>
        </w:tc>
        <w:tc>
          <w:tcPr>
            <w:tcW w:w="3390" w:type="dxa"/>
            <w:vAlign w:val="center"/>
          </w:tcPr>
          <w:p>
            <w:pPr>
              <w:pStyle w:val="26"/>
              <w:spacing w:line="240" w:lineRule="auto"/>
              <w:rPr>
                <w:kern w:val="2"/>
                <w:szCs w:val="21"/>
                <w:lang w:val="en-US" w:eastAsia="zh-CN"/>
              </w:rPr>
            </w:pPr>
            <w:r>
              <w:rPr>
                <w:rFonts w:hint="eastAsia"/>
                <w:kern w:val="2"/>
                <w:szCs w:val="21"/>
                <w:lang w:val="en-US" w:eastAsia="zh-CN"/>
              </w:rPr>
              <w:t>企业拟采用可持续发展的清洁生产技术，提高资源利用效率，从生产的源头控制污染物产生量。依法定期实施清洁生产审核，并按照有关规定开展能源审计。</w:t>
            </w:r>
          </w:p>
        </w:tc>
        <w:tc>
          <w:tcPr>
            <w:tcW w:w="929" w:type="dxa"/>
            <w:vAlign w:val="center"/>
          </w:tcPr>
          <w:p>
            <w:pPr>
              <w:pStyle w:val="26"/>
              <w:spacing w:line="240" w:lineRule="auto"/>
              <w:rPr>
                <w:kern w:val="2"/>
                <w:szCs w:val="21"/>
                <w:lang w:val="en-US" w:eastAsia="zh-CN"/>
              </w:rPr>
            </w:pPr>
            <w:r>
              <w:rPr>
                <w:rFonts w:hint="eastAsia"/>
                <w:kern w:val="2"/>
                <w:szCs w:val="21"/>
                <w:lang w:val="en-US" w:eastAsia="zh-CN"/>
              </w:rPr>
              <w:t>符合</w:t>
            </w:r>
          </w:p>
        </w:tc>
      </w:tr>
    </w:tbl>
    <w:p>
      <w:pPr>
        <w:pStyle w:val="3"/>
        <w:rPr>
          <w:rFonts w:hint="eastAsia"/>
        </w:rPr>
      </w:pPr>
      <w:bookmarkStart w:id="128" w:name="_Toc4010"/>
      <w:r>
        <w:rPr>
          <w:rFonts w:hint="eastAsia"/>
        </w:rPr>
        <w:t>与《水污染防治行动计划》相关要求相符性分析</w:t>
      </w:r>
    </w:p>
    <w:p>
      <w:pPr>
        <w:ind w:firstLine="480"/>
        <w:rPr>
          <w:rFonts w:hint="eastAsia"/>
        </w:rPr>
      </w:pPr>
      <w:r>
        <w:rPr>
          <w:rFonts w:hint="eastAsia"/>
        </w:rPr>
        <w:t>本技改项目对照</w:t>
      </w:r>
      <w:r>
        <w:rPr>
          <w:rFonts w:hint="eastAsia"/>
          <w:u w:val="single"/>
        </w:rPr>
        <w:t>《国务院关于印发水污染防治行动计划的通知》国发[2015]17号</w:t>
      </w:r>
      <w:r>
        <w:rPr>
          <w:rFonts w:hint="eastAsia"/>
          <w:u w:val="single"/>
          <w:lang w:eastAsia="zh-CN"/>
        </w:rPr>
        <w:t>、</w:t>
      </w:r>
      <w:r>
        <w:rPr>
          <w:rFonts w:hint="eastAsia"/>
        </w:rPr>
        <w:t>湖南省贯彻落实&lt;水污染防治行动计划&gt;实施方案（2016-2020年）》进行了具体分析，具体</w:t>
      </w:r>
      <w:r>
        <w:rPr>
          <w:rFonts w:hint="eastAsia"/>
          <w:lang w:eastAsia="zh-CN"/>
        </w:rPr>
        <w:t>见</w:t>
      </w:r>
      <w:r>
        <w:rPr>
          <w:rFonts w:hint="eastAsia"/>
        </w:rPr>
        <w:t>表</w:t>
      </w:r>
      <w:r>
        <w:t>1</w:t>
      </w:r>
      <w:r>
        <w:rPr>
          <w:rFonts w:hint="eastAsia"/>
        </w:rPr>
        <w:t>2</w:t>
      </w:r>
      <w:r>
        <w:t>.</w:t>
      </w:r>
      <w:r>
        <w:rPr>
          <w:rFonts w:hint="eastAsia"/>
          <w:lang w:val="en-US" w:eastAsia="zh-CN"/>
        </w:rPr>
        <w:t>3</w:t>
      </w:r>
      <w:r>
        <w:t>-1</w:t>
      </w:r>
      <w:r>
        <w:rPr>
          <w:rFonts w:hint="eastAsia"/>
        </w:rPr>
        <w:t>。</w:t>
      </w:r>
    </w:p>
    <w:p>
      <w:pPr>
        <w:pStyle w:val="26"/>
        <w:rPr>
          <w:rFonts w:hint="eastAsia"/>
        </w:rPr>
      </w:pPr>
      <w:r>
        <w:rPr>
          <w:rFonts w:hint="eastAsia"/>
        </w:rPr>
        <w:t>表</w:t>
      </w:r>
      <w:r>
        <w:t>1</w:t>
      </w:r>
      <w:r>
        <w:rPr>
          <w:rFonts w:hint="eastAsia"/>
        </w:rPr>
        <w:t>2</w:t>
      </w:r>
      <w:r>
        <w:t>.</w:t>
      </w:r>
      <w:r>
        <w:rPr>
          <w:rFonts w:hint="eastAsia"/>
          <w:lang w:val="en-US" w:eastAsia="zh-CN"/>
        </w:rPr>
        <w:t>3</w:t>
      </w:r>
      <w:r>
        <w:t xml:space="preserve">-1    </w:t>
      </w:r>
      <w:r>
        <w:rPr>
          <w:rFonts w:hint="eastAsia"/>
        </w:rPr>
        <w:t>水污染防治行动计划符合性分析</w:t>
      </w:r>
    </w:p>
    <w:tbl>
      <w:tblPr>
        <w:tblStyle w:val="24"/>
        <w:tblW w:w="9945" w:type="dxa"/>
        <w:tblInd w:w="-4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710"/>
        <w:gridCol w:w="3585"/>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vAlign w:val="center"/>
          </w:tcPr>
          <w:p>
            <w:pPr>
              <w:pStyle w:val="26"/>
              <w:spacing w:line="240" w:lineRule="auto"/>
              <w:jc w:val="center"/>
              <w:rPr>
                <w:rFonts w:hint="eastAsia" w:eastAsia="宋体"/>
                <w:u w:val="single"/>
                <w:vertAlign w:val="baseline"/>
                <w:lang w:eastAsia="zh-CN"/>
              </w:rPr>
            </w:pPr>
            <w:r>
              <w:rPr>
                <w:rFonts w:hint="eastAsia"/>
                <w:u w:val="single"/>
                <w:lang w:eastAsia="zh-CN"/>
              </w:rPr>
              <w:t>序号</w:t>
            </w:r>
          </w:p>
        </w:tc>
        <w:tc>
          <w:tcPr>
            <w:tcW w:w="4710" w:type="dxa"/>
            <w:vAlign w:val="center"/>
          </w:tcPr>
          <w:p>
            <w:pPr>
              <w:pStyle w:val="26"/>
              <w:spacing w:line="240" w:lineRule="auto"/>
              <w:jc w:val="center"/>
              <w:rPr>
                <w:rFonts w:hint="eastAsia" w:eastAsia="宋体"/>
                <w:u w:val="single"/>
                <w:vertAlign w:val="baseline"/>
                <w:lang w:eastAsia="zh-CN"/>
              </w:rPr>
            </w:pPr>
            <w:r>
              <w:rPr>
                <w:rFonts w:hint="eastAsia"/>
                <w:u w:val="single"/>
                <w:vertAlign w:val="baseline"/>
                <w:lang w:eastAsia="zh-CN"/>
              </w:rPr>
              <w:t>水污染防治行动计划</w:t>
            </w:r>
          </w:p>
        </w:tc>
        <w:tc>
          <w:tcPr>
            <w:tcW w:w="3585" w:type="dxa"/>
            <w:vAlign w:val="center"/>
          </w:tcPr>
          <w:p>
            <w:pPr>
              <w:pStyle w:val="26"/>
              <w:spacing w:line="240" w:lineRule="auto"/>
              <w:jc w:val="center"/>
              <w:rPr>
                <w:rFonts w:hint="eastAsia" w:eastAsia="宋体"/>
                <w:u w:val="single"/>
                <w:vertAlign w:val="baseline"/>
                <w:lang w:eastAsia="zh-CN"/>
              </w:rPr>
            </w:pPr>
            <w:r>
              <w:rPr>
                <w:rFonts w:hint="eastAsia"/>
                <w:u w:val="single"/>
                <w:vertAlign w:val="baseline"/>
                <w:lang w:eastAsia="zh-CN"/>
              </w:rPr>
              <w:t>本项目</w:t>
            </w:r>
          </w:p>
        </w:tc>
        <w:tc>
          <w:tcPr>
            <w:tcW w:w="870" w:type="dxa"/>
            <w:vAlign w:val="center"/>
          </w:tcPr>
          <w:p>
            <w:pPr>
              <w:pStyle w:val="26"/>
              <w:spacing w:line="240" w:lineRule="auto"/>
              <w:jc w:val="center"/>
              <w:rPr>
                <w:rFonts w:hint="eastAsia" w:eastAsia="宋体"/>
                <w:u w:val="single"/>
                <w:vertAlign w:val="baseline"/>
                <w:lang w:eastAsia="zh-CN"/>
              </w:rPr>
            </w:pPr>
            <w:r>
              <w:rPr>
                <w:rFonts w:hint="eastAsia"/>
                <w:u w:val="single"/>
                <w:vertAlign w:val="baseline"/>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vAlign w:val="center"/>
          </w:tcPr>
          <w:p>
            <w:pPr>
              <w:pStyle w:val="26"/>
              <w:spacing w:line="240" w:lineRule="auto"/>
              <w:jc w:val="center"/>
              <w:rPr>
                <w:rFonts w:hint="eastAsia" w:eastAsia="宋体"/>
                <w:u w:val="single"/>
                <w:vertAlign w:val="baseline"/>
                <w:lang w:val="en-US" w:eastAsia="zh-CN"/>
              </w:rPr>
            </w:pPr>
            <w:r>
              <w:rPr>
                <w:rFonts w:hint="eastAsia"/>
                <w:u w:val="single"/>
                <w:vertAlign w:val="baseline"/>
                <w:lang w:val="en-US" w:eastAsia="zh-CN"/>
              </w:rPr>
              <w:t>1</w:t>
            </w:r>
          </w:p>
        </w:tc>
        <w:tc>
          <w:tcPr>
            <w:tcW w:w="4710" w:type="dxa"/>
            <w:vAlign w:val="center"/>
          </w:tcPr>
          <w:p>
            <w:pPr>
              <w:pStyle w:val="26"/>
              <w:spacing w:line="240" w:lineRule="auto"/>
              <w:jc w:val="center"/>
              <w:rPr>
                <w:rFonts w:hint="eastAsia"/>
                <w:u w:val="single"/>
                <w:vertAlign w:val="baseline"/>
              </w:rPr>
            </w:pPr>
            <w:r>
              <w:rPr>
                <w:u w:val="single"/>
              </w:rPr>
              <w:t>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r>
              <w:rPr>
                <w:rFonts w:hint="eastAsia"/>
                <w:u w:val="single"/>
              </w:rPr>
              <w:t>取缔不符合国家产业政策的小型印染严重污染水环境的生产项目</w:t>
            </w:r>
          </w:p>
        </w:tc>
        <w:tc>
          <w:tcPr>
            <w:tcW w:w="3585" w:type="dxa"/>
            <w:vAlign w:val="center"/>
          </w:tcPr>
          <w:p>
            <w:pPr>
              <w:pStyle w:val="26"/>
              <w:spacing w:line="240" w:lineRule="auto"/>
              <w:jc w:val="center"/>
              <w:rPr>
                <w:rFonts w:hint="eastAsia" w:eastAsia="宋体"/>
                <w:u w:val="single"/>
                <w:vertAlign w:val="baseline"/>
                <w:lang w:eastAsia="zh-CN"/>
              </w:rPr>
            </w:pPr>
            <w:r>
              <w:rPr>
                <w:rFonts w:hint="eastAsia"/>
                <w:u w:val="single"/>
                <w:vertAlign w:val="baseline"/>
                <w:lang w:eastAsia="zh-CN"/>
              </w:rPr>
              <w:t>本项目技改后，属于</w:t>
            </w:r>
            <w:r>
              <w:rPr>
                <w:rFonts w:hint="eastAsia"/>
                <w:u w:val="single"/>
              </w:rPr>
              <w:t>《产业结构调整指导目录</w:t>
            </w:r>
            <w:r>
              <w:rPr>
                <w:u w:val="single"/>
              </w:rPr>
              <w:t>(2011</w:t>
            </w:r>
            <w:r>
              <w:rPr>
                <w:rFonts w:hint="eastAsia"/>
                <w:u w:val="single"/>
              </w:rPr>
              <w:t>年本</w:t>
            </w:r>
            <w:r>
              <w:rPr>
                <w:u w:val="single"/>
              </w:rPr>
              <w:t>)</w:t>
            </w:r>
            <w:r>
              <w:rPr>
                <w:rFonts w:hint="eastAsia"/>
                <w:u w:val="single"/>
              </w:rPr>
              <w:t>》</w:t>
            </w:r>
            <w:r>
              <w:rPr>
                <w:u w:val="single"/>
              </w:rPr>
              <w:t>(2013</w:t>
            </w:r>
            <w:r>
              <w:rPr>
                <w:rFonts w:hint="eastAsia"/>
                <w:u w:val="single"/>
              </w:rPr>
              <w:t>年修正</w:t>
            </w:r>
            <w:r>
              <w:rPr>
                <w:u w:val="single"/>
              </w:rPr>
              <w:t>)</w:t>
            </w:r>
            <w:r>
              <w:rPr>
                <w:rFonts w:hint="eastAsia"/>
                <w:u w:val="single"/>
              </w:rPr>
              <w:t>中为“第一类鼓励类；二十、纺织；</w:t>
            </w:r>
            <w:r>
              <w:rPr>
                <w:u w:val="single"/>
              </w:rPr>
              <w:t>8.</w:t>
            </w:r>
            <w:r>
              <w:rPr>
                <w:rFonts w:hint="eastAsia"/>
                <w:u w:val="single"/>
              </w:rPr>
              <w:t>采用酶处理、高效短流程前处理、冷轧堆前处理及染色、短流程湿蒸轧染、</w:t>
            </w:r>
            <w:r>
              <w:rPr>
                <w:rFonts w:hint="eastAsia"/>
                <w:b/>
                <w:bCs/>
                <w:u w:val="single"/>
              </w:rPr>
              <w:t>气流染色、小浴比染色</w:t>
            </w:r>
            <w:r>
              <w:rPr>
                <w:rFonts w:hint="eastAsia"/>
                <w:u w:val="single"/>
              </w:rPr>
              <w:t>、涂料印染、数码喷墨印花、泡沫整理等染整清洁生产技术和防水防油防污、阻燃、抗净电及多功能复合等功能性整理技术生产高档纺织面料</w:t>
            </w:r>
            <w:r>
              <w:rPr>
                <w:rFonts w:hint="eastAsia"/>
                <w:u w:val="single"/>
                <w:lang w:eastAsia="zh-CN"/>
              </w:rPr>
              <w:t>”</w:t>
            </w:r>
          </w:p>
        </w:tc>
        <w:tc>
          <w:tcPr>
            <w:tcW w:w="870" w:type="dxa"/>
            <w:vAlign w:val="center"/>
          </w:tcPr>
          <w:p>
            <w:pPr>
              <w:pStyle w:val="26"/>
              <w:spacing w:line="240" w:lineRule="auto"/>
              <w:jc w:val="center"/>
              <w:rPr>
                <w:rFonts w:hint="eastAsia"/>
                <w:u w:val="single"/>
                <w:vertAlign w:val="baseline"/>
                <w:lang w:eastAsia="zh-CN"/>
              </w:rPr>
            </w:pPr>
            <w:r>
              <w:rPr>
                <w:rFonts w:hint="eastAsia"/>
                <w:u w:val="single"/>
                <w:vertAlign w:val="baseline"/>
                <w:lang w:eastAsia="zh-CN"/>
              </w:rPr>
              <w:t>符合</w:t>
            </w:r>
          </w:p>
          <w:p>
            <w:pPr>
              <w:pStyle w:val="26"/>
              <w:spacing w:line="240" w:lineRule="auto"/>
              <w:jc w:val="center"/>
              <w:rPr>
                <w:rFonts w:hint="eastAsia" w:eastAsia="宋体"/>
                <w:u w:val="single"/>
                <w:vertAlign w:val="baseline"/>
                <w:lang w:eastAsia="zh-CN"/>
              </w:rPr>
            </w:pPr>
            <w:r>
              <w:rPr>
                <w:rFonts w:hint="eastAsia"/>
                <w:u w:val="single"/>
                <w:vertAlign w:val="baseline"/>
                <w:lang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vAlign w:val="center"/>
          </w:tcPr>
          <w:p>
            <w:pPr>
              <w:pStyle w:val="26"/>
              <w:spacing w:line="240" w:lineRule="auto"/>
              <w:jc w:val="center"/>
              <w:rPr>
                <w:rFonts w:hint="eastAsia" w:eastAsia="宋体"/>
                <w:u w:val="single"/>
                <w:vertAlign w:val="baseline"/>
                <w:lang w:val="en-US" w:eastAsia="zh-CN"/>
              </w:rPr>
            </w:pPr>
            <w:r>
              <w:rPr>
                <w:rFonts w:hint="eastAsia"/>
                <w:u w:val="single"/>
                <w:vertAlign w:val="baseline"/>
                <w:lang w:val="en-US" w:eastAsia="zh-CN"/>
              </w:rPr>
              <w:t>2</w:t>
            </w:r>
          </w:p>
        </w:tc>
        <w:tc>
          <w:tcPr>
            <w:tcW w:w="4710" w:type="dxa"/>
            <w:vAlign w:val="center"/>
          </w:tcPr>
          <w:p>
            <w:pPr>
              <w:pStyle w:val="26"/>
              <w:spacing w:line="240" w:lineRule="auto"/>
              <w:jc w:val="center"/>
              <w:rPr>
                <w:rFonts w:hint="eastAsia"/>
                <w:u w:val="single"/>
                <w:vertAlign w:val="baseline"/>
              </w:rPr>
            </w:pPr>
            <w:r>
              <w:rPr>
                <w:u w:val="single"/>
              </w:rPr>
              <w:t>专项整治十大重点行业。制定造纸、焦化、氮肥、有色金属、印染、农副食品加工、原料药制造、制革、农药、电镀等行业专项治理方案，实施清洁化改造。新建、改建、扩建上述行业建设项目实行主要污染物排放等量或减量置换。2017年底前，造纸行业力争完成纸浆无元素氯漂白改造或采取其他低污染制浆技术，钢铁企业焦炉完成干熄焦技术改造，氮肥行业尿素生产完成工艺冷凝液水解解析技术改造，印染行业实施低排水染整工艺改造，制药（抗生素、维生素）行业实施绿色酶法生产技术改造，制革行业实施铬减量化和封闭循环利用技术改造</w:t>
            </w:r>
            <w:r>
              <w:rPr>
                <w:rFonts w:hint="eastAsia"/>
                <w:u w:val="single"/>
              </w:rPr>
              <w:t>；</w:t>
            </w:r>
          </w:p>
        </w:tc>
        <w:tc>
          <w:tcPr>
            <w:tcW w:w="3585" w:type="dxa"/>
            <w:vAlign w:val="center"/>
          </w:tcPr>
          <w:p>
            <w:pPr>
              <w:pStyle w:val="26"/>
              <w:spacing w:line="240" w:lineRule="auto"/>
              <w:jc w:val="center"/>
              <w:rPr>
                <w:rFonts w:hint="eastAsia"/>
                <w:u w:val="single"/>
                <w:lang w:eastAsia="zh-CN"/>
              </w:rPr>
            </w:pPr>
            <w:r>
              <w:rPr>
                <w:rFonts w:hint="eastAsia"/>
                <w:u w:val="single"/>
                <w:vertAlign w:val="baseline"/>
                <w:lang w:eastAsia="zh-CN"/>
              </w:rPr>
              <w:t>本项目技改后，</w:t>
            </w:r>
            <w:r>
              <w:rPr>
                <w:rFonts w:hint="eastAsia"/>
                <w:u w:val="single"/>
              </w:rPr>
              <w:t>颗粒物、二氧化硫、氮氧化物分别削减了8.871t/a、6.083t/a、8.026t/a</w:t>
            </w:r>
            <w:r>
              <w:rPr>
                <w:rFonts w:hint="eastAsia"/>
                <w:u w:val="single"/>
                <w:lang w:eastAsia="zh-CN"/>
              </w:rPr>
              <w:t>；</w:t>
            </w:r>
            <w:r>
              <w:rPr>
                <w:rFonts w:hint="eastAsia"/>
                <w:u w:val="single"/>
              </w:rPr>
              <w:t>COD、氨氮</w:t>
            </w:r>
            <w:r>
              <w:rPr>
                <w:rFonts w:hint="eastAsia"/>
                <w:u w:val="single"/>
                <w:lang w:eastAsia="zh-CN"/>
              </w:rPr>
              <w:t>排入环境的量分别减少了</w:t>
            </w:r>
            <w:r>
              <w:rPr>
                <w:rFonts w:hint="eastAsia"/>
                <w:u w:val="single"/>
                <w:lang w:val="en-US" w:eastAsia="zh-CN"/>
              </w:rPr>
              <w:t>47.981t/a、2.712t/a；</w:t>
            </w:r>
            <w:r>
              <w:rPr>
                <w:u w:val="single"/>
              </w:rPr>
              <w:t>实行主要污染物排放等量或减量置换</w:t>
            </w:r>
            <w:r>
              <w:rPr>
                <w:rFonts w:hint="eastAsia"/>
                <w:u w:val="single"/>
                <w:lang w:eastAsia="zh-CN"/>
              </w:rPr>
              <w:t>。</w:t>
            </w:r>
          </w:p>
          <w:p>
            <w:pPr>
              <w:pStyle w:val="26"/>
              <w:spacing w:line="240" w:lineRule="auto"/>
              <w:jc w:val="center"/>
              <w:rPr>
                <w:rFonts w:hint="eastAsia"/>
                <w:u w:val="single"/>
                <w:lang w:eastAsia="zh-CN"/>
              </w:rPr>
            </w:pPr>
            <w:r>
              <w:rPr>
                <w:rFonts w:hint="eastAsia"/>
                <w:u w:val="single"/>
                <w:lang w:eastAsia="zh-CN"/>
              </w:rPr>
              <w:t>本项目技改后，</w:t>
            </w:r>
            <w:r>
              <w:rPr>
                <w:rFonts w:hint="eastAsia"/>
                <w:kern w:val="2"/>
                <w:szCs w:val="21"/>
                <w:u w:val="single"/>
                <w:lang w:val="en-US" w:eastAsia="zh-CN"/>
              </w:rPr>
              <w:t>单位产品排水量为33.46吨水</w:t>
            </w:r>
            <w:r>
              <w:rPr>
                <w:kern w:val="2"/>
                <w:szCs w:val="21"/>
                <w:u w:val="single"/>
                <w:lang w:val="en-US" w:eastAsia="zh-CN"/>
              </w:rPr>
              <w:t>/</w:t>
            </w:r>
            <w:r>
              <w:rPr>
                <w:rFonts w:hint="eastAsia"/>
                <w:kern w:val="2"/>
                <w:szCs w:val="21"/>
                <w:u w:val="single"/>
                <w:lang w:val="en-US" w:eastAsia="zh-CN"/>
              </w:rPr>
              <w:t>吨，满足印染行业实施低排水染整工艺改造。</w:t>
            </w:r>
          </w:p>
        </w:tc>
        <w:tc>
          <w:tcPr>
            <w:tcW w:w="870" w:type="dxa"/>
            <w:vAlign w:val="center"/>
          </w:tcPr>
          <w:p>
            <w:pPr>
              <w:pStyle w:val="26"/>
              <w:spacing w:line="240" w:lineRule="auto"/>
              <w:jc w:val="center"/>
              <w:rPr>
                <w:rFonts w:hint="eastAsia"/>
                <w:u w:val="single"/>
                <w:vertAlign w:val="baseline"/>
                <w:lang w:eastAsia="zh-CN"/>
              </w:rPr>
            </w:pPr>
            <w:r>
              <w:rPr>
                <w:rFonts w:hint="eastAsia"/>
                <w:u w:val="single"/>
                <w:vertAlign w:val="baseline"/>
                <w:lang w:eastAsia="zh-CN"/>
              </w:rPr>
              <w:t>符合</w:t>
            </w:r>
          </w:p>
          <w:p>
            <w:pPr>
              <w:pStyle w:val="26"/>
              <w:spacing w:line="240" w:lineRule="auto"/>
              <w:jc w:val="center"/>
              <w:rPr>
                <w:rFonts w:hint="eastAsia"/>
                <w:u w:val="single"/>
                <w:vertAlign w:val="baseline"/>
              </w:rPr>
            </w:pPr>
            <w:r>
              <w:rPr>
                <w:rFonts w:hint="eastAsia"/>
                <w:u w:val="single"/>
                <w:vertAlign w:val="baseline"/>
                <w:lang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vAlign w:val="center"/>
          </w:tcPr>
          <w:p>
            <w:pPr>
              <w:pStyle w:val="26"/>
              <w:spacing w:line="240" w:lineRule="auto"/>
              <w:jc w:val="center"/>
              <w:rPr>
                <w:rFonts w:hint="eastAsia" w:eastAsia="宋体"/>
                <w:u w:val="single"/>
                <w:vertAlign w:val="baseline"/>
                <w:lang w:val="en-US" w:eastAsia="zh-CN"/>
              </w:rPr>
            </w:pPr>
            <w:r>
              <w:rPr>
                <w:rFonts w:hint="eastAsia"/>
                <w:u w:val="single"/>
                <w:vertAlign w:val="baseline"/>
                <w:lang w:val="en-US" w:eastAsia="zh-CN"/>
              </w:rPr>
              <w:t>3</w:t>
            </w:r>
          </w:p>
        </w:tc>
        <w:tc>
          <w:tcPr>
            <w:tcW w:w="4710" w:type="dxa"/>
            <w:vAlign w:val="center"/>
          </w:tcPr>
          <w:p>
            <w:pPr>
              <w:pStyle w:val="26"/>
              <w:spacing w:line="240" w:lineRule="auto"/>
              <w:jc w:val="center"/>
              <w:rPr>
                <w:rFonts w:hint="eastAsia"/>
                <w:u w:val="single"/>
                <w:vertAlign w:val="baseline"/>
              </w:rPr>
            </w:pPr>
            <w:r>
              <w:rPr>
                <w:u w:val="single"/>
              </w:rPr>
              <w:t>城市建成区内现有钢铁、有色金属、造纸、印染、原料药制造、化工等污染较重的企业应有序搬迁改造或依法关闭</w:t>
            </w:r>
            <w:r>
              <w:rPr>
                <w:rFonts w:hint="eastAsia"/>
                <w:u w:val="single"/>
              </w:rPr>
              <w:t>；</w:t>
            </w:r>
          </w:p>
        </w:tc>
        <w:tc>
          <w:tcPr>
            <w:tcW w:w="3585" w:type="dxa"/>
            <w:vAlign w:val="center"/>
          </w:tcPr>
          <w:p>
            <w:pPr>
              <w:pStyle w:val="26"/>
              <w:spacing w:line="240" w:lineRule="auto"/>
              <w:jc w:val="center"/>
              <w:rPr>
                <w:rFonts w:hint="eastAsia" w:eastAsia="宋体"/>
                <w:u w:val="single"/>
                <w:vertAlign w:val="baseline"/>
                <w:lang w:eastAsia="zh-CN"/>
              </w:rPr>
            </w:pPr>
            <w:r>
              <w:rPr>
                <w:rFonts w:hint="eastAsia"/>
                <w:u w:val="single"/>
                <w:vertAlign w:val="baseline"/>
                <w:lang w:eastAsia="zh-CN"/>
              </w:rPr>
              <w:t>本项目对现有印染工艺进行改造，实施</w:t>
            </w:r>
            <w:r>
              <w:rPr>
                <w:rFonts w:hint="eastAsia"/>
                <w:kern w:val="2"/>
                <w:szCs w:val="21"/>
                <w:u w:val="single"/>
                <w:lang w:val="en-US" w:eastAsia="zh-CN"/>
              </w:rPr>
              <w:t>低排水染整工艺改造。</w:t>
            </w:r>
          </w:p>
        </w:tc>
        <w:tc>
          <w:tcPr>
            <w:tcW w:w="870" w:type="dxa"/>
            <w:vAlign w:val="center"/>
          </w:tcPr>
          <w:p>
            <w:pPr>
              <w:pStyle w:val="26"/>
              <w:spacing w:line="240" w:lineRule="auto"/>
              <w:jc w:val="center"/>
              <w:rPr>
                <w:rFonts w:hint="eastAsia"/>
                <w:u w:val="single"/>
                <w:vertAlign w:val="baseline"/>
                <w:lang w:eastAsia="zh-CN"/>
              </w:rPr>
            </w:pPr>
            <w:r>
              <w:rPr>
                <w:rFonts w:hint="eastAsia"/>
                <w:u w:val="single"/>
                <w:vertAlign w:val="baseline"/>
                <w:lang w:eastAsia="zh-CN"/>
              </w:rPr>
              <w:t>符合</w:t>
            </w:r>
          </w:p>
          <w:p>
            <w:pPr>
              <w:pStyle w:val="26"/>
              <w:spacing w:line="240" w:lineRule="auto"/>
              <w:jc w:val="center"/>
              <w:rPr>
                <w:rFonts w:hint="eastAsia"/>
                <w:u w:val="single"/>
                <w:vertAlign w:val="baseline"/>
              </w:rPr>
            </w:pPr>
            <w:r>
              <w:rPr>
                <w:rFonts w:hint="eastAsia"/>
                <w:u w:val="single"/>
                <w:vertAlign w:val="baseline"/>
                <w:lang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vAlign w:val="center"/>
          </w:tcPr>
          <w:p>
            <w:pPr>
              <w:pStyle w:val="26"/>
              <w:spacing w:line="240" w:lineRule="auto"/>
              <w:jc w:val="center"/>
              <w:rPr>
                <w:rFonts w:hint="eastAsia" w:eastAsia="宋体"/>
                <w:u w:val="single"/>
                <w:vertAlign w:val="baseline"/>
                <w:lang w:val="en-US" w:eastAsia="zh-CN"/>
              </w:rPr>
            </w:pPr>
            <w:r>
              <w:rPr>
                <w:rFonts w:hint="eastAsia"/>
                <w:u w:val="single"/>
                <w:vertAlign w:val="baseline"/>
                <w:lang w:val="en-US" w:eastAsia="zh-CN"/>
              </w:rPr>
              <w:t>4</w:t>
            </w:r>
          </w:p>
        </w:tc>
        <w:tc>
          <w:tcPr>
            <w:tcW w:w="4710" w:type="dxa"/>
            <w:vAlign w:val="center"/>
          </w:tcPr>
          <w:p>
            <w:pPr>
              <w:pStyle w:val="26"/>
              <w:spacing w:line="240" w:lineRule="auto"/>
              <w:jc w:val="center"/>
              <w:rPr>
                <w:u w:val="single"/>
              </w:rPr>
            </w:pPr>
            <w:r>
              <w:rPr>
                <w:u w:val="single"/>
              </w:rPr>
              <w:t>鼓励钢铁、纺织印染、造纸、石油石化、化工、制革等高耗水企业废水深度处理回用。</w:t>
            </w:r>
          </w:p>
        </w:tc>
        <w:tc>
          <w:tcPr>
            <w:tcW w:w="3585" w:type="dxa"/>
            <w:vAlign w:val="center"/>
          </w:tcPr>
          <w:p>
            <w:pPr>
              <w:pStyle w:val="26"/>
              <w:spacing w:line="240" w:lineRule="auto"/>
              <w:jc w:val="center"/>
              <w:rPr>
                <w:rFonts w:hint="eastAsia" w:eastAsia="宋体"/>
                <w:u w:val="single"/>
                <w:vertAlign w:val="baseline"/>
                <w:lang w:eastAsia="zh-CN"/>
              </w:rPr>
            </w:pPr>
            <w:r>
              <w:rPr>
                <w:rFonts w:hint="eastAsia"/>
                <w:u w:val="single"/>
                <w:vertAlign w:val="baseline"/>
                <w:lang w:eastAsia="zh-CN"/>
              </w:rPr>
              <w:t>本次技改后，废水处理后进行回用。</w:t>
            </w:r>
          </w:p>
        </w:tc>
        <w:tc>
          <w:tcPr>
            <w:tcW w:w="870" w:type="dxa"/>
            <w:vAlign w:val="center"/>
          </w:tcPr>
          <w:p>
            <w:pPr>
              <w:pStyle w:val="26"/>
              <w:spacing w:line="240" w:lineRule="auto"/>
              <w:jc w:val="center"/>
              <w:rPr>
                <w:rFonts w:hint="eastAsia"/>
                <w:u w:val="single"/>
                <w:vertAlign w:val="baseline"/>
                <w:lang w:eastAsia="zh-CN"/>
              </w:rPr>
            </w:pPr>
            <w:r>
              <w:rPr>
                <w:rFonts w:hint="eastAsia"/>
                <w:u w:val="single"/>
                <w:vertAlign w:val="baseline"/>
                <w:lang w:eastAsia="zh-CN"/>
              </w:rPr>
              <w:t>符合</w:t>
            </w:r>
          </w:p>
          <w:p>
            <w:pPr>
              <w:pStyle w:val="26"/>
              <w:spacing w:line="240" w:lineRule="auto"/>
              <w:jc w:val="center"/>
              <w:rPr>
                <w:rFonts w:hint="eastAsia"/>
                <w:u w:val="single"/>
                <w:vertAlign w:val="baseline"/>
              </w:rPr>
            </w:pPr>
            <w:r>
              <w:rPr>
                <w:rFonts w:hint="eastAsia"/>
                <w:u w:val="single"/>
                <w:vertAlign w:val="baseline"/>
                <w:lang w:eastAsia="zh-CN"/>
              </w:rPr>
              <w:t>要求</w:t>
            </w:r>
          </w:p>
        </w:tc>
      </w:tr>
    </w:tbl>
    <w:p>
      <w:pPr>
        <w:pStyle w:val="3"/>
      </w:pPr>
      <w:r>
        <w:rPr>
          <w:rFonts w:hint="eastAsia"/>
        </w:rPr>
        <w:t>选址合理性分析</w:t>
      </w:r>
      <w:bookmarkEnd w:id="128"/>
    </w:p>
    <w:p>
      <w:pPr>
        <w:ind w:firstLine="480"/>
      </w:pPr>
      <w:r>
        <w:rPr>
          <w:rFonts w:hint="eastAsia"/>
        </w:rPr>
        <w:t>本项目选址位于岳阳市屈原管理区营田镇湖南德科纺织印染有限公司现有场地内，为原有汨纺厂地，根据该地国土证，土地类型为工业用地。因此，项目选址地块用地性质与当地用地规划相符。</w:t>
      </w:r>
    </w:p>
    <w:p>
      <w:pPr>
        <w:pStyle w:val="3"/>
      </w:pPr>
      <w:bookmarkStart w:id="129" w:name="_Toc14895"/>
      <w:r>
        <w:rPr>
          <w:rFonts w:hint="eastAsia"/>
        </w:rPr>
        <w:t>总平面布局合理性分析</w:t>
      </w:r>
      <w:bookmarkEnd w:id="129"/>
    </w:p>
    <w:p>
      <w:pPr>
        <w:ind w:firstLine="480"/>
      </w:pPr>
      <w:r>
        <w:rPr>
          <w:rFonts w:hint="eastAsia"/>
        </w:rPr>
        <w:t>根据现场踏勘，场地东侧为纺纱车间、织布车间和综合办公楼，从北向南依次为第一织布车间、纺纱车间、第二织布车间，综合办公楼为纺纱车间东面；场地中部为仓库、五金仓库、机修车间，从北向南依次为仓库、五金仓库、机修车间；场地西侧为印染车间。本次技改后，印染车间、纺纱车间位置不变，对印染车间内个生产功能区调整布局。</w:t>
      </w:r>
    </w:p>
    <w:p>
      <w:pPr>
        <w:ind w:firstLine="480"/>
      </w:pPr>
      <w:r>
        <w:rPr>
          <w:rFonts w:hint="eastAsia"/>
        </w:rPr>
        <w:t>根据现场踏勘，印染车间西面敏感点最近距离为</w:t>
      </w:r>
      <w:r>
        <w:t>20m</w:t>
      </w:r>
      <w:r>
        <w:rPr>
          <w:rFonts w:hint="eastAsia"/>
        </w:rPr>
        <w:t>，北面敏感点最近距离为</w:t>
      </w:r>
      <w:r>
        <w:t>140m</w:t>
      </w:r>
      <w:r>
        <w:rPr>
          <w:rFonts w:hint="eastAsia"/>
        </w:rPr>
        <w:t>、东面敏感点最近距离为5</w:t>
      </w:r>
      <w:r>
        <w:t>0m</w:t>
      </w:r>
      <w:r>
        <w:rPr>
          <w:rFonts w:hint="eastAsia"/>
        </w:rPr>
        <w:t>、南面敏感点最近距离为</w:t>
      </w:r>
      <w:r>
        <w:t>210m</w:t>
      </w:r>
      <w:r>
        <w:rPr>
          <w:rFonts w:hint="eastAsia"/>
        </w:rPr>
        <w:t>。</w:t>
      </w:r>
    </w:p>
    <w:p>
      <w:pPr>
        <w:ind w:firstLine="480"/>
      </w:pPr>
      <w:r>
        <w:rPr>
          <w:rFonts w:hint="eastAsia"/>
        </w:rPr>
        <w:t>根据建设单位提供的平面布局图，技改后印染车间高噪声设备均安装在生产车间西侧，定型废气处理装置和排气筒均安装在厂房西侧，远离厂区最近敏感点西面居民。</w:t>
      </w:r>
    </w:p>
    <w:p>
      <w:pPr>
        <w:ind w:firstLine="480"/>
      </w:pPr>
      <w:r>
        <w:rPr>
          <w:rFonts w:hint="eastAsia"/>
        </w:rPr>
        <w:t>综上所述，项目厂区平面布置合理。</w:t>
      </w:r>
    </w:p>
    <w:p>
      <w:pPr>
        <w:pStyle w:val="3"/>
      </w:pPr>
      <w:bookmarkStart w:id="130" w:name="_Toc7716"/>
      <w:r>
        <w:rPr>
          <w:rFonts w:hint="eastAsia"/>
        </w:rPr>
        <w:t>小结</w:t>
      </w:r>
      <w:bookmarkEnd w:id="130"/>
    </w:p>
    <w:p>
      <w:pPr>
        <w:ind w:firstLine="480"/>
      </w:pPr>
      <w:r>
        <w:rPr>
          <w:rFonts w:hint="eastAsia"/>
        </w:rPr>
        <w:t>本项目建设内容符合国家及地方产业政策；选址符合行业准入条件；符合所在地块土地利用规划；符合相关法律法规的要求；同时，项目平面布局合理规范，因此本项目的选址具有规划合理性和环境可行性。</w:t>
      </w:r>
    </w:p>
    <w:p>
      <w:pPr>
        <w:pStyle w:val="3"/>
        <w:sectPr>
          <w:pgSz w:w="11906" w:h="16838"/>
          <w:pgMar w:top="1440" w:right="1417" w:bottom="1440" w:left="1417" w:header="851" w:footer="992" w:gutter="0"/>
          <w:cols w:space="0" w:num="1"/>
          <w:docGrid w:type="lines" w:linePitch="332" w:charSpace="0"/>
        </w:sectPr>
      </w:pPr>
    </w:p>
    <w:p>
      <w:pPr>
        <w:pStyle w:val="2"/>
      </w:pPr>
      <w:bookmarkStart w:id="131" w:name="_Toc24331"/>
      <w:r>
        <w:rPr>
          <w:rFonts w:hint="eastAsia"/>
        </w:rPr>
        <w:t>环境影响评价结论与建议</w:t>
      </w:r>
      <w:bookmarkEnd w:id="131"/>
    </w:p>
    <w:p>
      <w:pPr>
        <w:pStyle w:val="3"/>
      </w:pPr>
      <w:bookmarkStart w:id="132" w:name="_Toc32119"/>
      <w:r>
        <w:rPr>
          <w:rFonts w:hint="eastAsia"/>
        </w:rPr>
        <w:t>结论</w:t>
      </w:r>
      <w:bookmarkEnd w:id="132"/>
    </w:p>
    <w:p>
      <w:pPr>
        <w:pStyle w:val="4"/>
      </w:pPr>
      <w:r>
        <w:rPr>
          <w:rFonts w:hint="eastAsia"/>
        </w:rPr>
        <w:t>项目概况</w:t>
      </w:r>
    </w:p>
    <w:p>
      <w:pPr>
        <w:ind w:firstLine="480"/>
      </w:pPr>
      <w:r>
        <w:rPr>
          <w:rFonts w:hint="eastAsia"/>
        </w:rPr>
        <w:t>本项目为技改项目，位于岳阳市屈原管理区营田镇现有厂区内，不新征地。湖南德科纺织印染有限公司拟投资</w:t>
      </w:r>
      <w:r>
        <w:t>7000</w:t>
      </w:r>
      <w:r>
        <w:rPr>
          <w:rFonts w:hint="eastAsia"/>
        </w:rPr>
        <w:t>万元对厂区进行技术改造，主要对印染设备更新，将印染工艺进行升级改造，同步改造其他配套设施。改造完成后，项目工艺进行了简化，减少了烧毛、煮布等工序，同时增加了部分生产废水回用流程；污水处理装置改造并新建废水管网接入营田镇污水处理厂污水管网，将原有废水经处理后排入湘江改为排入营田镇污水处理厂。</w:t>
      </w:r>
    </w:p>
    <w:p>
      <w:pPr>
        <w:pStyle w:val="4"/>
      </w:pPr>
      <w:r>
        <w:rPr>
          <w:rFonts w:hint="eastAsia"/>
        </w:rPr>
        <w:t>环境质量现状结论</w:t>
      </w:r>
    </w:p>
    <w:p>
      <w:pPr>
        <w:ind w:firstLine="480"/>
      </w:pPr>
      <w:r>
        <w:t>1</w:t>
      </w:r>
      <w:r>
        <w:rPr>
          <w:rFonts w:hint="eastAsia"/>
        </w:rPr>
        <w:t>、环境空气</w:t>
      </w:r>
    </w:p>
    <w:p>
      <w:pPr>
        <w:ind w:firstLine="480"/>
      </w:pPr>
      <w:r>
        <w:rPr>
          <w:rFonts w:hint="eastAsia"/>
        </w:rPr>
        <w:t>根据监测和评价结果统计分析可知，项目所在区域二个监测点的</w:t>
      </w:r>
      <w:r>
        <w:t>SO</w:t>
      </w:r>
      <w:r>
        <w:rPr>
          <w:vertAlign w:val="subscript"/>
        </w:rPr>
        <w:t xml:space="preserve">2 </w:t>
      </w:r>
      <w:r>
        <w:rPr>
          <w:rFonts w:hint="eastAsia"/>
        </w:rPr>
        <w:t>、</w:t>
      </w:r>
      <w:r>
        <w:t>NO</w:t>
      </w:r>
      <w:r>
        <w:rPr>
          <w:vertAlign w:val="subscript"/>
        </w:rPr>
        <w:t>2</w:t>
      </w:r>
      <w:r>
        <w:rPr>
          <w:rFonts w:hint="eastAsia"/>
        </w:rPr>
        <w:t>小时浓度和</w:t>
      </w:r>
      <w:r>
        <w:t>PM</w:t>
      </w:r>
      <w:r>
        <w:rPr>
          <w:vertAlign w:val="subscript"/>
        </w:rPr>
        <w:t>10</w:t>
      </w:r>
      <w:r>
        <w:rPr>
          <w:rFonts w:hint="eastAsia"/>
        </w:rPr>
        <w:t>日均值都能满足《环境空气质量标准》（</w:t>
      </w:r>
      <w:r>
        <w:t>GB3095-2012</w:t>
      </w:r>
      <w:r>
        <w:rPr>
          <w:rFonts w:hint="eastAsia"/>
        </w:rPr>
        <w:t>）中的二级标准；硫化氢、氨均能满足《工业企业设计卫生标准》</w:t>
      </w:r>
      <w:r>
        <w:t>TJ36-79</w:t>
      </w:r>
      <w:r>
        <w:rPr>
          <w:rFonts w:hint="eastAsia"/>
        </w:rPr>
        <w:t>中的居住区大气中有害物质的最高容许浓度。</w:t>
      </w:r>
    </w:p>
    <w:p>
      <w:pPr>
        <w:ind w:firstLine="480"/>
      </w:pPr>
      <w:r>
        <w:t>2</w:t>
      </w:r>
      <w:r>
        <w:rPr>
          <w:rFonts w:hint="eastAsia"/>
        </w:rPr>
        <w:t>、地表水</w:t>
      </w:r>
    </w:p>
    <w:p>
      <w:pPr>
        <w:ind w:firstLine="480"/>
      </w:pPr>
      <w:r>
        <w:rPr>
          <w:rFonts w:hint="eastAsia"/>
        </w:rPr>
        <w:t>根据检测结果，</w:t>
      </w:r>
      <w:r>
        <w:t>4</w:t>
      </w:r>
      <w:r>
        <w:rPr>
          <w:rFonts w:hint="eastAsia"/>
        </w:rPr>
        <w:t>个监测点的其他监测因子均达到了《地表水环境质量标准》（</w:t>
      </w:r>
      <w:r>
        <w:t>GB3838-2002</w:t>
      </w:r>
      <w:r>
        <w:rPr>
          <w:rFonts w:hint="eastAsia"/>
        </w:rPr>
        <w:t>）中Ⅲ类标准限值。</w:t>
      </w:r>
    </w:p>
    <w:p>
      <w:pPr>
        <w:ind w:firstLine="480"/>
      </w:pPr>
      <w:r>
        <w:t>3</w:t>
      </w:r>
      <w:r>
        <w:rPr>
          <w:rFonts w:hint="eastAsia"/>
        </w:rPr>
        <w:t>、地下水</w:t>
      </w:r>
    </w:p>
    <w:p>
      <w:pPr>
        <w:ind w:firstLine="480"/>
      </w:pPr>
      <w:r>
        <w:rPr>
          <w:rFonts w:hint="eastAsia"/>
        </w:rPr>
        <w:t>根据检测结果，五个地下水监测点各监测因子均达到了《地下水质量标准》（</w:t>
      </w:r>
      <w:r>
        <w:t>GB/T14848-93</w:t>
      </w:r>
      <w:r>
        <w:rPr>
          <w:rFonts w:hint="eastAsia"/>
        </w:rPr>
        <w:t>）中Ⅲ类标准限值。说明评价区域地下水环境质量较好。</w:t>
      </w:r>
    </w:p>
    <w:p>
      <w:pPr>
        <w:ind w:firstLine="480"/>
      </w:pPr>
      <w:r>
        <w:t>4</w:t>
      </w:r>
      <w:r>
        <w:rPr>
          <w:rFonts w:hint="eastAsia"/>
        </w:rPr>
        <w:t>、声环境</w:t>
      </w:r>
    </w:p>
    <w:p>
      <w:pPr>
        <w:ind w:firstLine="480"/>
      </w:pPr>
      <w:r>
        <w:rPr>
          <w:rFonts w:hint="eastAsia"/>
        </w:rPr>
        <w:t>根据检测结果，项目厂界声环境均能满足《声环境质量标准》（</w:t>
      </w:r>
      <w:r>
        <w:t>GB3096- 2008</w:t>
      </w:r>
      <w:r>
        <w:rPr>
          <w:rFonts w:hint="eastAsia"/>
        </w:rPr>
        <w:t>）中的</w:t>
      </w:r>
      <w:r>
        <w:t>3</w:t>
      </w:r>
      <w:r>
        <w:rPr>
          <w:rFonts w:hint="eastAsia"/>
        </w:rPr>
        <w:t>类声环境功能区标准。</w:t>
      </w:r>
    </w:p>
    <w:p>
      <w:pPr>
        <w:ind w:firstLine="480"/>
      </w:pPr>
      <w:r>
        <w:t>5</w:t>
      </w:r>
      <w:r>
        <w:rPr>
          <w:rFonts w:hint="eastAsia"/>
        </w:rPr>
        <w:t>、土壤</w:t>
      </w:r>
    </w:p>
    <w:p>
      <w:pPr>
        <w:ind w:firstLine="480"/>
      </w:pPr>
      <w:r>
        <w:rPr>
          <w:rFonts w:hint="eastAsia"/>
        </w:rPr>
        <w:t>根据检测结果，</w:t>
      </w:r>
      <w:r>
        <w:t>2</w:t>
      </w:r>
      <w:r>
        <w:rPr>
          <w:rFonts w:hint="eastAsia"/>
        </w:rPr>
        <w:t>个土壤监测点各监测因子均达到了《土壤环境质量标准》（</w:t>
      </w:r>
      <w:r>
        <w:t>GB15618-1995</w:t>
      </w:r>
      <w:r>
        <w:rPr>
          <w:rFonts w:hint="eastAsia"/>
        </w:rPr>
        <w:t>）中二级标准限值。</w:t>
      </w:r>
    </w:p>
    <w:p>
      <w:pPr>
        <w:pStyle w:val="4"/>
      </w:pPr>
      <w:r>
        <w:rPr>
          <w:rFonts w:hint="eastAsia"/>
        </w:rPr>
        <w:t>环境影响评价结论</w:t>
      </w:r>
    </w:p>
    <w:p>
      <w:pPr>
        <w:ind w:firstLine="480"/>
      </w:pPr>
      <w:r>
        <w:t>1</w:t>
      </w:r>
      <w:r>
        <w:rPr>
          <w:rFonts w:hint="eastAsia"/>
        </w:rPr>
        <w:t>、环境空气</w:t>
      </w:r>
    </w:p>
    <w:p>
      <w:pPr>
        <w:ind w:firstLine="480"/>
      </w:pPr>
      <w:r>
        <w:rPr>
          <w:rFonts w:hint="eastAsia"/>
        </w:rPr>
        <w:t>根据定型废气和醋酸废气的影响预测，本项目定型废气处理装置正常运行情况下排放的颗粒物和非甲烷总烃最大落地浓度均远低于其标准限值要求，颗粒物最大落地浓度为</w:t>
      </w:r>
      <w:r>
        <w:t>0.002267mg/m</w:t>
      </w:r>
      <w:r>
        <w:rPr>
          <w:vertAlign w:val="superscript"/>
        </w:rPr>
        <w:t>3</w:t>
      </w:r>
      <w:r>
        <w:rPr>
          <w:rFonts w:hint="eastAsia"/>
        </w:rPr>
        <w:t>，占标率为</w:t>
      </w:r>
      <w:r>
        <w:t>0.5%</w:t>
      </w:r>
      <w:r>
        <w:rPr>
          <w:rFonts w:hint="eastAsia"/>
        </w:rPr>
        <w:t>，非甲烷总烃浓度为</w:t>
      </w:r>
      <w:r>
        <w:t>0.002267mg/m3</w:t>
      </w:r>
      <w:r>
        <w:rPr>
          <w:rFonts w:hint="eastAsia"/>
        </w:rPr>
        <w:t>，占标率为</w:t>
      </w:r>
      <w:r>
        <w:t>0.11%</w:t>
      </w:r>
      <w:r>
        <w:rPr>
          <w:rFonts w:hint="eastAsia"/>
        </w:rPr>
        <w:t>。因此，项目定型废气排放对周围环境的影响较小。定型废气处理装置出现故障情况下排放的颗粒物和非甲烷总烃最大落地浓度与正常运行情况相比有明显增加，保护目标姚家埭居委会颗粒物浓度为</w:t>
      </w:r>
      <w:r>
        <w:t>0.01101mg/m</w:t>
      </w:r>
      <w:r>
        <w:rPr>
          <w:vertAlign w:val="superscript"/>
        </w:rPr>
        <w:t>3</w:t>
      </w:r>
      <w:r>
        <w:rPr>
          <w:rFonts w:hint="eastAsia"/>
        </w:rPr>
        <w:t>，占标率为</w:t>
      </w:r>
      <w:r>
        <w:t>2.45%</w:t>
      </w:r>
      <w:r>
        <w:rPr>
          <w:rFonts w:hint="eastAsia"/>
        </w:rPr>
        <w:t>，非甲烷总烃浓度为</w:t>
      </w:r>
      <w:r>
        <w:t>0.01468mg/m</w:t>
      </w:r>
      <w:r>
        <w:rPr>
          <w:vertAlign w:val="superscript"/>
        </w:rPr>
        <w:t>3</w:t>
      </w:r>
      <w:r>
        <w:rPr>
          <w:rFonts w:hint="eastAsia"/>
        </w:rPr>
        <w:t>，占标率为</w:t>
      </w:r>
      <w:r>
        <w:t>0.73%</w:t>
      </w:r>
      <w:r>
        <w:rPr>
          <w:rFonts w:hint="eastAsia"/>
        </w:rPr>
        <w:t>。项目无组织排放的醋酸废气最大落地浓度均低于其标准限值要求。因此，醋酸废气排放对周围环境和保护目标的影响较小。</w:t>
      </w:r>
    </w:p>
    <w:p>
      <w:pPr>
        <w:ind w:firstLine="480"/>
      </w:pPr>
      <w:r>
        <w:rPr>
          <w:rFonts w:hint="eastAsia"/>
        </w:rPr>
        <w:t>锅炉废气采用麻石水膜除尘系统进行除尘处理，根据岳阳市衡润检测有限公司于</w:t>
      </w:r>
      <w:r>
        <w:t>2017</w:t>
      </w:r>
      <w:r>
        <w:rPr>
          <w:rFonts w:hint="eastAsia"/>
        </w:rPr>
        <w:t>年</w:t>
      </w:r>
      <w:r>
        <w:t>7</w:t>
      </w:r>
      <w:r>
        <w:rPr>
          <w:rFonts w:hint="eastAsia"/>
        </w:rPr>
        <w:t>月</w:t>
      </w:r>
      <w:r>
        <w:t>7</w:t>
      </w:r>
      <w:r>
        <w:rPr>
          <w:rFonts w:hint="eastAsia"/>
        </w:rPr>
        <w:t>日对现有工程</w:t>
      </w:r>
      <w:r>
        <w:t>6.5</w:t>
      </w:r>
      <w:r>
        <w:rPr>
          <w:rFonts w:hint="eastAsia"/>
        </w:rPr>
        <w:t>吨燃煤蒸汽锅炉检测数据可知，锅炉烟气经麻石水膜除尘系统处理后，排气筒出口锅炉烟气中烟尘、二氧化硫、氮氧化物浓度分别为</w:t>
      </w:r>
      <w:r>
        <w:t>26.9mg/m</w:t>
      </w:r>
      <w:r>
        <w:rPr>
          <w:vertAlign w:val="superscript"/>
        </w:rPr>
        <w:t>3</w:t>
      </w:r>
      <w:r>
        <w:rPr>
          <w:rFonts w:hint="eastAsia"/>
        </w:rPr>
        <w:t>、</w:t>
      </w:r>
      <w:r>
        <w:t>113mg/m</w:t>
      </w:r>
      <w:r>
        <w:rPr>
          <w:vertAlign w:val="superscript"/>
        </w:rPr>
        <w:t>3</w:t>
      </w:r>
      <w:r>
        <w:rPr>
          <w:rFonts w:hint="eastAsia"/>
        </w:rPr>
        <w:t>、</w:t>
      </w:r>
      <w:r>
        <w:t>123mg/m</w:t>
      </w:r>
      <w:r>
        <w:rPr>
          <w:vertAlign w:val="superscript"/>
        </w:rPr>
        <w:t>3</w:t>
      </w:r>
      <w:r>
        <w:rPr>
          <w:rFonts w:hint="eastAsia"/>
        </w:rPr>
        <w:t>，均达到了《锅炉大气污染物排放标准》（</w:t>
      </w:r>
      <w:r>
        <w:t>GB13271-2014</w:t>
      </w:r>
      <w:r>
        <w:rPr>
          <w:rFonts w:hint="eastAsia"/>
        </w:rPr>
        <w:t>）中相应标准。根据上述分析，麻石水膜除尘系统等工艺成熟，处理效率可靠，技术可行。</w:t>
      </w:r>
    </w:p>
    <w:p>
      <w:pPr>
        <w:ind w:firstLine="480"/>
      </w:pPr>
      <w:r>
        <w:rPr>
          <w:rFonts w:hint="eastAsia"/>
        </w:rPr>
        <w:t>技改后，生产废水量减少，污水处理站废水处理规模为</w:t>
      </w:r>
      <w:r>
        <w:t>418.6m</w:t>
      </w:r>
      <w:r>
        <w:rPr>
          <w:vertAlign w:val="superscript"/>
        </w:rPr>
        <w:t>3</w:t>
      </w:r>
      <w:r>
        <w:t>/d</w:t>
      </w:r>
      <w:r>
        <w:rPr>
          <w:rFonts w:hint="eastAsia"/>
        </w:rPr>
        <w:t>，因此，污水处理站产生的恶臭气体减少，类比现有工程厂界四周无组织恶臭气体浓度，该污水处理站产生的恶臭气体对周边环境影响较小</w:t>
      </w:r>
    </w:p>
    <w:p>
      <w:pPr>
        <w:ind w:firstLine="480"/>
      </w:pPr>
      <w:r>
        <w:rPr>
          <w:rFonts w:hint="eastAsia"/>
        </w:rPr>
        <w:t>企业食堂油烟废气经去除效率大于</w:t>
      </w:r>
      <w:r>
        <w:t>75%</w:t>
      </w:r>
      <w:r>
        <w:rPr>
          <w:rFonts w:hint="eastAsia"/>
        </w:rPr>
        <w:t>油烟净化装置治理后由专用烟气管道高空排放，对周围空气环境影响较小。</w:t>
      </w:r>
    </w:p>
    <w:p>
      <w:pPr>
        <w:ind w:firstLine="480"/>
      </w:pPr>
      <w:r>
        <w:rPr>
          <w:rFonts w:hint="eastAsia"/>
        </w:rPr>
        <w:t>企业与技改前相比，技改后，厂区内废气减少了烧毛废气，定型废气由无组织排放变为经处理后有组织排放、锅炉燃料由煤改为生物质、食堂油烟由无组织排放变为收集后采取油烟净化装置进行处理后屋顶排放，因此，技改后，整体上减少了废气对周围环境的影响。根据工程分析，技改后，厂区内颗粒物排放量减少</w:t>
      </w:r>
      <w:r>
        <w:t>8.871t/a</w:t>
      </w:r>
      <w:r>
        <w:rPr>
          <w:rFonts w:hint="eastAsia"/>
        </w:rPr>
        <w:t>、二氧化硫排放量减少</w:t>
      </w:r>
      <w:r>
        <w:t>6.083t/a</w:t>
      </w:r>
      <w:r>
        <w:rPr>
          <w:rFonts w:hint="eastAsia"/>
        </w:rPr>
        <w:t>、氮氧化物排放量减少</w:t>
      </w:r>
      <w:r>
        <w:t>9.026t/a</w:t>
      </w:r>
      <w:r>
        <w:rPr>
          <w:rFonts w:hint="eastAsia"/>
        </w:rPr>
        <w:t>、</w:t>
      </w:r>
      <w:r>
        <w:t>VOCs</w:t>
      </w:r>
      <w:r>
        <w:rPr>
          <w:rFonts w:hint="eastAsia"/>
        </w:rPr>
        <w:t>排放总量减少</w:t>
      </w:r>
      <w:r>
        <w:t>6.685t/a</w:t>
      </w:r>
      <w:r>
        <w:rPr>
          <w:rFonts w:hint="eastAsia"/>
        </w:rPr>
        <w:t>。由此可见，本次技改对区域大气环境质量有改善作用。</w:t>
      </w:r>
    </w:p>
    <w:p>
      <w:pPr>
        <w:ind w:firstLine="480"/>
      </w:pPr>
      <w:r>
        <w:t>2</w:t>
      </w:r>
      <w:r>
        <w:rPr>
          <w:rFonts w:hint="eastAsia"/>
        </w:rPr>
        <w:t>、地表水</w:t>
      </w:r>
    </w:p>
    <w:p>
      <w:pPr>
        <w:ind w:firstLine="480"/>
      </w:pPr>
      <w:r>
        <w:rPr>
          <w:rFonts w:hint="eastAsia"/>
        </w:rPr>
        <w:t>技改后，企业废水排入营田镇污水处理厂进一步处理，达到达到《城镇污水处理厂污染物排放标准》（</w:t>
      </w:r>
      <w:r>
        <w:t>GB18918-2002</w:t>
      </w:r>
      <w:r>
        <w:rPr>
          <w:rFonts w:hint="eastAsia"/>
        </w:rPr>
        <w:t>）中一级</w:t>
      </w:r>
      <w:r>
        <w:t>A</w:t>
      </w:r>
      <w:r>
        <w:rPr>
          <w:rFonts w:hint="eastAsia"/>
        </w:rPr>
        <w:t>标准后排入湘江，</w:t>
      </w:r>
      <w:r>
        <w:rPr>
          <w:rFonts w:hint="eastAsia"/>
          <w:szCs w:val="21"/>
        </w:rPr>
        <w:t>因此，在正常情况下，企业排放的废水对周边水环境基本无影响</w:t>
      </w:r>
      <w:r>
        <w:rPr>
          <w:rFonts w:hint="eastAsia"/>
        </w:rPr>
        <w:t>；同时，企业废水进行重复利用，其中印染水一部分进行生产套用，不排入厂区污水收集处理系统；冷却水进行循环利用；经污水处理站处理后的废水一部分回用于生产，多余的废水外排至市政污水管网。通过改造后，厂区外排废水量减少了</w:t>
      </w:r>
      <w:r>
        <w:rPr>
          <w:rFonts w:hint="eastAsia"/>
          <w:lang w:val="en-US" w:eastAsia="zh-CN"/>
        </w:rPr>
        <w:t>12.183万</w:t>
      </w:r>
      <w:r>
        <w:t>t/a</w:t>
      </w:r>
      <w:r>
        <w:rPr>
          <w:rFonts w:hint="eastAsia"/>
        </w:rPr>
        <w:t>，外排出厂区的</w:t>
      </w:r>
      <w:r>
        <w:t>COD</w:t>
      </w:r>
      <w:r>
        <w:rPr>
          <w:rFonts w:hint="eastAsia"/>
        </w:rPr>
        <w:t>减少了</w:t>
      </w:r>
      <w:r>
        <w:rPr>
          <w:rFonts w:hint="eastAsia"/>
          <w:lang w:val="en-US" w:eastAsia="zh-CN"/>
        </w:rPr>
        <w:t>20.269</w:t>
      </w:r>
      <w:r>
        <w:t>t/a</w:t>
      </w:r>
      <w:r>
        <w:rPr>
          <w:rFonts w:hint="eastAsia"/>
        </w:rPr>
        <w:t>、氨氮减少了</w:t>
      </w:r>
      <w:r>
        <w:rPr>
          <w:rFonts w:hint="eastAsia"/>
          <w:lang w:val="en-US" w:eastAsia="zh-CN"/>
        </w:rPr>
        <w:t>1.524</w:t>
      </w:r>
      <w:r>
        <w:t>t/a</w:t>
      </w:r>
      <w:r>
        <w:rPr>
          <w:rFonts w:hint="eastAsia"/>
        </w:rPr>
        <w:t>；外排入环境的</w:t>
      </w:r>
      <w:r>
        <w:t>COD</w:t>
      </w:r>
      <w:r>
        <w:rPr>
          <w:rFonts w:hint="eastAsia"/>
        </w:rPr>
        <w:t>减少了</w:t>
      </w:r>
      <w:r>
        <w:rPr>
          <w:rFonts w:hint="eastAsia"/>
          <w:lang w:val="en-US" w:eastAsia="zh-CN"/>
        </w:rPr>
        <w:t>47.981</w:t>
      </w:r>
      <w:r>
        <w:rPr>
          <w:rFonts w:hint="eastAsia"/>
        </w:rPr>
        <w:t>t/a、氨氮减少了</w:t>
      </w:r>
      <w:r>
        <w:rPr>
          <w:rFonts w:hint="eastAsia"/>
          <w:lang w:val="en-US" w:eastAsia="zh-CN"/>
        </w:rPr>
        <w:t>2.712</w:t>
      </w:r>
      <w:r>
        <w:t>t/a</w:t>
      </w:r>
      <w:r>
        <w:rPr>
          <w:rFonts w:hint="eastAsia"/>
        </w:rPr>
        <w:t>。由此可见，经过本次技术改造后，企业减少了废水对周边水环境的影响，对周边水环境有改善的作用。</w:t>
      </w:r>
    </w:p>
    <w:p>
      <w:pPr>
        <w:ind w:firstLine="480"/>
      </w:pPr>
      <w:r>
        <w:t>3</w:t>
      </w:r>
      <w:r>
        <w:rPr>
          <w:rFonts w:hint="eastAsia"/>
        </w:rPr>
        <w:t>、地下水</w:t>
      </w:r>
    </w:p>
    <w:p>
      <w:pPr>
        <w:ind w:firstLine="480"/>
      </w:pPr>
      <w:r>
        <w:rPr>
          <w:rFonts w:hint="eastAsia"/>
        </w:rPr>
        <w:t>技改后不再通过氧化塘处理后直排湘江，比技改前减少了废水对地下水环境污染的途径，对地下水影响减小；根据预测，污染物扩散对地下水水质影响范围较小，仅局限在附近局部区域。但地下水自净能力较差，污染具有长期性，因此，建议业主定期全面排查污水处理站、污水管网、固废暂存间等可能造成地下水污染的设施的防渗情况；定期对地下水进行检测。采取上述措施后，技改后项目对地下水环境影响较小。</w:t>
      </w:r>
    </w:p>
    <w:p>
      <w:pPr>
        <w:ind w:firstLine="480"/>
      </w:pPr>
      <w:r>
        <w:t>4</w:t>
      </w:r>
      <w:r>
        <w:rPr>
          <w:rFonts w:hint="eastAsia"/>
        </w:rPr>
        <w:t>、声环境</w:t>
      </w:r>
    </w:p>
    <w:p>
      <w:pPr>
        <w:ind w:firstLine="480"/>
      </w:pPr>
      <w:r>
        <w:rPr>
          <w:rFonts w:hint="eastAsia"/>
        </w:rPr>
        <w:t>根据噪声预测结果，项目厂界均能达到《工业企业厂界环境噪声排放标准》（</w:t>
      </w:r>
      <w:r>
        <w:t>GB12348-2008</w:t>
      </w:r>
      <w:r>
        <w:rPr>
          <w:rFonts w:hint="eastAsia"/>
        </w:rPr>
        <w:t>）中2类标准，本项目采取减震、隔墙措施后，本项目噪声对周围环境影响较小，对距离项目最近的西侧居民点影响较小。</w:t>
      </w:r>
    </w:p>
    <w:p>
      <w:pPr>
        <w:ind w:firstLine="480"/>
      </w:pPr>
      <w:r>
        <w:t>5</w:t>
      </w:r>
      <w:r>
        <w:rPr>
          <w:rFonts w:hint="eastAsia"/>
        </w:rPr>
        <w:t>、固体废物</w:t>
      </w:r>
    </w:p>
    <w:p>
      <w:pPr>
        <w:ind w:firstLine="480"/>
      </w:pPr>
      <w:r>
        <w:rPr>
          <w:rFonts w:hint="eastAsia"/>
        </w:rPr>
        <w:t>本项目固体废物主要为污泥、废包装材料、废矿物油、不合格产品、生活垃圾等。生活垃圾经收集后，交由当地环卫部门清运，统一进行卫生填埋处置；可回收利用的一般工业固体废物，可外售综合利用；不可回收一般工业固体废物委托当地环卫部门定期清运；危险废物应按照类别分别放置在专门的收集容器和贮存设施内，有危险废物识别标志、标明具体物质名称，并设置危险废物警示标志。危险废物应委托由具有《危险废物经营许可证》并可以处置该类废物的单位进行处理处置，建设单位拟建立危险废物去向台帐，并与接收单位签订协议。综上所述，本项目固体废弃物采取以上处理处置措施后，不会对厂区周边环境造成明显影响。</w:t>
      </w:r>
    </w:p>
    <w:p>
      <w:pPr>
        <w:pStyle w:val="4"/>
      </w:pPr>
      <w:r>
        <w:rPr>
          <w:rFonts w:hint="eastAsia"/>
        </w:rPr>
        <w:t>项目建设可行性结论</w:t>
      </w:r>
    </w:p>
    <w:p>
      <w:pPr>
        <w:ind w:firstLine="480"/>
      </w:pPr>
      <w:r>
        <w:rPr>
          <w:rFonts w:hint="eastAsia"/>
        </w:rPr>
        <w:t>技改项目新购国产先进印染设备，进行印染加工，项目属于《产业结构调整指导目录</w:t>
      </w:r>
      <w:r>
        <w:t>(2011</w:t>
      </w:r>
      <w:r>
        <w:rPr>
          <w:rFonts w:hint="eastAsia"/>
        </w:rPr>
        <w:t>年本</w:t>
      </w:r>
      <w:r>
        <w:t>)</w:t>
      </w:r>
      <w:r>
        <w:rPr>
          <w:rFonts w:hint="eastAsia"/>
        </w:rPr>
        <w:t>》</w:t>
      </w:r>
      <w:r>
        <w:t>(2013</w:t>
      </w:r>
      <w:r>
        <w:rPr>
          <w:rFonts w:hint="eastAsia"/>
        </w:rPr>
        <w:t>年修正</w:t>
      </w:r>
      <w:r>
        <w:t>)</w:t>
      </w:r>
      <w:r>
        <w:rPr>
          <w:rFonts w:hint="eastAsia"/>
        </w:rPr>
        <w:t>中为“第一类鼓励类；二十、纺织；</w:t>
      </w:r>
      <w:r>
        <w:t>8.</w:t>
      </w:r>
      <w:r>
        <w:rPr>
          <w:rFonts w:hint="eastAsia"/>
        </w:rPr>
        <w:t>采用酶处理、高效短流程前处理、冷轧堆前处理及染色、短流程湿蒸轧染、</w:t>
      </w:r>
      <w:r>
        <w:rPr>
          <w:rFonts w:hint="eastAsia"/>
          <w:b/>
          <w:bCs/>
        </w:rPr>
        <w:t>气流染色、小浴比染色</w:t>
      </w:r>
      <w:r>
        <w:rPr>
          <w:rFonts w:hint="eastAsia"/>
        </w:rPr>
        <w:t>、涂料印染、数码喷墨印花、泡沫整理等染整清洁生产技术和防水防油防污、阻燃、抗净电及多功能复合等功能性整理技术生产高档纺织面料。因此，技改项目符合国家产业政策。</w:t>
      </w:r>
    </w:p>
    <w:p>
      <w:pPr>
        <w:pStyle w:val="4"/>
      </w:pPr>
      <w:r>
        <w:rPr>
          <w:rFonts w:hint="eastAsia"/>
        </w:rPr>
        <w:t>公众参与结论</w:t>
      </w:r>
    </w:p>
    <w:p>
      <w:pPr>
        <w:ind w:firstLine="480"/>
      </w:pPr>
      <w:r>
        <w:rPr>
          <w:rFonts w:hint="eastAsia"/>
        </w:rPr>
        <w:t>在公众参与调查过程中，大部分被调查者对本项目的建设比较了解，通过现场公示和调查期间对项目建设的介绍，受访者及团体对本项目建设的支持度为</w:t>
      </w:r>
      <w:r>
        <w:t>100%</w:t>
      </w:r>
      <w:r>
        <w:rPr>
          <w:rFonts w:hint="eastAsia"/>
        </w:rPr>
        <w:t>，并对项目的建设提出了各自的见解和建议。公众普遍认为应该积极搞好本项目的环境保护工作，并确保污染物达标排放。绝大部分公众认为在污染物排放符合国家排放标准的情况下，本项目带来的环境影响都是可以接受的。为了消除公众对本项目建设的担心和忧虑，建设单位应加强对本项目的宣传和解释工作，提高公众对建设项目的认可程度。同时在项目的建设和运营过程中，始终把环保问题作为重点，认真落实各项污染治理措施，做好治理工作，最大程度降低对周边环境的影响，以争取公众持久的支持。</w:t>
      </w:r>
    </w:p>
    <w:p>
      <w:pPr>
        <w:pStyle w:val="4"/>
      </w:pPr>
      <w:r>
        <w:rPr>
          <w:rFonts w:hint="eastAsia"/>
        </w:rPr>
        <w:t>综合结论</w:t>
      </w:r>
    </w:p>
    <w:p>
      <w:pPr>
        <w:ind w:firstLine="480"/>
      </w:pPr>
      <w:bookmarkStart w:id="133" w:name="OLE_LINK135"/>
      <w:r>
        <w:rPr>
          <w:rFonts w:hint="eastAsia"/>
        </w:rPr>
        <w:t>综上所述，湖南德科纺织印染有限公司印染分厂技术改造项目选址符合规划，建设符合国家相关产业政策。项目废气、废水、固废、噪声等采取相应措施后符合污染物达标排放要求和区域环境质量要求。在做好各项环保措施和环境管理要求、风险应急预案的前提下，从环境保护的角度分析，项目建设是可行的。</w:t>
      </w:r>
      <w:bookmarkEnd w:id="133"/>
    </w:p>
    <w:p>
      <w:pPr>
        <w:pStyle w:val="3"/>
      </w:pPr>
      <w:bookmarkStart w:id="134" w:name="_Toc21321"/>
      <w:r>
        <w:rPr>
          <w:rFonts w:hint="eastAsia"/>
        </w:rPr>
        <w:t>建议</w:t>
      </w:r>
      <w:bookmarkEnd w:id="134"/>
    </w:p>
    <w:p>
      <w:pPr>
        <w:spacing w:line="480" w:lineRule="exact"/>
        <w:ind w:firstLine="480"/>
      </w:pPr>
      <w:r>
        <w:rPr>
          <w:rFonts w:hint="eastAsia" w:hAnsi="宋体"/>
        </w:rPr>
        <w:t>⑴采用高新技术设备及少污染的新工艺，减少污水量，实行以废治废，变末端治理为全过程减污，杜绝生产过程中跑、冒、滴、漏现象产生。</w:t>
      </w:r>
    </w:p>
    <w:p>
      <w:pPr>
        <w:ind w:firstLine="480"/>
      </w:pPr>
      <w:r>
        <w:rPr>
          <w:rFonts w:hint="eastAsia" w:hAnsi="宋体"/>
        </w:rPr>
        <w:t>⑵加强对废水、废气处理设施的维护和保养，以保证设备正常运行。</w:t>
      </w:r>
    </w:p>
    <w:sectPr>
      <w:pgSz w:w="11906" w:h="16838"/>
      <w:pgMar w:top="1440" w:right="1417" w:bottom="1440" w:left="1417" w:header="851" w:footer="992" w:gutter="0"/>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宋体繁体">
    <w:altName w:val="宋体"/>
    <w:panose1 w:val="02010600030101010101"/>
    <w:charset w:val="86"/>
    <w:family w:val="roma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仿宋体">
    <w:altName w:val="宋体"/>
    <w:panose1 w:val="02010600030101010101"/>
    <w:charset w:val="86"/>
    <w:family w:val="roman"/>
    <w:pitch w:val="default"/>
    <w:sig w:usb0="00000000" w:usb1="00000000" w:usb2="00000010" w:usb3="00000000" w:csb0="00040000" w:csb1="00000000"/>
  </w:font>
  <w:font w:name="Technic">
    <w:panose1 w:val="00000400000000000000"/>
    <w:charset w:val="02"/>
    <w:family w:val="auto"/>
    <w:pitch w:val="default"/>
    <w:sig w:usb0="00000000" w:usb1="00000000" w:usb2="00000000" w:usb3="00000000" w:csb0="00000000" w:csb1="00000000"/>
  </w:font>
  <w:font w:name="幼圆">
    <w:altName w:val="宋体"/>
    <w:panose1 w:val="00000000000000000000"/>
    <w:charset w:val="86"/>
    <w:family w:val="modern"/>
    <w:pitch w:val="default"/>
    <w:sig w:usb0="00000000" w:usb1="00000000" w:usb2="00000010" w:usb3="00000000" w:csb0="00040000" w:csb1="00000000"/>
  </w:font>
  <w:font w:name="方正黑体简体">
    <w:altName w:val="微软雅黑"/>
    <w:panose1 w:val="02010601030101010101"/>
    <w:charset w:val="86"/>
    <w:family w:val="auto"/>
    <w:pitch w:val="default"/>
    <w:sig w:usb0="00000000" w:usb1="00000000" w:usb2="00000010" w:usb3="00000000" w:csb0="00040000" w:csb1="00000000"/>
  </w:font>
  <w:font w:name="Plotter">
    <w:altName w:val="Lucida Console"/>
    <w:panose1 w:val="00000000000000000000"/>
    <w:charset w:val="00"/>
    <w:family w:val="moder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00"/>
    <w:family w:val="roman"/>
    <w:pitch w:val="default"/>
    <w:sig w:usb0="00000000" w:usb1="00000000" w:usb2="00000000" w:usb3="00000000" w:csb0="00000001" w:csb1="00000000"/>
  </w:font>
  <w:font w:name="Bookman">
    <w:altName w:val="Bookman Old Style"/>
    <w:panose1 w:val="00000000000000000000"/>
    <w:charset w:val="00"/>
    <w:family w:val="roman"/>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 w:name="Lucida Console">
    <w:panose1 w:val="020B0609040504020204"/>
    <w:charset w:val="00"/>
    <w:family w:val="auto"/>
    <w:pitch w:val="default"/>
    <w:sig w:usb0="8000028F" w:usb1="00001800" w:usb2="00000000" w:usb3="00000000" w:csb0="0000001F" w:csb1="D7D70000"/>
  </w:font>
  <w:font w:name="Bookman Old Style">
    <w:panose1 w:val="02050604050505020204"/>
    <w:charset w:val="00"/>
    <w:family w:val="auto"/>
    <w:pitch w:val="default"/>
    <w:sig w:usb0="00000287" w:usb1="00000000" w:usb2="00000000" w:usb3="00000000" w:csb0="2000009F" w:csb1="DFD70000"/>
  </w:font>
  <w:font w:name="仿宋_GB2312">
    <w:altName w:val="仿宋"/>
    <w:panose1 w:val="00000000000000000000"/>
    <w:charset w:val="00"/>
    <w:family w:val="auto"/>
    <w:pitch w:val="default"/>
    <w:sig w:usb0="00000000" w:usb1="00000000" w:usb2="00000000" w:usb3="00000000" w:csb0="00000000" w:csb1="00000000"/>
  </w:font>
  <w:font w:name="Calibri Light">
    <w:altName w:val="Calibri"/>
    <w:panose1 w:val="00000000000000000000"/>
    <w:charset w:val="00"/>
    <w:family w:val="auto"/>
    <w:pitch w:val="default"/>
    <w:sig w:usb0="00000000" w:usb1="00000000" w:usb2="00000000" w:usb3="00000000" w:csb0="00000000" w:csb1="00000000"/>
  </w:font>
  <w:font w:name="仿宋">
    <w:panose1 w:val="02010609060101010101"/>
    <w:charset w:val="81"/>
    <w:family w:val="swiss"/>
    <w:pitch w:val="default"/>
    <w:sig w:usb0="800002BF" w:usb1="38CF7CFA" w:usb2="00000016" w:usb3="00000000" w:csb0="00040001" w:csb1="00000000"/>
  </w:font>
  <w:font w:name="隶书">
    <w:altName w:val="宋体"/>
    <w:panose1 w:val="02010509060101010101"/>
    <w:charset w:val="86"/>
    <w:family w:val="modern"/>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方正仿宋_GBK">
    <w:altName w:val="宋体"/>
    <w:panose1 w:val="03000509000000000000"/>
    <w:charset w:val="86"/>
    <w:family w:val="script"/>
    <w:pitch w:val="default"/>
    <w:sig w:usb0="00000000" w:usb1="00000000" w:usb2="00000010" w:usb3="00000000" w:csb0="003C0041" w:csb1="00000000"/>
  </w:font>
  <w:font w:name="ˎ̥">
    <w:altName w:val="Times New Roman"/>
    <w:panose1 w:val="00000000000000000000"/>
    <w:charset w:val="00"/>
    <w:family w:val="roma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中文正文">
    <w:altName w:val="RomanS"/>
    <w:panose1 w:val="00000000000000000000"/>
    <w:charset w:val="00"/>
    <w:family w:val="auto"/>
    <w:pitch w:val="default"/>
    <w:sig w:usb0="00000000" w:usb1="00000000" w:usb2="00000000" w:usb3="00000000" w:csb0="00000000" w:csb1="00000000"/>
  </w:font>
  <w:font w:name="+西文正文">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Wingdings">
    <w:panose1 w:val="05000000000000000000"/>
    <w:charset w:val="00"/>
    <w:family w:val="auto"/>
    <w:pitch w:val="default"/>
    <w:sig w:usb0="00000000" w:usb1="00000000" w:usb2="00000000" w:usb3="00000000" w:csb0="80000000" w:csb1="00000000"/>
  </w:font>
  <w:font w:name="”“Times New Roman”“">
    <w:altName w:val="宋体"/>
    <w:panose1 w:val="00000000000000000000"/>
    <w:charset w:val="86"/>
    <w:family w:val="roman"/>
    <w:pitch w:val="default"/>
    <w:sig w:usb0="00000000" w:usb1="00000000" w:usb2="00000010" w:usb3="00000000" w:csb0="00040000" w:csb1="00000000"/>
  </w:font>
  <w:font w:name="方正粗黑繁体2.">
    <w:altName w:val="宋体"/>
    <w:panose1 w:val="00000000000000000000"/>
    <w:charset w:val="86"/>
    <w:family w:val="swiss"/>
    <w:pitch w:val="default"/>
    <w:sig w:usb0="00000000" w:usb1="00000000" w:usb2="00000010" w:usb3="00000000" w:csb0="00040000" w:csb1="00000000"/>
  </w:font>
  <w:font w:name="TimesNewRoman">
    <w:altName w:val="MS Mincho"/>
    <w:panose1 w:val="00000000000000000000"/>
    <w:charset w:val="80"/>
    <w:family w:val="auto"/>
    <w:pitch w:val="default"/>
    <w:sig w:usb0="00000000" w:usb1="00000000" w:usb2="00000010" w:usb3="00000000" w:csb0="00020000" w:csb1="00000000"/>
  </w:font>
  <w:font w:name="Osaka">
    <w:altName w:val="Times New Roman"/>
    <w:panose1 w:val="00000000000000000000"/>
    <w:charset w:val="00"/>
    <w:family w:val="roman"/>
    <w:pitch w:val="default"/>
    <w:sig w:usb0="00000000" w:usb1="00000000" w:usb2="00000000" w:usb3="00000000" w:csb0="00040001" w:csb1="00000000"/>
  </w:font>
  <w:font w:name="Geneva">
    <w:altName w:val="Arial"/>
    <w:panose1 w:val="00000000000000000000"/>
    <w:charset w:val="00"/>
    <w:family w:val="swiss"/>
    <w:pitch w:val="default"/>
    <w:sig w:usb0="00000000" w:usb1="00000000" w:usb2="00000000" w:usb3="00000000" w:csb0="00000001" w:csb1="00000000"/>
  </w:font>
  <w:font w:name="_x000B__x000C_">
    <w:altName w:val="Times New Roman"/>
    <w:panose1 w:val="00000000000000000000"/>
    <w:charset w:val="00"/>
    <w:family w:val="roman"/>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Lingoes Unicode">
    <w:altName w:val="宋体"/>
    <w:panose1 w:val="020B0604020202020204"/>
    <w:charset w:val="86"/>
    <w:family w:val="swiss"/>
    <w:pitch w:val="default"/>
    <w:sig w:usb0="00000000" w:usb1="00000000" w:usb2="00000010" w:usb3="00000000" w:csb0="003E019F" w:csb1="00000000"/>
  </w:font>
  <w:font w:name="Batang">
    <w:panose1 w:val="02030600000101010101"/>
    <w:charset w:val="81"/>
    <w:family w:val="auto"/>
    <w:pitch w:val="default"/>
    <w:sig w:usb0="B00002AF" w:usb1="69D77CFB" w:usb2="00000030" w:usb3="00000000" w:csb0="4008009F" w:csb1="DFD70000"/>
  </w:font>
  <w:font w:name="Century">
    <w:altName w:val="Bookman Old Style"/>
    <w:panose1 w:val="02040603050705020303"/>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汉鼎简书宋">
    <w:altName w:val="宋体"/>
    <w:panose1 w:val="00000000000000000000"/>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Arial Black">
    <w:panose1 w:val="020B0A04020102020204"/>
    <w:charset w:val="00"/>
    <w:family w:val="swiss"/>
    <w:pitch w:val="default"/>
    <w:sig w:usb0="00000287" w:usb1="00000000" w:usb2="00000000" w:usb3="00000000" w:csb0="2000009F" w:csb1="DFD70000"/>
  </w:font>
  <w:font w:name="Dutch801 Rm BT">
    <w:panose1 w:val="02020603060505020304"/>
    <w:charset w:val="00"/>
    <w:family w:val="roman"/>
    <w:pitch w:val="default"/>
    <w:sig w:usb0="00000000" w:usb1="00000000" w:usb2="00000000" w:usb3="00000000" w:csb0="00000000" w:csb1="00000000"/>
  </w:font>
  <w:font w:name="+????">
    <w:altName w:val="Courier New"/>
    <w:panose1 w:val="00000000000000000000"/>
    <w:charset w:val="00"/>
    <w:family w:val="auto"/>
    <w:pitch w:val="default"/>
    <w:sig w:usb0="00000000" w:usb1="00000000" w:usb2="00000000" w:usb3="00000000" w:csb0="00000001" w:csb1="00000000"/>
  </w:font>
  <w:font w:name="宋体_x0004_fal">
    <w:altName w:val="宋体"/>
    <w:panose1 w:val="00000000000000000000"/>
    <w:charset w:val="86"/>
    <w:family w:val="auto"/>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 PAGE  \* MERGEFORMAT </w:instrText>
    </w:r>
    <w:r>
      <w:fldChar w:fldCharType="separate"/>
    </w:r>
    <w:r>
      <w:t>78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ind w:firstLine="360"/>
      <w:rPr>
        <w:rFonts w:ascii="宋体"/>
      </w:rPr>
    </w:pPr>
    <w:r>
      <w:rPr>
        <w:rFonts w:ascii="宋体"/>
      </w:rPr>
      <w:tab/>
    </w:r>
    <w:r>
      <w:rPr>
        <w:rFonts w:ascii="宋体" w:hAnsi="宋体"/>
      </w:rPr>
      <w:t xml:space="preserve">- </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132</w:t>
    </w:r>
    <w:r>
      <w:rPr>
        <w:rFonts w:ascii="宋体" w:hAnsi="宋体"/>
      </w:rPr>
      <w:fldChar w:fldCharType="end"/>
    </w:r>
    <w:r>
      <w:rPr>
        <w:rFonts w:ascii="宋体" w:hAnsi="宋体"/>
      </w:rPr>
      <w:t xml:space="preserve"> –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none" w:color="auto" w:sz="0" w:space="0"/>
        <w:left w:val="none" w:color="auto" w:sz="0" w:space="0"/>
        <w:bottom w:val="none" w:color="auto" w:sz="0" w:space="0"/>
        <w:right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none" w:color="auto" w:sz="0" w:space="0"/>
        <w:left w:val="none" w:color="auto" w:sz="0" w:space="0"/>
        <w:bottom w:val="none" w:color="auto" w:sz="0" w:space="0"/>
        <w:right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6F0014"/>
    <w:multiLevelType w:val="multilevel"/>
    <w:tmpl w:val="596F0014"/>
    <w:lvl w:ilvl="0" w:tentative="0">
      <w:start w:val="1"/>
      <w:numFmt w:val="decimal"/>
      <w:pStyle w:val="2"/>
      <w:lvlText w:val="%1"/>
      <w:lvlJc w:val="left"/>
      <w:pPr>
        <w:ind w:left="432" w:hanging="432"/>
      </w:pPr>
      <w:rPr>
        <w:rFonts w:hint="eastAsia" w:cs="+????"/>
      </w:rPr>
    </w:lvl>
    <w:lvl w:ilvl="1" w:tentative="0">
      <w:start w:val="1"/>
      <w:numFmt w:val="decimal"/>
      <w:pStyle w:val="3"/>
      <w:isLgl/>
      <w:lvlText w:val="%1.%2"/>
      <w:lvlJc w:val="left"/>
      <w:rPr>
        <w:rFonts w:hint="eastAsia" w:cs="+????"/>
      </w:rPr>
    </w:lvl>
    <w:lvl w:ilvl="2" w:tentative="0">
      <w:start w:val="1"/>
      <w:numFmt w:val="decimal"/>
      <w:pStyle w:val="4"/>
      <w:isLgl/>
      <w:lvlText w:val="%1.%2.%3"/>
      <w:lvlJc w:val="left"/>
      <w:rPr>
        <w:rFonts w:hint="eastAsia" w:cs="+????"/>
      </w:rPr>
    </w:lvl>
    <w:lvl w:ilvl="3" w:tentative="0">
      <w:start w:val="1"/>
      <w:numFmt w:val="decimal"/>
      <w:pStyle w:val="5"/>
      <w:isLgl/>
      <w:lvlText w:val="%1.%2.%3.%4"/>
      <w:lvlJc w:val="left"/>
      <w:rPr>
        <w:rFonts w:hint="eastAsia" w:cs="+????"/>
      </w:rPr>
    </w:lvl>
    <w:lvl w:ilvl="4" w:tentative="0">
      <w:start w:val="1"/>
      <w:numFmt w:val="decimal"/>
      <w:lvlText w:val="%1.%2.%3.%4.%5"/>
      <w:lvlJc w:val="left"/>
      <w:pPr>
        <w:ind w:left="1008" w:hanging="1008"/>
      </w:pPr>
      <w:rPr>
        <w:rFonts w:hint="eastAsia" w:cs="+????"/>
      </w:rPr>
    </w:lvl>
    <w:lvl w:ilvl="5" w:tentative="0">
      <w:start w:val="1"/>
      <w:numFmt w:val="decimal"/>
      <w:lvlText w:val="%1.%2.%3.%4.%5.%6"/>
      <w:lvlJc w:val="left"/>
      <w:pPr>
        <w:ind w:left="1152" w:hanging="1152"/>
      </w:pPr>
      <w:rPr>
        <w:rFonts w:hint="eastAsia" w:cs="+????"/>
      </w:rPr>
    </w:lvl>
    <w:lvl w:ilvl="6" w:tentative="0">
      <w:start w:val="1"/>
      <w:numFmt w:val="decimal"/>
      <w:lvlText w:val="%1.%2.%3.%4.%5.%6.%7"/>
      <w:lvlJc w:val="left"/>
      <w:pPr>
        <w:ind w:left="1296" w:hanging="1296"/>
      </w:pPr>
      <w:rPr>
        <w:rFonts w:hint="eastAsia" w:cs="+????"/>
      </w:rPr>
    </w:lvl>
    <w:lvl w:ilvl="7" w:tentative="0">
      <w:start w:val="1"/>
      <w:numFmt w:val="decimal"/>
      <w:lvlText w:val="%1.%2.%3.%4.%5.%6.%7.%8"/>
      <w:lvlJc w:val="left"/>
      <w:pPr>
        <w:ind w:left="1440" w:hanging="1440"/>
      </w:pPr>
      <w:rPr>
        <w:rFonts w:hint="eastAsia" w:cs="+????"/>
      </w:rPr>
    </w:lvl>
    <w:lvl w:ilvl="8" w:tentative="0">
      <w:start w:val="1"/>
      <w:numFmt w:val="decimal"/>
      <w:lvlText w:val="%1.%2.%3.%4.%5.%6.%7.%8.%9"/>
      <w:lvlJc w:val="left"/>
      <w:pPr>
        <w:ind w:left="1584" w:hanging="1584"/>
      </w:pPr>
      <w:rPr>
        <w:rFonts w:hint="eastAsia" w:cs="+????"/>
      </w:rPr>
    </w:lvl>
  </w:abstractNum>
  <w:abstractNum w:abstractNumId="1">
    <w:nsid w:val="59799A63"/>
    <w:multiLevelType w:val="singleLevel"/>
    <w:tmpl w:val="59799A63"/>
    <w:lvl w:ilvl="0" w:tentative="0">
      <w:start w:val="1"/>
      <w:numFmt w:val="decimal"/>
      <w:suff w:val="nothing"/>
      <w:lvlText w:val="（%1）"/>
      <w:lvlJc w:val="left"/>
      <w:rPr>
        <w:rFonts w:cs="Times New Roman"/>
      </w:rPr>
    </w:lvl>
  </w:abstractNum>
  <w:abstractNum w:abstractNumId="2">
    <w:nsid w:val="597AFD7E"/>
    <w:multiLevelType w:val="singleLevel"/>
    <w:tmpl w:val="597AFD7E"/>
    <w:lvl w:ilvl="0" w:tentative="0">
      <w:start w:val="1"/>
      <w:numFmt w:val="decimal"/>
      <w:suff w:val="nothing"/>
      <w:lvlText w:val="（%1）"/>
      <w:lvlJc w:val="left"/>
      <w:rPr>
        <w:rFonts w:cs="Times New Roman"/>
      </w:rPr>
    </w:lvl>
  </w:abstractNum>
  <w:abstractNum w:abstractNumId="3">
    <w:nsid w:val="5987C8AF"/>
    <w:multiLevelType w:val="singleLevel"/>
    <w:tmpl w:val="5987C8AF"/>
    <w:lvl w:ilvl="0" w:tentative="0">
      <w:start w:val="1"/>
      <w:numFmt w:val="decimal"/>
      <w:suff w:val="nothing"/>
      <w:lvlText w:val="%1、"/>
      <w:lvlJc w:val="left"/>
      <w:rPr>
        <w:rFonts w:cs="Times New Roman"/>
      </w:rPr>
    </w:lvl>
  </w:abstractNum>
  <w:abstractNum w:abstractNumId="4">
    <w:nsid w:val="59891B7F"/>
    <w:multiLevelType w:val="singleLevel"/>
    <w:tmpl w:val="59891B7F"/>
    <w:lvl w:ilvl="0" w:tentative="0">
      <w:start w:val="1"/>
      <w:numFmt w:val="decimal"/>
      <w:suff w:val="nothing"/>
      <w:lvlText w:val="%1、"/>
      <w:lvlJc w:val="left"/>
      <w:rPr>
        <w:rFonts w:cs="Times New Roman"/>
      </w:rPr>
    </w:lvl>
  </w:abstractNum>
  <w:abstractNum w:abstractNumId="5">
    <w:nsid w:val="5994FB48"/>
    <w:multiLevelType w:val="singleLevel"/>
    <w:tmpl w:val="5994FB48"/>
    <w:lvl w:ilvl="0" w:tentative="0">
      <w:start w:val="1"/>
      <w:numFmt w:val="decimal"/>
      <w:suff w:val="nothing"/>
      <w:lvlText w:val="%1、"/>
      <w:lvlJc w:val="left"/>
    </w:lvl>
  </w:abstractNum>
  <w:abstractNum w:abstractNumId="6">
    <w:nsid w:val="5BF75732"/>
    <w:multiLevelType w:val="multilevel"/>
    <w:tmpl w:val="5BF75732"/>
    <w:lvl w:ilvl="0" w:tentative="0">
      <w:start w:val="1"/>
      <w:numFmt w:val="decimal"/>
      <w:lvlText w:val="%1"/>
      <w:lvlJc w:val="left"/>
      <w:pPr>
        <w:tabs>
          <w:tab w:val="left" w:pos="425"/>
        </w:tabs>
        <w:ind w:left="425" w:hanging="425"/>
      </w:pPr>
      <w:rPr>
        <w:rFonts w:hint="default" w:ascii="Times New Roman" w:hAnsi="Times New Roman" w:cs="Times New Roman"/>
        <w:strike w:val="0"/>
        <w:dstrike w:val="0"/>
        <w:vanish/>
        <w:color w:val="FFFFFF"/>
        <w:sz w:val="30"/>
        <w:vertAlign w:val="baseline"/>
      </w:rPr>
    </w:lvl>
    <w:lvl w:ilvl="1" w:tentative="0">
      <w:start w:val="1"/>
      <w:numFmt w:val="decimal"/>
      <w:lvlText w:val="%1.%2"/>
      <w:lvlJc w:val="left"/>
      <w:pPr>
        <w:tabs>
          <w:tab w:val="left" w:pos="737"/>
        </w:tabs>
        <w:ind w:left="737" w:hanging="737"/>
      </w:pPr>
      <w:rPr>
        <w:rFonts w:hint="default" w:ascii="Times New Roman" w:hAnsi="Times New Roman" w:cs="Times New Roman"/>
        <w:strike w:val="0"/>
        <w:dstrike w:val="0"/>
        <w:color w:val="auto"/>
        <w:sz w:val="28"/>
        <w:vertAlign w:val="baseline"/>
      </w:rPr>
    </w:lvl>
    <w:lvl w:ilvl="2" w:tentative="0">
      <w:start w:val="1"/>
      <w:numFmt w:val="decimal"/>
      <w:lvlText w:val="%1.%2.%3"/>
      <w:lvlJc w:val="left"/>
      <w:pPr>
        <w:tabs>
          <w:tab w:val="left" w:pos="765"/>
        </w:tabs>
        <w:ind w:left="765" w:hanging="765"/>
      </w:pPr>
      <w:rPr>
        <w:rFonts w:hint="eastAsia" w:cs="Times New Roman"/>
      </w:rPr>
    </w:lvl>
    <w:lvl w:ilvl="3" w:tentative="0">
      <w:start w:val="1"/>
      <w:numFmt w:val="decimal"/>
      <w:lvlText w:val="%1.%2.%3.%4"/>
      <w:lvlJc w:val="left"/>
      <w:pPr>
        <w:tabs>
          <w:tab w:val="left" w:pos="1080"/>
        </w:tabs>
        <w:ind w:left="567" w:hanging="567"/>
      </w:pPr>
      <w:rPr>
        <w:rFonts w:hint="default" w:ascii="Times New Roman" w:hAnsi="Times New Roman" w:cs="Times New Roman"/>
      </w:rPr>
    </w:lvl>
    <w:lvl w:ilvl="4" w:tentative="0">
      <w:start w:val="1"/>
      <w:numFmt w:val="chineseCountingThousand"/>
      <w:pStyle w:val="6"/>
      <w:lvlText w:val="%5、"/>
      <w:lvlJc w:val="left"/>
      <w:pPr>
        <w:tabs>
          <w:tab w:val="left" w:pos="360"/>
        </w:tabs>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num w:numId="1">
    <w:abstractNumId w:val="0"/>
  </w:num>
  <w:num w:numId="2">
    <w:abstractNumId w:val="6"/>
  </w:num>
  <w:num w:numId="3">
    <w:abstractNumId w:val="4"/>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ocumentProtection w:enforcement="0"/>
  <w:defaultTabStop w:val="0"/>
  <w:drawingGridHorizontalSpacing w:val="240"/>
  <w:drawingGridVerticalSpacing w:val="16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6925B6D"/>
    <w:rsid w:val="002467BA"/>
    <w:rsid w:val="00400025"/>
    <w:rsid w:val="004172FE"/>
    <w:rsid w:val="004C4BBB"/>
    <w:rsid w:val="00666526"/>
    <w:rsid w:val="00694A63"/>
    <w:rsid w:val="00726655"/>
    <w:rsid w:val="00780DC1"/>
    <w:rsid w:val="007B5166"/>
    <w:rsid w:val="0081455A"/>
    <w:rsid w:val="0082342C"/>
    <w:rsid w:val="009D253F"/>
    <w:rsid w:val="00AD1962"/>
    <w:rsid w:val="00B06180"/>
    <w:rsid w:val="00C05899"/>
    <w:rsid w:val="00DE628B"/>
    <w:rsid w:val="00E2651D"/>
    <w:rsid w:val="00E50256"/>
    <w:rsid w:val="00E552FB"/>
    <w:rsid w:val="00ED643E"/>
    <w:rsid w:val="00EE2F44"/>
    <w:rsid w:val="00F3670F"/>
    <w:rsid w:val="00F429E0"/>
    <w:rsid w:val="00F83D6C"/>
    <w:rsid w:val="06925B6D"/>
    <w:rsid w:val="06D05397"/>
    <w:rsid w:val="0C1807B3"/>
    <w:rsid w:val="0E08776C"/>
    <w:rsid w:val="0E502D7A"/>
    <w:rsid w:val="10F53388"/>
    <w:rsid w:val="1418694B"/>
    <w:rsid w:val="18860566"/>
    <w:rsid w:val="190F3E29"/>
    <w:rsid w:val="1BA216AE"/>
    <w:rsid w:val="1BA76BFA"/>
    <w:rsid w:val="1BAF678E"/>
    <w:rsid w:val="224D607F"/>
    <w:rsid w:val="24E72781"/>
    <w:rsid w:val="28300666"/>
    <w:rsid w:val="2A213B6D"/>
    <w:rsid w:val="322741EC"/>
    <w:rsid w:val="352824DC"/>
    <w:rsid w:val="3570574F"/>
    <w:rsid w:val="35F123DF"/>
    <w:rsid w:val="36B023BD"/>
    <w:rsid w:val="3BB05FF9"/>
    <w:rsid w:val="3C67151A"/>
    <w:rsid w:val="43E13E0C"/>
    <w:rsid w:val="44DC1EC6"/>
    <w:rsid w:val="451C5D75"/>
    <w:rsid w:val="46584C36"/>
    <w:rsid w:val="49293309"/>
    <w:rsid w:val="4B846326"/>
    <w:rsid w:val="4DCB30E8"/>
    <w:rsid w:val="4E4429F6"/>
    <w:rsid w:val="4F240713"/>
    <w:rsid w:val="58953F9B"/>
    <w:rsid w:val="592468B4"/>
    <w:rsid w:val="63FF3AC0"/>
    <w:rsid w:val="68B46B56"/>
    <w:rsid w:val="6DAB3DA9"/>
    <w:rsid w:val="731666ED"/>
    <w:rsid w:val="74BD05C9"/>
    <w:rsid w:val="7C805F5E"/>
    <w:rsid w:val="7E4A4D09"/>
    <w:rsid w:val="7F263C17"/>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7"/>
    <w:qFormat/>
    <w:uiPriority w:val="99"/>
    <w:pPr>
      <w:keepNext/>
      <w:keepLines/>
      <w:numPr>
        <w:ilvl w:val="0"/>
        <w:numId w:val="1"/>
      </w:numPr>
      <w:ind w:firstLine="0" w:firstLineChars="0"/>
      <w:outlineLvl w:val="0"/>
    </w:pPr>
    <w:rPr>
      <w:b/>
      <w:kern w:val="44"/>
      <w:sz w:val="30"/>
    </w:rPr>
  </w:style>
  <w:style w:type="paragraph" w:styleId="3">
    <w:name w:val="heading 2"/>
    <w:basedOn w:val="1"/>
    <w:next w:val="1"/>
    <w:link w:val="28"/>
    <w:qFormat/>
    <w:uiPriority w:val="99"/>
    <w:pPr>
      <w:keepNext/>
      <w:keepLines/>
      <w:numPr>
        <w:ilvl w:val="1"/>
        <w:numId w:val="1"/>
      </w:numPr>
      <w:ind w:firstLine="0" w:firstLineChars="0"/>
      <w:outlineLvl w:val="1"/>
    </w:pPr>
    <w:rPr>
      <w:b/>
      <w:sz w:val="28"/>
      <w:szCs w:val="28"/>
    </w:rPr>
  </w:style>
  <w:style w:type="paragraph" w:styleId="4">
    <w:name w:val="heading 3"/>
    <w:basedOn w:val="1"/>
    <w:next w:val="1"/>
    <w:link w:val="29"/>
    <w:qFormat/>
    <w:uiPriority w:val="99"/>
    <w:pPr>
      <w:keepNext/>
      <w:keepLines/>
      <w:numPr>
        <w:ilvl w:val="2"/>
        <w:numId w:val="1"/>
      </w:numPr>
      <w:ind w:firstLine="0" w:firstLineChars="0"/>
      <w:outlineLvl w:val="2"/>
    </w:pPr>
    <w:rPr>
      <w:b/>
      <w:kern w:val="0"/>
      <w:szCs w:val="20"/>
    </w:rPr>
  </w:style>
  <w:style w:type="paragraph" w:styleId="5">
    <w:name w:val="heading 4"/>
    <w:basedOn w:val="1"/>
    <w:next w:val="1"/>
    <w:link w:val="30"/>
    <w:qFormat/>
    <w:uiPriority w:val="99"/>
    <w:pPr>
      <w:keepNext/>
      <w:keepLines/>
      <w:numPr>
        <w:ilvl w:val="3"/>
        <w:numId w:val="1"/>
      </w:numPr>
      <w:ind w:firstLine="0" w:firstLineChars="0"/>
      <w:outlineLvl w:val="3"/>
    </w:pPr>
    <w:rPr>
      <w:b/>
    </w:rPr>
  </w:style>
  <w:style w:type="paragraph" w:styleId="6">
    <w:name w:val="heading 5"/>
    <w:basedOn w:val="1"/>
    <w:next w:val="7"/>
    <w:link w:val="31"/>
    <w:qFormat/>
    <w:uiPriority w:val="0"/>
    <w:pPr>
      <w:keepNext/>
      <w:keepLines/>
      <w:numPr>
        <w:ilvl w:val="4"/>
        <w:numId w:val="2"/>
      </w:numPr>
      <w:spacing w:before="40" w:after="40" w:line="400" w:lineRule="atLeast"/>
      <w:ind w:firstLine="0"/>
      <w:outlineLvl w:val="4"/>
    </w:pPr>
    <w:rPr>
      <w:szCs w:val="20"/>
    </w:rPr>
  </w:style>
  <w:style w:type="character" w:default="1" w:styleId="20">
    <w:name w:val="Default Paragraph Font"/>
    <w:unhideWhenUsed/>
    <w:qFormat/>
    <w:uiPriority w:val="1"/>
  </w:style>
  <w:style w:type="table" w:default="1" w:styleId="23">
    <w:name w:val="Normal Table"/>
    <w:unhideWhenUsed/>
    <w:qFormat/>
    <w:uiPriority w:val="99"/>
    <w:tblPr>
      <w:tblLayout w:type="fixed"/>
      <w:tblCellMar>
        <w:top w:w="0" w:type="dxa"/>
        <w:left w:w="108" w:type="dxa"/>
        <w:bottom w:w="0" w:type="dxa"/>
        <w:right w:w="108" w:type="dxa"/>
      </w:tblCellMar>
    </w:tblPr>
  </w:style>
  <w:style w:type="paragraph" w:styleId="7">
    <w:name w:val="Normal Indent"/>
    <w:basedOn w:val="1"/>
    <w:qFormat/>
    <w:uiPriority w:val="99"/>
    <w:rPr>
      <w:szCs w:val="20"/>
    </w:rPr>
  </w:style>
  <w:style w:type="paragraph" w:styleId="8">
    <w:name w:val="annotation subject"/>
    <w:basedOn w:val="9"/>
    <w:next w:val="9"/>
    <w:link w:val="43"/>
    <w:semiHidden/>
    <w:qFormat/>
    <w:uiPriority w:val="99"/>
    <w:rPr>
      <w:b/>
      <w:bCs/>
    </w:rPr>
  </w:style>
  <w:style w:type="paragraph" w:styleId="9">
    <w:name w:val="annotation text"/>
    <w:basedOn w:val="1"/>
    <w:link w:val="32"/>
    <w:qFormat/>
    <w:uiPriority w:val="99"/>
    <w:pPr>
      <w:jc w:val="left"/>
    </w:pPr>
  </w:style>
  <w:style w:type="paragraph" w:styleId="10">
    <w:name w:val="Body Text"/>
    <w:basedOn w:val="1"/>
    <w:link w:val="33"/>
    <w:qFormat/>
    <w:uiPriority w:val="99"/>
  </w:style>
  <w:style w:type="paragraph" w:styleId="11">
    <w:name w:val="Body Text Indent"/>
    <w:basedOn w:val="1"/>
    <w:link w:val="34"/>
    <w:qFormat/>
    <w:uiPriority w:val="99"/>
    <w:pPr>
      <w:ind w:firstLine="576"/>
    </w:pPr>
    <w:rPr>
      <w:szCs w:val="20"/>
    </w:rPr>
  </w:style>
  <w:style w:type="paragraph" w:styleId="12">
    <w:name w:val="Body Text Indent 2"/>
    <w:basedOn w:val="1"/>
    <w:link w:val="35"/>
    <w:qFormat/>
    <w:uiPriority w:val="99"/>
    <w:pPr>
      <w:ind w:firstLine="570"/>
    </w:pPr>
  </w:style>
  <w:style w:type="paragraph" w:styleId="13">
    <w:name w:val="Balloon Text"/>
    <w:basedOn w:val="1"/>
    <w:link w:val="44"/>
    <w:semiHidden/>
    <w:qFormat/>
    <w:uiPriority w:val="99"/>
    <w:rPr>
      <w:sz w:val="18"/>
      <w:szCs w:val="18"/>
    </w:rPr>
  </w:style>
  <w:style w:type="paragraph" w:styleId="14">
    <w:name w:val="footer"/>
    <w:basedOn w:val="1"/>
    <w:link w:val="36"/>
    <w:qFormat/>
    <w:uiPriority w:val="99"/>
    <w:pPr>
      <w:tabs>
        <w:tab w:val="center" w:pos="4153"/>
        <w:tab w:val="right" w:pos="8306"/>
      </w:tabs>
      <w:snapToGrid w:val="0"/>
      <w:jc w:val="left"/>
    </w:pPr>
    <w:rPr>
      <w:sz w:val="18"/>
    </w:rPr>
  </w:style>
  <w:style w:type="paragraph" w:styleId="15">
    <w:name w:val="Body Text First Indent 2"/>
    <w:basedOn w:val="11"/>
    <w:link w:val="37"/>
    <w:qFormat/>
    <w:uiPriority w:val="99"/>
    <w:pPr>
      <w:spacing w:after="120"/>
      <w:ind w:left="420" w:leftChars="200" w:firstLine="420"/>
    </w:pPr>
    <w:rPr>
      <w:szCs w:val="24"/>
    </w:rPr>
  </w:style>
  <w:style w:type="paragraph" w:styleId="16">
    <w:name w:val="header"/>
    <w:basedOn w:val="1"/>
    <w:link w:val="3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7">
    <w:name w:val="toc 1"/>
    <w:basedOn w:val="1"/>
    <w:next w:val="1"/>
    <w:qFormat/>
    <w:uiPriority w:val="99"/>
    <w:pPr>
      <w:ind w:firstLine="0" w:firstLineChars="0"/>
    </w:pPr>
  </w:style>
  <w:style w:type="paragraph" w:styleId="18">
    <w:name w:val="toc 2"/>
    <w:basedOn w:val="1"/>
    <w:next w:val="1"/>
    <w:qFormat/>
    <w:uiPriority w:val="99"/>
    <w:pPr>
      <w:spacing w:line="400" w:lineRule="exact"/>
      <w:ind w:firstLine="1040"/>
    </w:pPr>
  </w:style>
  <w:style w:type="paragraph" w:styleId="19">
    <w:name w:val="Normal (Web)"/>
    <w:basedOn w:val="1"/>
    <w:qFormat/>
    <w:uiPriority w:val="99"/>
  </w:style>
  <w:style w:type="character" w:styleId="21">
    <w:name w:val="Hyperlink"/>
    <w:basedOn w:val="20"/>
    <w:qFormat/>
    <w:uiPriority w:val="99"/>
    <w:rPr>
      <w:rFonts w:cs="Times New Roman"/>
      <w:color w:val="0000FF"/>
      <w:u w:val="single"/>
    </w:rPr>
  </w:style>
  <w:style w:type="character" w:styleId="22">
    <w:name w:val="annotation reference"/>
    <w:basedOn w:val="20"/>
    <w:semiHidden/>
    <w:qFormat/>
    <w:uiPriority w:val="99"/>
    <w:rPr>
      <w:rFonts w:cs="Times New Roman"/>
      <w:sz w:val="21"/>
      <w:szCs w:val="21"/>
    </w:rPr>
  </w:style>
  <w:style w:type="table" w:styleId="24">
    <w:name w:val="Table Grid"/>
    <w:basedOn w:val="2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5">
    <w:name w:val="表格"/>
    <w:basedOn w:val="10"/>
    <w:link w:val="42"/>
    <w:qFormat/>
    <w:uiPriority w:val="99"/>
    <w:pPr>
      <w:spacing w:before="60" w:after="60" w:line="240" w:lineRule="auto"/>
      <w:ind w:firstLine="0" w:firstLineChars="0"/>
      <w:jc w:val="center"/>
    </w:pPr>
    <w:rPr>
      <w:kern w:val="0"/>
      <w:sz w:val="21"/>
      <w:szCs w:val="20"/>
    </w:rPr>
  </w:style>
  <w:style w:type="paragraph" w:customStyle="1" w:styleId="26">
    <w:name w:val="表格文本"/>
    <w:basedOn w:val="1"/>
    <w:link w:val="41"/>
    <w:qFormat/>
    <w:uiPriority w:val="99"/>
    <w:pPr>
      <w:ind w:firstLine="0" w:firstLineChars="0"/>
      <w:jc w:val="center"/>
    </w:pPr>
    <w:rPr>
      <w:kern w:val="0"/>
      <w:sz w:val="21"/>
      <w:szCs w:val="20"/>
    </w:rPr>
  </w:style>
  <w:style w:type="character" w:customStyle="1" w:styleId="27">
    <w:name w:val="标题 1 Char"/>
    <w:basedOn w:val="20"/>
    <w:link w:val="2"/>
    <w:qFormat/>
    <w:uiPriority w:val="9"/>
    <w:rPr>
      <w:b/>
      <w:bCs/>
      <w:kern w:val="44"/>
      <w:sz w:val="44"/>
      <w:szCs w:val="44"/>
    </w:rPr>
  </w:style>
  <w:style w:type="character" w:customStyle="1" w:styleId="28">
    <w:name w:val="标题 2 Char"/>
    <w:basedOn w:val="20"/>
    <w:link w:val="3"/>
    <w:semiHidden/>
    <w:qFormat/>
    <w:uiPriority w:val="9"/>
    <w:rPr>
      <w:rFonts w:ascii="Cambria" w:hAnsi="Cambria" w:eastAsia="宋体" w:cs="Times New Roman"/>
      <w:b/>
      <w:bCs/>
      <w:sz w:val="32"/>
      <w:szCs w:val="32"/>
    </w:rPr>
  </w:style>
  <w:style w:type="character" w:customStyle="1" w:styleId="29">
    <w:name w:val="标题 3 Char"/>
    <w:basedOn w:val="20"/>
    <w:link w:val="4"/>
    <w:qFormat/>
    <w:locked/>
    <w:uiPriority w:val="99"/>
    <w:rPr>
      <w:rFonts w:ascii="Times New Roman" w:hAnsi="Times New Roman"/>
      <w:b/>
      <w:sz w:val="24"/>
    </w:rPr>
  </w:style>
  <w:style w:type="character" w:customStyle="1" w:styleId="30">
    <w:name w:val="标题 4 Char"/>
    <w:basedOn w:val="20"/>
    <w:link w:val="5"/>
    <w:semiHidden/>
    <w:qFormat/>
    <w:uiPriority w:val="9"/>
    <w:rPr>
      <w:rFonts w:ascii="Times New Roman" w:hAnsi="Times New Roman" w:eastAsia="宋体" w:cs="Times New Roman"/>
      <w:b/>
      <w:bCs/>
      <w:sz w:val="24"/>
      <w:szCs w:val="28"/>
    </w:rPr>
  </w:style>
  <w:style w:type="character" w:customStyle="1" w:styleId="31">
    <w:name w:val="标题 5 Char"/>
    <w:basedOn w:val="20"/>
    <w:link w:val="6"/>
    <w:semiHidden/>
    <w:qFormat/>
    <w:uiPriority w:val="9"/>
    <w:rPr>
      <w:b/>
      <w:bCs/>
      <w:sz w:val="28"/>
      <w:szCs w:val="28"/>
    </w:rPr>
  </w:style>
  <w:style w:type="character" w:customStyle="1" w:styleId="32">
    <w:name w:val="批注文字 Char"/>
    <w:basedOn w:val="20"/>
    <w:link w:val="9"/>
    <w:semiHidden/>
    <w:qFormat/>
    <w:uiPriority w:val="99"/>
    <w:rPr>
      <w:sz w:val="24"/>
      <w:szCs w:val="24"/>
    </w:rPr>
  </w:style>
  <w:style w:type="character" w:customStyle="1" w:styleId="33">
    <w:name w:val="正文文本 Char"/>
    <w:basedOn w:val="20"/>
    <w:link w:val="10"/>
    <w:semiHidden/>
    <w:qFormat/>
    <w:uiPriority w:val="99"/>
    <w:rPr>
      <w:sz w:val="24"/>
      <w:szCs w:val="24"/>
    </w:rPr>
  </w:style>
  <w:style w:type="character" w:customStyle="1" w:styleId="34">
    <w:name w:val="正文文本缩进 Char"/>
    <w:basedOn w:val="20"/>
    <w:link w:val="11"/>
    <w:semiHidden/>
    <w:qFormat/>
    <w:uiPriority w:val="99"/>
    <w:rPr>
      <w:sz w:val="24"/>
      <w:szCs w:val="24"/>
    </w:rPr>
  </w:style>
  <w:style w:type="character" w:customStyle="1" w:styleId="35">
    <w:name w:val="正文文本缩进 2 Char"/>
    <w:basedOn w:val="20"/>
    <w:link w:val="12"/>
    <w:semiHidden/>
    <w:qFormat/>
    <w:uiPriority w:val="99"/>
    <w:rPr>
      <w:sz w:val="24"/>
      <w:szCs w:val="24"/>
    </w:rPr>
  </w:style>
  <w:style w:type="character" w:customStyle="1" w:styleId="36">
    <w:name w:val="页脚 Char"/>
    <w:basedOn w:val="20"/>
    <w:link w:val="14"/>
    <w:semiHidden/>
    <w:qFormat/>
    <w:uiPriority w:val="99"/>
    <w:rPr>
      <w:sz w:val="18"/>
      <w:szCs w:val="18"/>
    </w:rPr>
  </w:style>
  <w:style w:type="character" w:customStyle="1" w:styleId="37">
    <w:name w:val="正文首行缩进 2 Char"/>
    <w:basedOn w:val="34"/>
    <w:link w:val="15"/>
    <w:semiHidden/>
    <w:qFormat/>
    <w:uiPriority w:val="99"/>
  </w:style>
  <w:style w:type="character" w:customStyle="1" w:styleId="38">
    <w:name w:val="页眉 Char"/>
    <w:basedOn w:val="20"/>
    <w:link w:val="16"/>
    <w:semiHidden/>
    <w:qFormat/>
    <w:uiPriority w:val="99"/>
    <w:rPr>
      <w:sz w:val="18"/>
      <w:szCs w:val="18"/>
    </w:rPr>
  </w:style>
  <w:style w:type="paragraph" w:customStyle="1" w:styleId="39">
    <w:name w:val="封面"/>
    <w:basedOn w:val="1"/>
    <w:qFormat/>
    <w:uiPriority w:val="99"/>
    <w:pPr>
      <w:ind w:firstLine="0" w:firstLineChars="0"/>
    </w:pPr>
    <w:rPr>
      <w:sz w:val="52"/>
      <w:szCs w:val="52"/>
    </w:rPr>
  </w:style>
  <w:style w:type="paragraph" w:customStyle="1" w:styleId="40">
    <w:name w:val="表格标题"/>
    <w:basedOn w:val="1"/>
    <w:qFormat/>
    <w:uiPriority w:val="99"/>
    <w:pPr>
      <w:spacing w:before="120"/>
      <w:jc w:val="center"/>
    </w:pPr>
    <w:rPr>
      <w:szCs w:val="21"/>
    </w:rPr>
  </w:style>
  <w:style w:type="character" w:customStyle="1" w:styleId="41">
    <w:name w:val="表格文本 Char"/>
    <w:link w:val="26"/>
    <w:qFormat/>
    <w:locked/>
    <w:uiPriority w:val="99"/>
    <w:rPr>
      <w:sz w:val="21"/>
    </w:rPr>
  </w:style>
  <w:style w:type="character" w:customStyle="1" w:styleId="42">
    <w:name w:val="表格 Char"/>
    <w:link w:val="25"/>
    <w:qFormat/>
    <w:locked/>
    <w:uiPriority w:val="99"/>
    <w:rPr>
      <w:rFonts w:ascii="Times New Roman" w:hAnsi="Times New Roman" w:eastAsia="宋体"/>
      <w:sz w:val="21"/>
    </w:rPr>
  </w:style>
  <w:style w:type="character" w:customStyle="1" w:styleId="43">
    <w:name w:val="批注主题 Char"/>
    <w:basedOn w:val="32"/>
    <w:link w:val="8"/>
    <w:semiHidden/>
    <w:qFormat/>
    <w:uiPriority w:val="99"/>
    <w:rPr>
      <w:b/>
      <w:bCs/>
    </w:rPr>
  </w:style>
  <w:style w:type="character" w:customStyle="1" w:styleId="44">
    <w:name w:val="批注框文本 Char"/>
    <w:basedOn w:val="20"/>
    <w:link w:val="13"/>
    <w:semiHidden/>
    <w:qFormat/>
    <w:uiPriority w:val="99"/>
    <w:rPr>
      <w:sz w:val="0"/>
      <w:szCs w:val="0"/>
    </w:rPr>
  </w:style>
  <w:style w:type="paragraph" w:customStyle="1" w:styleId="45">
    <w:name w:val="Default"/>
    <w:basedOn w:val="1"/>
    <w:qFormat/>
    <w:uiPriority w:val="0"/>
    <w:pPr>
      <w:autoSpaceDE w:val="0"/>
      <w:autoSpaceDN w:val="0"/>
      <w:jc w:val="left"/>
    </w:pPr>
    <w:rPr>
      <w:rFonts w:hint="eastAsia" w:ascii="宋体"/>
      <w:color w:val="000000"/>
      <w:kern w:val="0"/>
    </w:rPr>
  </w:style>
  <w:style w:type="paragraph" w:customStyle="1" w:styleId="46">
    <w:name w:val="Char Char Char Char"/>
    <w:basedOn w:val="1"/>
    <w:qFormat/>
    <w:uiPriority w:val="0"/>
    <w:pPr>
      <w:spacing w:beforeLines="20" w:line="440" w:lineRule="atLeast"/>
      <w:ind w:firstLine="200"/>
    </w:pPr>
  </w:style>
  <w:style w:type="paragraph" w:customStyle="1" w:styleId="47">
    <w:name w:val="图表标题"/>
    <w:basedOn w:val="1"/>
    <w:link w:val="48"/>
    <w:qFormat/>
    <w:uiPriority w:val="0"/>
    <w:pPr>
      <w:spacing w:before="60" w:line="460" w:lineRule="exact"/>
      <w:ind w:firstLine="199" w:firstLineChars="199"/>
      <w:contextualSpacing/>
      <w:jc w:val="center"/>
    </w:pPr>
    <w:rPr>
      <w:b/>
      <w:bCs/>
      <w:snapToGrid w:val="0"/>
      <w:sz w:val="21"/>
      <w:szCs w:val="21"/>
      <w:shd w:val="clear" w:color="auto" w:fill="FFFFFF"/>
    </w:rPr>
  </w:style>
  <w:style w:type="character" w:customStyle="1" w:styleId="48">
    <w:name w:val="图表标题 Char"/>
    <w:link w:val="47"/>
    <w:qFormat/>
    <w:uiPriority w:val="0"/>
    <w:rPr>
      <w:b/>
      <w:bCs/>
      <w:snapToGrid w:val="0"/>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5.emf"/><Relationship Id="rId53" Type="http://schemas.openxmlformats.org/officeDocument/2006/relationships/oleObject" Target="embeddings/oleObject17.bin"/><Relationship Id="rId52" Type="http://schemas.openxmlformats.org/officeDocument/2006/relationships/image" Target="media/image24.wmf"/><Relationship Id="rId51" Type="http://schemas.openxmlformats.org/officeDocument/2006/relationships/oleObject" Target="embeddings/oleObject16.bin"/><Relationship Id="rId50" Type="http://schemas.openxmlformats.org/officeDocument/2006/relationships/image" Target="media/image23.wmf"/><Relationship Id="rId5" Type="http://schemas.openxmlformats.org/officeDocument/2006/relationships/header" Target="header3.xml"/><Relationship Id="rId49" Type="http://schemas.openxmlformats.org/officeDocument/2006/relationships/oleObject" Target="embeddings/oleObject15.bin"/><Relationship Id="rId48" Type="http://schemas.openxmlformats.org/officeDocument/2006/relationships/image" Target="media/image22.wmf"/><Relationship Id="rId47" Type="http://schemas.openxmlformats.org/officeDocument/2006/relationships/oleObject" Target="embeddings/oleObject14.bin"/><Relationship Id="rId46" Type="http://schemas.openxmlformats.org/officeDocument/2006/relationships/image" Target="media/image21.wmf"/><Relationship Id="rId45" Type="http://schemas.openxmlformats.org/officeDocument/2006/relationships/oleObject" Target="embeddings/oleObject13.bin"/><Relationship Id="rId44" Type="http://schemas.openxmlformats.org/officeDocument/2006/relationships/image" Target="media/image20.wmf"/><Relationship Id="rId43" Type="http://schemas.openxmlformats.org/officeDocument/2006/relationships/oleObject" Target="embeddings/oleObject12.bin"/><Relationship Id="rId42" Type="http://schemas.openxmlformats.org/officeDocument/2006/relationships/image" Target="media/image19.jpeg"/><Relationship Id="rId41" Type="http://schemas.openxmlformats.org/officeDocument/2006/relationships/image" Target="media/image18.jpeg"/><Relationship Id="rId40" Type="http://schemas.openxmlformats.org/officeDocument/2006/relationships/image" Target="media/image17.png"/><Relationship Id="rId4" Type="http://schemas.openxmlformats.org/officeDocument/2006/relationships/header" Target="header2.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emf"/><Relationship Id="rId34" Type="http://schemas.openxmlformats.org/officeDocument/2006/relationships/oleObject" Target="embeddings/oleObject11.bin"/><Relationship Id="rId33" Type="http://schemas.openxmlformats.org/officeDocument/2006/relationships/image" Target="media/image11.emf"/><Relationship Id="rId32" Type="http://schemas.openxmlformats.org/officeDocument/2006/relationships/oleObject" Target="embeddings/oleObject10.bin"/><Relationship Id="rId31" Type="http://schemas.openxmlformats.org/officeDocument/2006/relationships/image" Target="media/image10.emf"/><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9.emf"/><Relationship Id="rId28" Type="http://schemas.openxmlformats.org/officeDocument/2006/relationships/oleObject" Target="embeddings/oleObject8.bin"/><Relationship Id="rId27" Type="http://schemas.openxmlformats.org/officeDocument/2006/relationships/image" Target="media/image8.emf"/><Relationship Id="rId26" Type="http://schemas.openxmlformats.org/officeDocument/2006/relationships/oleObject" Target="embeddings/oleObject7.bin"/><Relationship Id="rId25" Type="http://schemas.openxmlformats.org/officeDocument/2006/relationships/image" Target="media/image7.emf"/><Relationship Id="rId24" Type="http://schemas.openxmlformats.org/officeDocument/2006/relationships/oleObject" Target="embeddings/oleObject6.bin"/><Relationship Id="rId23" Type="http://schemas.openxmlformats.org/officeDocument/2006/relationships/image" Target="media/image6.emf"/><Relationship Id="rId22" Type="http://schemas.openxmlformats.org/officeDocument/2006/relationships/oleObject" Target="embeddings/oleObject5.bin"/><Relationship Id="rId21" Type="http://schemas.openxmlformats.org/officeDocument/2006/relationships/image" Target="media/image5.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141</Pages>
  <Words>15354</Words>
  <Characters>87520</Characters>
  <Lines>729</Lines>
  <Paragraphs>205</Paragraphs>
  <ScaleCrop>false</ScaleCrop>
  <LinksUpToDate>false</LinksUpToDate>
  <CharactersWithSpaces>102669</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2017-07-19T03:24:00Z</dcterms:created>
  <dc:creator>Administrator</dc:creator>
  <cp:lastModifiedBy>Administrator</cp:lastModifiedBy>
  <cp:lastPrinted>2017-08-18T05:16:00Z</cp:lastPrinted>
  <dcterms:modified xsi:type="dcterms:W3CDTF">2017-08-25T06:38:30Z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